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r>
        <w:rPr>
          <w:noProof/>
          <w:lang w:val="fr-CH" w:eastAsia="fr-CH"/>
        </w:rPr>
        <w:drawing>
          <wp:inline distT="0" distB="0" distL="0" distR="0">
            <wp:extent cx="1685925" cy="1457325"/>
            <wp:effectExtent l="19050" t="0" r="9525" b="0"/>
            <wp:docPr id="1" name="Picture 1" descr="haiti_armoirie_ete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_armoirie_etendard"/>
                    <pic:cNvPicPr>
                      <a:picLocks noChangeAspect="1" noChangeArrowheads="1"/>
                    </pic:cNvPicPr>
                  </pic:nvPicPr>
                  <pic:blipFill>
                    <a:blip r:embed="rId7" cstate="print"/>
                    <a:srcRect/>
                    <a:stretch>
                      <a:fillRect/>
                    </a:stretch>
                  </pic:blipFill>
                  <pic:spPr bwMode="auto">
                    <a:xfrm>
                      <a:off x="0" y="0"/>
                      <a:ext cx="1685925" cy="1457325"/>
                    </a:xfrm>
                    <a:prstGeom prst="rect">
                      <a:avLst/>
                    </a:prstGeom>
                    <a:noFill/>
                    <a:ln w="9525">
                      <a:noFill/>
                      <a:miter lim="800000"/>
                      <a:headEnd/>
                      <a:tailEnd/>
                    </a:ln>
                  </pic:spPr>
                </pic:pic>
              </a:graphicData>
            </a:graphic>
          </wp:inline>
        </w:drawing>
      </w: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rPr>
          <w:b/>
          <w:sz w:val="28"/>
        </w:rPr>
      </w:pPr>
      <w:r>
        <w:rPr>
          <w:b/>
          <w:sz w:val="28"/>
        </w:rPr>
        <w:t>REPUBLIQUE D’HAITI</w:t>
      </w: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rPr>
          <w:sz w:val="28"/>
        </w:rPr>
      </w:pPr>
      <w:r>
        <w:rPr>
          <w:sz w:val="28"/>
        </w:rPr>
        <w:t>EXAMEN PERIODIQUE UNIVERSEL DES NATIONS UNIES</w:t>
      </w:r>
    </w:p>
    <w:p w:rsidR="00953CD0" w:rsidRDefault="00953CD0" w:rsidP="00953CD0">
      <w:pPr>
        <w:tabs>
          <w:tab w:val="left" w:pos="90"/>
        </w:tabs>
        <w:spacing w:after="0" w:line="240" w:lineRule="auto"/>
        <w:jc w:val="center"/>
        <w:rPr>
          <w:sz w:val="28"/>
        </w:rPr>
      </w:pPr>
      <w:r>
        <w:rPr>
          <w:sz w:val="28"/>
        </w:rPr>
        <w:t>CONSEIL DES DROITS DE L’HOMME</w:t>
      </w: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r>
        <w:rPr>
          <w:sz w:val="28"/>
        </w:rPr>
        <w:t>RAPPORT NATIONAL DE MI-PARCOURS</w:t>
      </w: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rPr>
          <w:sz w:val="28"/>
        </w:rP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pPr>
    </w:p>
    <w:p w:rsidR="00953CD0" w:rsidRDefault="00953CD0" w:rsidP="00953CD0">
      <w:pPr>
        <w:tabs>
          <w:tab w:val="left" w:pos="90"/>
        </w:tabs>
        <w:spacing w:after="0" w:line="240" w:lineRule="auto"/>
        <w:jc w:val="center"/>
      </w:pPr>
    </w:p>
    <w:p w:rsidR="00953CD0" w:rsidRDefault="00953CD0" w:rsidP="00953CD0">
      <w:pPr>
        <w:tabs>
          <w:tab w:val="left" w:pos="90"/>
        </w:tabs>
        <w:spacing w:after="0" w:line="240" w:lineRule="auto"/>
        <w:jc w:val="center"/>
        <w:rPr>
          <w:sz w:val="28"/>
        </w:rPr>
      </w:pPr>
      <w:r>
        <w:rPr>
          <w:sz w:val="28"/>
        </w:rPr>
        <w:t>MARS 2014</w:t>
      </w:r>
    </w:p>
    <w:p w:rsidR="00953CD0" w:rsidRDefault="00953CD0" w:rsidP="00953CD0">
      <w:pPr>
        <w:pStyle w:val="Titre1"/>
      </w:pPr>
      <w:r>
        <w:rPr>
          <w:sz w:val="28"/>
        </w:rPr>
        <w:br w:type="page"/>
      </w:r>
      <w:bookmarkStart w:id="0" w:name="_Toc381607150"/>
      <w:r>
        <w:lastRenderedPageBreak/>
        <w:t>TABLE DE MATIERES</w:t>
      </w:r>
      <w:bookmarkEnd w:id="0"/>
      <w:r>
        <w:t xml:space="preserve"> </w:t>
      </w:r>
    </w:p>
    <w:p w:rsidR="00953CD0" w:rsidRDefault="00953CD0" w:rsidP="00953CD0">
      <w:pPr>
        <w:pStyle w:val="Titre1"/>
        <w:tabs>
          <w:tab w:val="left" w:pos="90"/>
        </w:tabs>
        <w:spacing w:before="0" w:after="0" w:line="240" w:lineRule="auto"/>
      </w:pPr>
    </w:p>
    <w:p w:rsidR="00953CD0" w:rsidRDefault="00953CD0" w:rsidP="00953CD0">
      <w:pPr>
        <w:pStyle w:val="TM1"/>
        <w:tabs>
          <w:tab w:val="right" w:leader="dot" w:pos="9350"/>
        </w:tabs>
        <w:rPr>
          <w:rFonts w:eastAsia="Times New Roman"/>
          <w:noProof/>
        </w:rPr>
      </w:pPr>
      <w:r>
        <w:fldChar w:fldCharType="begin"/>
      </w:r>
      <w:r>
        <w:instrText xml:space="preserve"> TOC \o "1-3" \h \z \u </w:instrText>
      </w:r>
      <w:r>
        <w:fldChar w:fldCharType="separate"/>
      </w:r>
      <w:hyperlink w:anchor="_Toc381607150" w:history="1">
        <w:r>
          <w:rPr>
            <w:rStyle w:val="Lienhypertexte"/>
            <w:noProof/>
          </w:rPr>
          <w:t>TABLE DE MATIERES</w:t>
        </w:r>
        <w:r>
          <w:rPr>
            <w:noProof/>
          </w:rPr>
          <w:tab/>
        </w:r>
        <w:r>
          <w:rPr>
            <w:noProof/>
          </w:rPr>
          <w:fldChar w:fldCharType="begin"/>
        </w:r>
        <w:r>
          <w:rPr>
            <w:noProof/>
          </w:rPr>
          <w:instrText xml:space="preserve"> PAGEREF _Toc381607150 \h </w:instrText>
        </w:r>
        <w:r>
          <w:rPr>
            <w:noProof/>
          </w:rPr>
        </w:r>
        <w:r>
          <w:rPr>
            <w:noProof/>
          </w:rPr>
          <w:fldChar w:fldCharType="separate"/>
        </w:r>
        <w:r>
          <w:rPr>
            <w:noProof/>
          </w:rPr>
          <w:t>2</w:t>
        </w:r>
        <w:r>
          <w:rPr>
            <w:noProof/>
          </w:rPr>
          <w:fldChar w:fldCharType="end"/>
        </w:r>
      </w:hyperlink>
    </w:p>
    <w:p w:rsidR="00953CD0" w:rsidRDefault="00953CD0" w:rsidP="00953CD0">
      <w:pPr>
        <w:pStyle w:val="TM1"/>
        <w:tabs>
          <w:tab w:val="right" w:leader="dot" w:pos="9350"/>
        </w:tabs>
        <w:rPr>
          <w:rFonts w:eastAsia="Times New Roman"/>
          <w:noProof/>
        </w:rPr>
      </w:pPr>
      <w:hyperlink w:anchor="_Toc381607151" w:history="1">
        <w:r>
          <w:rPr>
            <w:rStyle w:val="Lienhypertexte"/>
            <w:noProof/>
          </w:rPr>
          <w:t>LISTE DES ACRONYMES</w:t>
        </w:r>
        <w:r>
          <w:rPr>
            <w:noProof/>
          </w:rPr>
          <w:tab/>
        </w:r>
        <w:r>
          <w:rPr>
            <w:noProof/>
          </w:rPr>
          <w:fldChar w:fldCharType="begin"/>
        </w:r>
        <w:r>
          <w:rPr>
            <w:noProof/>
          </w:rPr>
          <w:instrText xml:space="preserve"> PAGEREF _Toc381607151 \h </w:instrText>
        </w:r>
        <w:r>
          <w:rPr>
            <w:noProof/>
          </w:rPr>
        </w:r>
        <w:r>
          <w:rPr>
            <w:noProof/>
          </w:rPr>
          <w:fldChar w:fldCharType="separate"/>
        </w:r>
        <w:r>
          <w:rPr>
            <w:noProof/>
          </w:rPr>
          <w:t>4</w:t>
        </w:r>
        <w:r>
          <w:rPr>
            <w:noProof/>
          </w:rPr>
          <w:fldChar w:fldCharType="end"/>
        </w:r>
      </w:hyperlink>
    </w:p>
    <w:p w:rsidR="00953CD0" w:rsidRDefault="00953CD0" w:rsidP="00953CD0">
      <w:pPr>
        <w:pStyle w:val="TM1"/>
        <w:tabs>
          <w:tab w:val="left" w:pos="440"/>
          <w:tab w:val="right" w:leader="dot" w:pos="9350"/>
        </w:tabs>
        <w:rPr>
          <w:rFonts w:eastAsia="Times New Roman"/>
          <w:noProof/>
        </w:rPr>
      </w:pPr>
      <w:hyperlink w:anchor="_Toc381607152" w:history="1">
        <w:r>
          <w:rPr>
            <w:rStyle w:val="Lienhypertexte"/>
            <w:noProof/>
          </w:rPr>
          <w:t>I.</w:t>
        </w:r>
        <w:r>
          <w:rPr>
            <w:rFonts w:eastAsia="Times New Roman"/>
            <w:noProof/>
          </w:rPr>
          <w:tab/>
        </w:r>
        <w:r>
          <w:rPr>
            <w:rStyle w:val="Lienhypertexte"/>
            <w:noProof/>
          </w:rPr>
          <w:t>INTRODUCTION</w:t>
        </w:r>
        <w:r>
          <w:rPr>
            <w:noProof/>
          </w:rPr>
          <w:tab/>
        </w:r>
        <w:r>
          <w:rPr>
            <w:noProof/>
          </w:rPr>
          <w:fldChar w:fldCharType="begin"/>
        </w:r>
        <w:r>
          <w:rPr>
            <w:noProof/>
          </w:rPr>
          <w:instrText xml:space="preserve"> PAGEREF _Toc381607152 \h </w:instrText>
        </w:r>
        <w:r>
          <w:rPr>
            <w:noProof/>
          </w:rPr>
        </w:r>
        <w:r>
          <w:rPr>
            <w:noProof/>
          </w:rPr>
          <w:fldChar w:fldCharType="separate"/>
        </w:r>
        <w:r>
          <w:rPr>
            <w:noProof/>
          </w:rPr>
          <w:t>7</w:t>
        </w:r>
        <w:r>
          <w:rPr>
            <w:noProof/>
          </w:rPr>
          <w:fldChar w:fldCharType="end"/>
        </w:r>
      </w:hyperlink>
    </w:p>
    <w:p w:rsidR="00953CD0" w:rsidRDefault="00953CD0" w:rsidP="00953CD0">
      <w:pPr>
        <w:pStyle w:val="TM1"/>
        <w:tabs>
          <w:tab w:val="right" w:leader="dot" w:pos="9350"/>
        </w:tabs>
        <w:rPr>
          <w:rFonts w:eastAsia="Times New Roman"/>
          <w:noProof/>
        </w:rPr>
      </w:pPr>
      <w:hyperlink w:anchor="_Toc381607153" w:history="1">
        <w:r>
          <w:rPr>
            <w:rStyle w:val="Lienhypertexte"/>
            <w:noProof/>
          </w:rPr>
          <w:t>II.  PROGRES REALISES DANS LE CADRE DE L’IMPLEMENTATION DES RECOMMANDATIONS DE L’EPU</w:t>
        </w:r>
        <w:r>
          <w:rPr>
            <w:noProof/>
          </w:rPr>
          <w:tab/>
        </w:r>
        <w:r>
          <w:rPr>
            <w:noProof/>
          </w:rPr>
          <w:fldChar w:fldCharType="begin"/>
        </w:r>
        <w:r>
          <w:rPr>
            <w:noProof/>
          </w:rPr>
          <w:instrText xml:space="preserve"> PAGEREF _Toc381607153 \h </w:instrText>
        </w:r>
        <w:r>
          <w:rPr>
            <w:noProof/>
          </w:rPr>
        </w:r>
        <w:r>
          <w:rPr>
            <w:noProof/>
          </w:rPr>
          <w:fldChar w:fldCharType="separate"/>
        </w:r>
        <w:r>
          <w:rPr>
            <w:noProof/>
          </w:rPr>
          <w:t>9</w:t>
        </w:r>
        <w:r>
          <w:rPr>
            <w:noProof/>
          </w:rPr>
          <w:fldChar w:fldCharType="end"/>
        </w:r>
      </w:hyperlink>
    </w:p>
    <w:p w:rsidR="00953CD0" w:rsidRDefault="00953CD0" w:rsidP="00953CD0">
      <w:pPr>
        <w:pStyle w:val="TM2"/>
        <w:rPr>
          <w:rFonts w:eastAsia="Times New Roman"/>
        </w:rPr>
      </w:pPr>
      <w:hyperlink w:anchor="_Toc381607154" w:history="1">
        <w:r>
          <w:rPr>
            <w:rStyle w:val="Lienhypertexte"/>
          </w:rPr>
          <w:t>Thème 1-  Le renforcement de la Police Nationale d’Haïti (PNH)</w:t>
        </w:r>
        <w:r>
          <w:tab/>
        </w:r>
        <w:r>
          <w:fldChar w:fldCharType="begin"/>
        </w:r>
        <w:r>
          <w:instrText xml:space="preserve"> PAGEREF _Toc381607154 \h </w:instrText>
        </w:r>
        <w:r>
          <w:fldChar w:fldCharType="separate"/>
        </w:r>
        <w:r>
          <w:t>9</w:t>
        </w:r>
        <w:r>
          <w:fldChar w:fldCharType="end"/>
        </w:r>
      </w:hyperlink>
    </w:p>
    <w:p w:rsidR="00953CD0" w:rsidRDefault="00953CD0" w:rsidP="00953CD0">
      <w:pPr>
        <w:pStyle w:val="TM2"/>
        <w:rPr>
          <w:rFonts w:eastAsia="Times New Roman"/>
        </w:rPr>
      </w:pPr>
      <w:hyperlink w:anchor="_Toc381607155" w:history="1">
        <w:r>
          <w:rPr>
            <w:rStyle w:val="Lienhypertexte"/>
            <w:rFonts w:eastAsia="MS Mincho"/>
          </w:rPr>
          <w:t>Thème 2-  Réforme de la  Justice</w:t>
        </w:r>
        <w:r>
          <w:tab/>
        </w:r>
        <w:r>
          <w:fldChar w:fldCharType="begin"/>
        </w:r>
        <w:r>
          <w:instrText xml:space="preserve"> PAGEREF _Toc381607155 \h </w:instrText>
        </w:r>
        <w:r>
          <w:fldChar w:fldCharType="separate"/>
        </w:r>
        <w:r>
          <w:t>10</w:t>
        </w:r>
        <w:r>
          <w:fldChar w:fldCharType="end"/>
        </w:r>
      </w:hyperlink>
    </w:p>
    <w:p w:rsidR="00953CD0" w:rsidRDefault="00953CD0" w:rsidP="00953CD0">
      <w:pPr>
        <w:pStyle w:val="TM3"/>
        <w:tabs>
          <w:tab w:val="left" w:pos="880"/>
          <w:tab w:val="right" w:leader="dot" w:pos="9350"/>
        </w:tabs>
        <w:rPr>
          <w:rFonts w:eastAsia="Times New Roman"/>
          <w:noProof/>
        </w:rPr>
      </w:pPr>
      <w:hyperlink w:anchor="_Toc381607156" w:history="1">
        <w:r>
          <w:rPr>
            <w:rStyle w:val="Lienhypertexte"/>
            <w:noProof/>
          </w:rPr>
          <w:t>a.</w:t>
        </w:r>
        <w:r>
          <w:rPr>
            <w:rFonts w:eastAsia="Times New Roman"/>
            <w:noProof/>
          </w:rPr>
          <w:tab/>
        </w:r>
        <w:r>
          <w:rPr>
            <w:rStyle w:val="Lienhypertexte"/>
            <w:noProof/>
          </w:rPr>
          <w:t>Normalisation du fonctionnement de la Cour de Cassation</w:t>
        </w:r>
        <w:r>
          <w:rPr>
            <w:noProof/>
          </w:rPr>
          <w:tab/>
        </w:r>
        <w:r>
          <w:rPr>
            <w:noProof/>
          </w:rPr>
          <w:fldChar w:fldCharType="begin"/>
        </w:r>
        <w:r>
          <w:rPr>
            <w:noProof/>
          </w:rPr>
          <w:instrText xml:space="preserve"> PAGEREF _Toc381607156 \h </w:instrText>
        </w:r>
        <w:r>
          <w:rPr>
            <w:noProof/>
          </w:rPr>
        </w:r>
        <w:r>
          <w:rPr>
            <w:noProof/>
          </w:rPr>
          <w:fldChar w:fldCharType="separate"/>
        </w:r>
        <w:r>
          <w:rPr>
            <w:noProof/>
          </w:rPr>
          <w:t>10</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57" w:history="1">
        <w:r>
          <w:rPr>
            <w:rStyle w:val="Lienhypertexte"/>
            <w:noProof/>
          </w:rPr>
          <w:t>b.</w:t>
        </w:r>
        <w:r>
          <w:rPr>
            <w:rFonts w:eastAsia="Times New Roman"/>
            <w:noProof/>
          </w:rPr>
          <w:tab/>
        </w:r>
        <w:r>
          <w:rPr>
            <w:rStyle w:val="Lienhypertexte"/>
            <w:noProof/>
          </w:rPr>
          <w:t>Réforme du droit pénal haïtien</w:t>
        </w:r>
        <w:r>
          <w:rPr>
            <w:noProof/>
          </w:rPr>
          <w:tab/>
        </w:r>
        <w:r>
          <w:rPr>
            <w:noProof/>
          </w:rPr>
          <w:fldChar w:fldCharType="begin"/>
        </w:r>
        <w:r>
          <w:rPr>
            <w:noProof/>
          </w:rPr>
          <w:instrText xml:space="preserve"> PAGEREF _Toc381607157 \h </w:instrText>
        </w:r>
        <w:r>
          <w:rPr>
            <w:noProof/>
          </w:rPr>
        </w:r>
        <w:r>
          <w:rPr>
            <w:noProof/>
          </w:rPr>
          <w:fldChar w:fldCharType="separate"/>
        </w:r>
        <w:r>
          <w:rPr>
            <w:noProof/>
          </w:rPr>
          <w:t>11</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58" w:history="1">
        <w:r>
          <w:rPr>
            <w:rStyle w:val="Lienhypertexte"/>
            <w:noProof/>
          </w:rPr>
          <w:t>c.</w:t>
        </w:r>
        <w:r>
          <w:rPr>
            <w:rFonts w:eastAsia="Times New Roman"/>
            <w:noProof/>
          </w:rPr>
          <w:tab/>
        </w:r>
        <w:r>
          <w:rPr>
            <w:rStyle w:val="Lienhypertexte"/>
            <w:noProof/>
          </w:rPr>
          <w:t>Lutte contre la détention préventive prolongée</w:t>
        </w:r>
        <w:r>
          <w:rPr>
            <w:noProof/>
          </w:rPr>
          <w:tab/>
        </w:r>
        <w:r>
          <w:rPr>
            <w:noProof/>
          </w:rPr>
          <w:fldChar w:fldCharType="begin"/>
        </w:r>
        <w:r>
          <w:rPr>
            <w:noProof/>
          </w:rPr>
          <w:instrText xml:space="preserve"> PAGEREF _Toc381607158 \h </w:instrText>
        </w:r>
        <w:r>
          <w:rPr>
            <w:noProof/>
          </w:rPr>
        </w:r>
        <w:r>
          <w:rPr>
            <w:noProof/>
          </w:rPr>
          <w:fldChar w:fldCharType="separate"/>
        </w:r>
        <w:r>
          <w:rPr>
            <w:noProof/>
          </w:rPr>
          <w:t>11</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59" w:history="1">
        <w:r>
          <w:rPr>
            <w:rStyle w:val="Lienhypertexte"/>
            <w:noProof/>
          </w:rPr>
          <w:t>d.</w:t>
        </w:r>
        <w:r>
          <w:rPr>
            <w:rFonts w:eastAsia="Times New Roman"/>
            <w:noProof/>
          </w:rPr>
          <w:tab/>
        </w:r>
        <w:r>
          <w:rPr>
            <w:rStyle w:val="Lienhypertexte"/>
            <w:noProof/>
          </w:rPr>
          <w:t>Améliorer l’accès à la justice</w:t>
        </w:r>
        <w:r>
          <w:rPr>
            <w:noProof/>
          </w:rPr>
          <w:tab/>
        </w:r>
        <w:r>
          <w:rPr>
            <w:noProof/>
          </w:rPr>
          <w:fldChar w:fldCharType="begin"/>
        </w:r>
        <w:r>
          <w:rPr>
            <w:noProof/>
          </w:rPr>
          <w:instrText xml:space="preserve"> PAGEREF _Toc381607159 \h </w:instrText>
        </w:r>
        <w:r>
          <w:rPr>
            <w:noProof/>
          </w:rPr>
        </w:r>
        <w:r>
          <w:rPr>
            <w:noProof/>
          </w:rPr>
          <w:fldChar w:fldCharType="separate"/>
        </w:r>
        <w:r>
          <w:rPr>
            <w:noProof/>
          </w:rPr>
          <w:t>12</w:t>
        </w:r>
        <w:r>
          <w:rPr>
            <w:noProof/>
          </w:rPr>
          <w:fldChar w:fldCharType="end"/>
        </w:r>
      </w:hyperlink>
    </w:p>
    <w:p w:rsidR="00953CD0" w:rsidRDefault="00953CD0" w:rsidP="00953CD0">
      <w:pPr>
        <w:pStyle w:val="TM2"/>
        <w:rPr>
          <w:rFonts w:eastAsia="Times New Roman"/>
        </w:rPr>
      </w:pPr>
      <w:hyperlink w:anchor="_Toc381607160" w:history="1">
        <w:r>
          <w:rPr>
            <w:rStyle w:val="Lienhypertexte"/>
          </w:rPr>
          <w:t>Thème 3 -  Lutte contre l’impunité</w:t>
        </w:r>
        <w:r>
          <w:tab/>
        </w:r>
        <w:r>
          <w:fldChar w:fldCharType="begin"/>
        </w:r>
        <w:r>
          <w:instrText xml:space="preserve"> PAGEREF _Toc381607160 \h </w:instrText>
        </w:r>
        <w:r>
          <w:fldChar w:fldCharType="separate"/>
        </w:r>
        <w:r>
          <w:t>13</w:t>
        </w:r>
        <w:r>
          <w:fldChar w:fldCharType="end"/>
        </w:r>
      </w:hyperlink>
    </w:p>
    <w:p w:rsidR="00953CD0" w:rsidRDefault="00953CD0" w:rsidP="00953CD0">
      <w:pPr>
        <w:pStyle w:val="TM2"/>
        <w:rPr>
          <w:rFonts w:eastAsia="Times New Roman"/>
        </w:rPr>
      </w:pPr>
      <w:hyperlink w:anchor="_Toc381607161" w:history="1">
        <w:r>
          <w:rPr>
            <w:rStyle w:val="Lienhypertexte"/>
          </w:rPr>
          <w:t>Thème 4- Conditions de détention</w:t>
        </w:r>
        <w:r>
          <w:tab/>
        </w:r>
        <w:r>
          <w:fldChar w:fldCharType="begin"/>
        </w:r>
        <w:r>
          <w:instrText xml:space="preserve"> PAGEREF _Toc381607161 \h </w:instrText>
        </w:r>
        <w:r>
          <w:fldChar w:fldCharType="separate"/>
        </w:r>
        <w:r>
          <w:t>14</w:t>
        </w:r>
        <w:r>
          <w:fldChar w:fldCharType="end"/>
        </w:r>
      </w:hyperlink>
    </w:p>
    <w:p w:rsidR="00953CD0" w:rsidRDefault="00953CD0" w:rsidP="00953CD0">
      <w:pPr>
        <w:pStyle w:val="TM2"/>
        <w:rPr>
          <w:rFonts w:eastAsia="Times New Roman"/>
        </w:rPr>
      </w:pPr>
      <w:hyperlink w:anchor="_Toc381607162" w:history="1">
        <w:r>
          <w:rPr>
            <w:rStyle w:val="Lienhypertexte"/>
          </w:rPr>
          <w:t>Thème 5-  Ratification des instruments internationaux</w:t>
        </w:r>
        <w:r>
          <w:tab/>
        </w:r>
        <w:r>
          <w:fldChar w:fldCharType="begin"/>
        </w:r>
        <w:r>
          <w:instrText xml:space="preserve"> PAGEREF _Toc381607162 \h </w:instrText>
        </w:r>
        <w:r>
          <w:fldChar w:fldCharType="separate"/>
        </w:r>
        <w:r>
          <w:t>15</w:t>
        </w:r>
        <w:r>
          <w:fldChar w:fldCharType="end"/>
        </w:r>
      </w:hyperlink>
    </w:p>
    <w:p w:rsidR="00953CD0" w:rsidRDefault="00953CD0" w:rsidP="00953CD0">
      <w:pPr>
        <w:pStyle w:val="TM2"/>
        <w:rPr>
          <w:rFonts w:eastAsia="Times New Roman"/>
        </w:rPr>
      </w:pPr>
      <w:hyperlink w:anchor="_Toc381607163" w:history="1">
        <w:r>
          <w:rPr>
            <w:rStyle w:val="Lienhypertexte"/>
          </w:rPr>
          <w:t>Thème 6-  Application de la loi sanctionnant la corruption</w:t>
        </w:r>
        <w:r>
          <w:tab/>
        </w:r>
        <w:r>
          <w:fldChar w:fldCharType="begin"/>
        </w:r>
        <w:r>
          <w:instrText xml:space="preserve"> PAGEREF _Toc381607163 \h </w:instrText>
        </w:r>
        <w:r>
          <w:fldChar w:fldCharType="separate"/>
        </w:r>
        <w:r>
          <w:t>16</w:t>
        </w:r>
        <w:r>
          <w:fldChar w:fldCharType="end"/>
        </w:r>
      </w:hyperlink>
    </w:p>
    <w:p w:rsidR="00953CD0" w:rsidRDefault="00953CD0" w:rsidP="00953CD0">
      <w:pPr>
        <w:pStyle w:val="TM2"/>
        <w:rPr>
          <w:rFonts w:eastAsia="Times New Roman"/>
        </w:rPr>
      </w:pPr>
      <w:hyperlink w:anchor="_Toc381607164" w:history="1">
        <w:r>
          <w:rPr>
            <w:rStyle w:val="Lienhypertexte"/>
          </w:rPr>
          <w:t>Thème 7- Institution nationale des droits de l’homme</w:t>
        </w:r>
        <w:r>
          <w:tab/>
        </w:r>
        <w:r>
          <w:fldChar w:fldCharType="begin"/>
        </w:r>
        <w:r>
          <w:instrText xml:space="preserve"> PAGEREF _Toc381607164 \h </w:instrText>
        </w:r>
        <w:r>
          <w:fldChar w:fldCharType="separate"/>
        </w:r>
        <w:r>
          <w:t>16</w:t>
        </w:r>
        <w:r>
          <w:fldChar w:fldCharType="end"/>
        </w:r>
      </w:hyperlink>
    </w:p>
    <w:p w:rsidR="00953CD0" w:rsidRDefault="00953CD0" w:rsidP="00953CD0">
      <w:pPr>
        <w:pStyle w:val="TM2"/>
        <w:rPr>
          <w:rFonts w:eastAsia="Times New Roman"/>
        </w:rPr>
      </w:pPr>
      <w:hyperlink w:anchor="_Toc381607165" w:history="1">
        <w:r>
          <w:rPr>
            <w:rStyle w:val="Lienhypertexte"/>
          </w:rPr>
          <w:t>Thème 8- Plan national des droits de l’Homme</w:t>
        </w:r>
        <w:r>
          <w:tab/>
        </w:r>
        <w:r>
          <w:fldChar w:fldCharType="begin"/>
        </w:r>
        <w:r>
          <w:instrText xml:space="preserve"> PAGEREF _Toc381607165 \h </w:instrText>
        </w:r>
        <w:r>
          <w:fldChar w:fldCharType="separate"/>
        </w:r>
        <w:r>
          <w:t>17</w:t>
        </w:r>
        <w:r>
          <w:fldChar w:fldCharType="end"/>
        </w:r>
      </w:hyperlink>
    </w:p>
    <w:p w:rsidR="00953CD0" w:rsidRDefault="00953CD0" w:rsidP="00953CD0">
      <w:pPr>
        <w:pStyle w:val="TM2"/>
        <w:rPr>
          <w:rFonts w:eastAsia="Times New Roman"/>
        </w:rPr>
      </w:pPr>
      <w:hyperlink w:anchor="_Toc381607166" w:history="1">
        <w:r>
          <w:rPr>
            <w:rStyle w:val="Lienhypertexte"/>
          </w:rPr>
          <w:t>Thème 9-  Politiques publiques</w:t>
        </w:r>
        <w:r>
          <w:tab/>
        </w:r>
        <w:r>
          <w:fldChar w:fldCharType="begin"/>
        </w:r>
        <w:r>
          <w:instrText xml:space="preserve"> PAGEREF _Toc381607166 \h </w:instrText>
        </w:r>
        <w:r>
          <w:fldChar w:fldCharType="separate"/>
        </w:r>
        <w:r>
          <w:t>17</w:t>
        </w:r>
        <w:r>
          <w:fldChar w:fldCharType="end"/>
        </w:r>
      </w:hyperlink>
    </w:p>
    <w:p w:rsidR="00953CD0" w:rsidRDefault="00953CD0" w:rsidP="00953CD0">
      <w:pPr>
        <w:pStyle w:val="TM2"/>
        <w:rPr>
          <w:rFonts w:eastAsia="Times New Roman"/>
        </w:rPr>
      </w:pPr>
      <w:hyperlink w:anchor="_Toc381607167" w:history="1">
        <w:r>
          <w:rPr>
            <w:rStyle w:val="Lienhypertexte"/>
          </w:rPr>
          <w:t>Thème 10-  Droit à l’alimentation</w:t>
        </w:r>
        <w:r>
          <w:tab/>
        </w:r>
        <w:r>
          <w:fldChar w:fldCharType="begin"/>
        </w:r>
        <w:r>
          <w:instrText xml:space="preserve"> PAGEREF _Toc381607167 \h </w:instrText>
        </w:r>
        <w:r>
          <w:fldChar w:fldCharType="separate"/>
        </w:r>
        <w:r>
          <w:t>20</w:t>
        </w:r>
        <w:r>
          <w:fldChar w:fldCharType="end"/>
        </w:r>
      </w:hyperlink>
    </w:p>
    <w:p w:rsidR="00953CD0" w:rsidRDefault="00953CD0" w:rsidP="00953CD0">
      <w:pPr>
        <w:pStyle w:val="TM2"/>
        <w:rPr>
          <w:rFonts w:eastAsia="Times New Roman"/>
        </w:rPr>
      </w:pPr>
      <w:hyperlink w:anchor="_Toc381607168" w:history="1">
        <w:r>
          <w:rPr>
            <w:rStyle w:val="Lienhypertexte"/>
          </w:rPr>
          <w:t>Thème 11-  Droit à l’</w:t>
        </w:r>
        <w:r>
          <w:tab/>
        </w:r>
        <w:r>
          <w:fldChar w:fldCharType="begin"/>
        </w:r>
        <w:r>
          <w:instrText xml:space="preserve"> PAGEREF _Toc381607168 \h </w:instrText>
        </w:r>
        <w:r>
          <w:fldChar w:fldCharType="separate"/>
        </w:r>
        <w:r>
          <w:t>22</w:t>
        </w:r>
        <w:r>
          <w:fldChar w:fldCharType="end"/>
        </w:r>
      </w:hyperlink>
    </w:p>
    <w:p w:rsidR="00953CD0" w:rsidRDefault="00953CD0" w:rsidP="00953CD0">
      <w:pPr>
        <w:pStyle w:val="TM2"/>
        <w:rPr>
          <w:rFonts w:eastAsia="Times New Roman"/>
        </w:rPr>
      </w:pPr>
      <w:hyperlink w:anchor="_Toc381607169" w:history="1">
        <w:r>
          <w:rPr>
            <w:rStyle w:val="Lienhypertexte"/>
          </w:rPr>
          <w:t>Thème 12-  Droit au logement convenable et aux services sociaux de base</w:t>
        </w:r>
        <w:r>
          <w:tab/>
        </w:r>
        <w:r>
          <w:fldChar w:fldCharType="begin"/>
        </w:r>
        <w:r>
          <w:instrText xml:space="preserve"> PAGEREF _Toc381607169 \h </w:instrText>
        </w:r>
        <w:r>
          <w:fldChar w:fldCharType="separate"/>
        </w:r>
        <w:r>
          <w:t>23</w:t>
        </w:r>
        <w:r>
          <w:fldChar w:fldCharType="end"/>
        </w:r>
      </w:hyperlink>
    </w:p>
    <w:p w:rsidR="00953CD0" w:rsidRDefault="00953CD0" w:rsidP="00953CD0">
      <w:pPr>
        <w:pStyle w:val="TM2"/>
        <w:rPr>
          <w:rFonts w:eastAsia="Times New Roman"/>
        </w:rPr>
      </w:pPr>
      <w:hyperlink w:anchor="_Toc381607170" w:history="1">
        <w:r>
          <w:rPr>
            <w:rStyle w:val="Lienhypertexte"/>
          </w:rPr>
          <w:t>Thème 13-  Traite des êtres humains</w:t>
        </w:r>
        <w:r>
          <w:tab/>
        </w:r>
        <w:r>
          <w:fldChar w:fldCharType="begin"/>
        </w:r>
        <w:r>
          <w:instrText xml:space="preserve"> PAGEREF _Toc381607170 \h </w:instrText>
        </w:r>
        <w:r>
          <w:fldChar w:fldCharType="separate"/>
        </w:r>
        <w:r>
          <w:t>24</w:t>
        </w:r>
        <w:r>
          <w:fldChar w:fldCharType="end"/>
        </w:r>
      </w:hyperlink>
    </w:p>
    <w:p w:rsidR="00953CD0" w:rsidRDefault="00953CD0" w:rsidP="00953CD0">
      <w:pPr>
        <w:pStyle w:val="TM2"/>
        <w:rPr>
          <w:rFonts w:eastAsia="Times New Roman"/>
        </w:rPr>
      </w:pPr>
      <w:hyperlink w:anchor="_Toc381607171" w:history="1">
        <w:r>
          <w:rPr>
            <w:rStyle w:val="Lienhypertexte"/>
          </w:rPr>
          <w:t>Thème 14- Droits des femmes</w:t>
        </w:r>
        <w:r>
          <w:tab/>
        </w:r>
        <w:r>
          <w:fldChar w:fldCharType="begin"/>
        </w:r>
        <w:r>
          <w:instrText xml:space="preserve"> PAGEREF _Toc381607171 \h </w:instrText>
        </w:r>
        <w:r>
          <w:fldChar w:fldCharType="separate"/>
        </w:r>
        <w:r>
          <w:t>25</w:t>
        </w:r>
        <w:r>
          <w:fldChar w:fldCharType="end"/>
        </w:r>
      </w:hyperlink>
    </w:p>
    <w:p w:rsidR="00953CD0" w:rsidRDefault="00953CD0" w:rsidP="00953CD0">
      <w:pPr>
        <w:pStyle w:val="TM3"/>
        <w:tabs>
          <w:tab w:val="left" w:pos="880"/>
          <w:tab w:val="right" w:leader="dot" w:pos="9350"/>
        </w:tabs>
        <w:rPr>
          <w:rFonts w:eastAsia="Times New Roman"/>
          <w:noProof/>
        </w:rPr>
      </w:pPr>
      <w:hyperlink w:anchor="_Toc381607172" w:history="1">
        <w:r>
          <w:rPr>
            <w:rStyle w:val="Lienhypertexte"/>
            <w:noProof/>
          </w:rPr>
          <w:t>a.</w:t>
        </w:r>
        <w:r>
          <w:rPr>
            <w:rFonts w:eastAsia="Times New Roman"/>
            <w:noProof/>
          </w:rPr>
          <w:tab/>
        </w:r>
        <w:r>
          <w:rPr>
            <w:rStyle w:val="Lienhypertexte"/>
            <w:noProof/>
          </w:rPr>
          <w:t>Lutte contre les violences faites aux femmes</w:t>
        </w:r>
        <w:r>
          <w:rPr>
            <w:noProof/>
          </w:rPr>
          <w:tab/>
        </w:r>
        <w:r>
          <w:rPr>
            <w:noProof/>
          </w:rPr>
          <w:fldChar w:fldCharType="begin"/>
        </w:r>
        <w:r>
          <w:rPr>
            <w:noProof/>
          </w:rPr>
          <w:instrText xml:space="preserve"> PAGEREF _Toc381607172 \h </w:instrText>
        </w:r>
        <w:r>
          <w:rPr>
            <w:noProof/>
          </w:rPr>
        </w:r>
        <w:r>
          <w:rPr>
            <w:noProof/>
          </w:rPr>
          <w:fldChar w:fldCharType="separate"/>
        </w:r>
        <w:r>
          <w:rPr>
            <w:noProof/>
          </w:rPr>
          <w:t>25</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73" w:history="1">
        <w:r>
          <w:rPr>
            <w:rStyle w:val="Lienhypertexte"/>
            <w:noProof/>
          </w:rPr>
          <w:t>b.</w:t>
        </w:r>
        <w:r>
          <w:rPr>
            <w:rFonts w:eastAsia="Times New Roman"/>
            <w:noProof/>
          </w:rPr>
          <w:tab/>
        </w:r>
        <w:r>
          <w:rPr>
            <w:rStyle w:val="Lienhypertexte"/>
            <w:noProof/>
          </w:rPr>
          <w:t>Prévention de la violence faites aux femmes dans les camps de déplacés</w:t>
        </w:r>
        <w:r>
          <w:rPr>
            <w:noProof/>
          </w:rPr>
          <w:tab/>
        </w:r>
        <w:r>
          <w:rPr>
            <w:noProof/>
          </w:rPr>
          <w:fldChar w:fldCharType="begin"/>
        </w:r>
        <w:r>
          <w:rPr>
            <w:noProof/>
          </w:rPr>
          <w:instrText xml:space="preserve"> PAGEREF _Toc381607173 \h </w:instrText>
        </w:r>
        <w:r>
          <w:rPr>
            <w:noProof/>
          </w:rPr>
        </w:r>
        <w:r>
          <w:rPr>
            <w:noProof/>
          </w:rPr>
          <w:fldChar w:fldCharType="separate"/>
        </w:r>
        <w:r>
          <w:rPr>
            <w:noProof/>
          </w:rPr>
          <w:t>26</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74" w:history="1">
        <w:r>
          <w:rPr>
            <w:rStyle w:val="Lienhypertexte"/>
            <w:noProof/>
          </w:rPr>
          <w:t>c.</w:t>
        </w:r>
        <w:r>
          <w:rPr>
            <w:rFonts w:eastAsia="Times New Roman"/>
            <w:noProof/>
          </w:rPr>
          <w:tab/>
        </w:r>
        <w:r>
          <w:rPr>
            <w:rStyle w:val="Lienhypertexte"/>
            <w:noProof/>
          </w:rPr>
          <w:t>Support à la police pour la lutte contre les violences faites aux femmes</w:t>
        </w:r>
        <w:r>
          <w:rPr>
            <w:noProof/>
          </w:rPr>
          <w:tab/>
        </w:r>
        <w:r>
          <w:rPr>
            <w:noProof/>
          </w:rPr>
          <w:fldChar w:fldCharType="begin"/>
        </w:r>
        <w:r>
          <w:rPr>
            <w:noProof/>
          </w:rPr>
          <w:instrText xml:space="preserve"> PAGEREF _Toc381607174 \h </w:instrText>
        </w:r>
        <w:r>
          <w:rPr>
            <w:noProof/>
          </w:rPr>
        </w:r>
        <w:r>
          <w:rPr>
            <w:noProof/>
          </w:rPr>
          <w:fldChar w:fldCharType="separate"/>
        </w:r>
        <w:r>
          <w:rPr>
            <w:noProof/>
          </w:rPr>
          <w:t>26</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75" w:history="1">
        <w:r>
          <w:rPr>
            <w:rStyle w:val="Lienhypertexte"/>
            <w:noProof/>
          </w:rPr>
          <w:t>d.</w:t>
        </w:r>
        <w:r>
          <w:rPr>
            <w:rFonts w:eastAsia="Times New Roman"/>
            <w:noProof/>
          </w:rPr>
          <w:tab/>
        </w:r>
        <w:r>
          <w:rPr>
            <w:rStyle w:val="Lienhypertexte"/>
            <w:noProof/>
          </w:rPr>
          <w:t>Participation des femmes au processus de décision</w:t>
        </w:r>
        <w:r>
          <w:rPr>
            <w:noProof/>
          </w:rPr>
          <w:tab/>
        </w:r>
        <w:r>
          <w:rPr>
            <w:noProof/>
          </w:rPr>
          <w:fldChar w:fldCharType="begin"/>
        </w:r>
        <w:r>
          <w:rPr>
            <w:noProof/>
          </w:rPr>
          <w:instrText xml:space="preserve"> PAGEREF _Toc381607175 \h </w:instrText>
        </w:r>
        <w:r>
          <w:rPr>
            <w:noProof/>
          </w:rPr>
        </w:r>
        <w:r>
          <w:rPr>
            <w:noProof/>
          </w:rPr>
          <w:fldChar w:fldCharType="separate"/>
        </w:r>
        <w:r>
          <w:rPr>
            <w:noProof/>
          </w:rPr>
          <w:t>27</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76" w:history="1">
        <w:r>
          <w:rPr>
            <w:rStyle w:val="Lienhypertexte"/>
            <w:noProof/>
          </w:rPr>
          <w:t>e.</w:t>
        </w:r>
        <w:r>
          <w:rPr>
            <w:rFonts w:eastAsia="Times New Roman"/>
            <w:noProof/>
          </w:rPr>
          <w:tab/>
        </w:r>
        <w:r>
          <w:rPr>
            <w:rStyle w:val="Lienhypertexte"/>
            <w:noProof/>
          </w:rPr>
          <w:t>Lutte contre la discrimination basée sur le genre</w:t>
        </w:r>
        <w:r>
          <w:rPr>
            <w:noProof/>
          </w:rPr>
          <w:tab/>
        </w:r>
        <w:r>
          <w:rPr>
            <w:noProof/>
          </w:rPr>
          <w:fldChar w:fldCharType="begin"/>
        </w:r>
        <w:r>
          <w:rPr>
            <w:noProof/>
          </w:rPr>
          <w:instrText xml:space="preserve"> PAGEREF _Toc381607176 \h </w:instrText>
        </w:r>
        <w:r>
          <w:rPr>
            <w:noProof/>
          </w:rPr>
        </w:r>
        <w:r>
          <w:rPr>
            <w:noProof/>
          </w:rPr>
          <w:fldChar w:fldCharType="separate"/>
        </w:r>
        <w:r>
          <w:rPr>
            <w:noProof/>
          </w:rPr>
          <w:t>27</w:t>
        </w:r>
        <w:r>
          <w:rPr>
            <w:noProof/>
          </w:rPr>
          <w:fldChar w:fldCharType="end"/>
        </w:r>
      </w:hyperlink>
    </w:p>
    <w:p w:rsidR="00953CD0" w:rsidRDefault="00953CD0" w:rsidP="00953CD0">
      <w:pPr>
        <w:pStyle w:val="TM2"/>
        <w:rPr>
          <w:rFonts w:eastAsia="Times New Roman"/>
        </w:rPr>
      </w:pPr>
      <w:hyperlink w:anchor="_Toc381607177" w:history="1">
        <w:r>
          <w:rPr>
            <w:rStyle w:val="Lienhypertexte"/>
            <w:rFonts w:eastAsia="Times"/>
          </w:rPr>
          <w:t>Thème 15-  Droits des enfants</w:t>
        </w:r>
        <w:r>
          <w:tab/>
        </w:r>
        <w:r>
          <w:fldChar w:fldCharType="begin"/>
        </w:r>
        <w:r>
          <w:instrText xml:space="preserve"> PAGEREF _Toc381607177 \h </w:instrText>
        </w:r>
        <w:r>
          <w:fldChar w:fldCharType="separate"/>
        </w:r>
        <w:r>
          <w:t>28</w:t>
        </w:r>
        <w:r>
          <w:fldChar w:fldCharType="end"/>
        </w:r>
      </w:hyperlink>
    </w:p>
    <w:p w:rsidR="00953CD0" w:rsidRDefault="00953CD0" w:rsidP="00953CD0">
      <w:pPr>
        <w:pStyle w:val="TM3"/>
        <w:tabs>
          <w:tab w:val="left" w:pos="880"/>
          <w:tab w:val="right" w:leader="dot" w:pos="9350"/>
        </w:tabs>
        <w:rPr>
          <w:rFonts w:eastAsia="Times New Roman"/>
          <w:noProof/>
        </w:rPr>
      </w:pPr>
      <w:hyperlink w:anchor="_Toc381607178" w:history="1">
        <w:r>
          <w:rPr>
            <w:rStyle w:val="Lienhypertexte"/>
            <w:noProof/>
          </w:rPr>
          <w:t>a.</w:t>
        </w:r>
        <w:r>
          <w:rPr>
            <w:rFonts w:eastAsia="Times New Roman"/>
            <w:noProof/>
          </w:rPr>
          <w:tab/>
        </w:r>
        <w:r>
          <w:rPr>
            <w:rStyle w:val="Lienhypertexte"/>
            <w:noProof/>
          </w:rPr>
          <w:t>Couverture santé</w:t>
        </w:r>
        <w:r>
          <w:rPr>
            <w:noProof/>
          </w:rPr>
          <w:tab/>
        </w:r>
        <w:r>
          <w:rPr>
            <w:noProof/>
          </w:rPr>
          <w:fldChar w:fldCharType="begin"/>
        </w:r>
        <w:r>
          <w:rPr>
            <w:noProof/>
          </w:rPr>
          <w:instrText xml:space="preserve"> PAGEREF _Toc381607178 \h </w:instrText>
        </w:r>
        <w:r>
          <w:rPr>
            <w:noProof/>
          </w:rPr>
        </w:r>
        <w:r>
          <w:rPr>
            <w:noProof/>
          </w:rPr>
          <w:fldChar w:fldCharType="separate"/>
        </w:r>
        <w:r>
          <w:rPr>
            <w:noProof/>
          </w:rPr>
          <w:t>28</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79" w:history="1">
        <w:r>
          <w:rPr>
            <w:rStyle w:val="Lienhypertexte"/>
            <w:noProof/>
          </w:rPr>
          <w:t>b.</w:t>
        </w:r>
        <w:r>
          <w:rPr>
            <w:rFonts w:eastAsia="Times New Roman"/>
            <w:noProof/>
          </w:rPr>
          <w:tab/>
        </w:r>
        <w:r>
          <w:rPr>
            <w:rStyle w:val="Lienhypertexte"/>
            <w:noProof/>
          </w:rPr>
          <w:t>Situation des enfants dans les rues</w:t>
        </w:r>
        <w:r>
          <w:rPr>
            <w:noProof/>
          </w:rPr>
          <w:tab/>
        </w:r>
        <w:r>
          <w:rPr>
            <w:noProof/>
          </w:rPr>
          <w:fldChar w:fldCharType="begin"/>
        </w:r>
        <w:r>
          <w:rPr>
            <w:noProof/>
          </w:rPr>
          <w:instrText xml:space="preserve"> PAGEREF _Toc381607179 \h </w:instrText>
        </w:r>
        <w:r>
          <w:rPr>
            <w:noProof/>
          </w:rPr>
        </w:r>
        <w:r>
          <w:rPr>
            <w:noProof/>
          </w:rPr>
          <w:fldChar w:fldCharType="separate"/>
        </w:r>
        <w:r>
          <w:rPr>
            <w:noProof/>
          </w:rPr>
          <w:t>28</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80" w:history="1">
        <w:r>
          <w:rPr>
            <w:rStyle w:val="Lienhypertexte"/>
            <w:noProof/>
          </w:rPr>
          <w:t>c.</w:t>
        </w:r>
        <w:r>
          <w:rPr>
            <w:rFonts w:eastAsia="Times New Roman"/>
            <w:noProof/>
          </w:rPr>
          <w:tab/>
        </w:r>
        <w:r>
          <w:rPr>
            <w:rStyle w:val="Lienhypertexte"/>
            <w:noProof/>
          </w:rPr>
          <w:t>Efforts contre le travail domestique des enfants et l’exploitation économique généralisée des enfants</w:t>
        </w:r>
        <w:r>
          <w:rPr>
            <w:noProof/>
          </w:rPr>
          <w:tab/>
        </w:r>
        <w:r>
          <w:rPr>
            <w:noProof/>
          </w:rPr>
          <w:fldChar w:fldCharType="begin"/>
        </w:r>
        <w:r>
          <w:rPr>
            <w:noProof/>
          </w:rPr>
          <w:instrText xml:space="preserve"> PAGEREF _Toc381607180 \h </w:instrText>
        </w:r>
        <w:r>
          <w:rPr>
            <w:noProof/>
          </w:rPr>
        </w:r>
        <w:r>
          <w:rPr>
            <w:noProof/>
          </w:rPr>
          <w:fldChar w:fldCharType="separate"/>
        </w:r>
        <w:r>
          <w:rPr>
            <w:noProof/>
          </w:rPr>
          <w:t>29</w:t>
        </w:r>
        <w:r>
          <w:rPr>
            <w:noProof/>
          </w:rPr>
          <w:fldChar w:fldCharType="end"/>
        </w:r>
      </w:hyperlink>
    </w:p>
    <w:p w:rsidR="00953CD0" w:rsidRDefault="00953CD0" w:rsidP="00953CD0">
      <w:pPr>
        <w:pStyle w:val="TM3"/>
        <w:tabs>
          <w:tab w:val="left" w:pos="880"/>
          <w:tab w:val="right" w:leader="dot" w:pos="9350"/>
        </w:tabs>
        <w:rPr>
          <w:rFonts w:eastAsia="Times New Roman"/>
          <w:noProof/>
        </w:rPr>
      </w:pPr>
      <w:hyperlink w:anchor="_Toc381607181" w:history="1">
        <w:r>
          <w:rPr>
            <w:rStyle w:val="Lienhypertexte"/>
            <w:noProof/>
          </w:rPr>
          <w:t>d.</w:t>
        </w:r>
        <w:r>
          <w:rPr>
            <w:rFonts w:eastAsia="Times New Roman"/>
            <w:noProof/>
          </w:rPr>
          <w:tab/>
        </w:r>
        <w:r>
          <w:rPr>
            <w:rStyle w:val="Lienhypertexte"/>
            <w:noProof/>
          </w:rPr>
          <w:t>Soumission du rapport périodique au comité des droits de l’enfant</w:t>
        </w:r>
        <w:r>
          <w:rPr>
            <w:noProof/>
          </w:rPr>
          <w:tab/>
        </w:r>
        <w:r>
          <w:rPr>
            <w:noProof/>
          </w:rPr>
          <w:fldChar w:fldCharType="begin"/>
        </w:r>
        <w:r>
          <w:rPr>
            <w:noProof/>
          </w:rPr>
          <w:instrText xml:space="preserve"> PAGEREF _Toc381607181 \h </w:instrText>
        </w:r>
        <w:r>
          <w:rPr>
            <w:noProof/>
          </w:rPr>
        </w:r>
        <w:r>
          <w:rPr>
            <w:noProof/>
          </w:rPr>
          <w:fldChar w:fldCharType="separate"/>
        </w:r>
        <w:r>
          <w:rPr>
            <w:noProof/>
          </w:rPr>
          <w:t>30</w:t>
        </w:r>
        <w:r>
          <w:rPr>
            <w:noProof/>
          </w:rPr>
          <w:fldChar w:fldCharType="end"/>
        </w:r>
      </w:hyperlink>
    </w:p>
    <w:p w:rsidR="00953CD0" w:rsidRDefault="00953CD0" w:rsidP="00953CD0">
      <w:pPr>
        <w:pStyle w:val="TM2"/>
        <w:rPr>
          <w:rFonts w:eastAsia="Times New Roman"/>
        </w:rPr>
      </w:pPr>
      <w:hyperlink w:anchor="_Toc381607182" w:history="1">
        <w:r>
          <w:rPr>
            <w:rStyle w:val="Lienhypertexte"/>
          </w:rPr>
          <w:t>Thème 16-  Droits des personnes handicapées</w:t>
        </w:r>
        <w:r>
          <w:tab/>
        </w:r>
        <w:r>
          <w:fldChar w:fldCharType="begin"/>
        </w:r>
        <w:r>
          <w:instrText xml:space="preserve"> PAGEREF _Toc381607182 \h </w:instrText>
        </w:r>
        <w:r>
          <w:fldChar w:fldCharType="separate"/>
        </w:r>
        <w:r>
          <w:t>30</w:t>
        </w:r>
        <w:r>
          <w:fldChar w:fldCharType="end"/>
        </w:r>
      </w:hyperlink>
    </w:p>
    <w:p w:rsidR="00953CD0" w:rsidRDefault="00953CD0" w:rsidP="00953CD0">
      <w:pPr>
        <w:pStyle w:val="TM2"/>
        <w:rPr>
          <w:rFonts w:eastAsia="Times New Roman"/>
        </w:rPr>
      </w:pPr>
      <w:hyperlink w:anchor="_Toc381607183" w:history="1">
        <w:r>
          <w:rPr>
            <w:rStyle w:val="Lienhypertexte"/>
          </w:rPr>
          <w:t>Thème 17-  Personnes déplacées</w:t>
        </w:r>
        <w:r>
          <w:tab/>
        </w:r>
        <w:r>
          <w:fldChar w:fldCharType="begin"/>
        </w:r>
        <w:r>
          <w:instrText xml:space="preserve"> PAGEREF _Toc381607183 \h </w:instrText>
        </w:r>
        <w:r>
          <w:fldChar w:fldCharType="separate"/>
        </w:r>
        <w:r>
          <w:t>32</w:t>
        </w:r>
        <w:r>
          <w:fldChar w:fldCharType="end"/>
        </w:r>
      </w:hyperlink>
    </w:p>
    <w:p w:rsidR="00953CD0" w:rsidRDefault="00953CD0" w:rsidP="00953CD0">
      <w:pPr>
        <w:pStyle w:val="TM2"/>
        <w:rPr>
          <w:rStyle w:val="Lienhypertexte"/>
        </w:rPr>
      </w:pPr>
      <w:hyperlink w:anchor="_Toc381607184" w:history="1">
        <w:r>
          <w:rPr>
            <w:rStyle w:val="Lienhypertexte"/>
          </w:rPr>
          <w:t>Thème 18-  État civil et identification nationale</w:t>
        </w:r>
        <w:r>
          <w:tab/>
        </w:r>
        <w:r>
          <w:fldChar w:fldCharType="begin"/>
        </w:r>
        <w:r>
          <w:instrText xml:space="preserve"> PAGEREF _Toc381607184 \h </w:instrText>
        </w:r>
        <w:r>
          <w:fldChar w:fldCharType="separate"/>
        </w:r>
        <w:r>
          <w:t>33</w:t>
        </w:r>
        <w:r>
          <w:fldChar w:fldCharType="end"/>
        </w:r>
      </w:hyperlink>
    </w:p>
    <w:p w:rsidR="00953CD0" w:rsidRDefault="00953CD0" w:rsidP="00953CD0">
      <w:r>
        <w:t>Conclusion …………………………………………………………………………………………………………………………………………….34</w:t>
      </w:r>
    </w:p>
    <w:p w:rsidR="00953CD0" w:rsidRDefault="00953CD0" w:rsidP="00953CD0">
      <w:pPr>
        <w:pStyle w:val="TM1"/>
        <w:tabs>
          <w:tab w:val="right" w:leader="dot" w:pos="9350"/>
        </w:tabs>
        <w:rPr>
          <w:rFonts w:eastAsia="Times New Roman"/>
          <w:noProof/>
        </w:rPr>
      </w:pPr>
      <w:hyperlink w:anchor="_Toc381607185" w:history="1">
        <w:r>
          <w:rPr>
            <w:rStyle w:val="Lienhypertexte"/>
            <w:noProof/>
          </w:rPr>
          <w:t>ANNEXE I: APERCU DES MESURES DE MISE EN OEUVRE DES RECOMMENDATIONS SUITE A L’EXAMEN PERIODIQUE UNIVERSEL D’HAITI</w:t>
        </w:r>
        <w:r>
          <w:rPr>
            <w:noProof/>
          </w:rPr>
          <w:tab/>
        </w:r>
        <w:r>
          <w:rPr>
            <w:noProof/>
          </w:rPr>
          <w:fldChar w:fldCharType="begin"/>
        </w:r>
        <w:r>
          <w:rPr>
            <w:noProof/>
          </w:rPr>
          <w:instrText xml:space="preserve"> PAGEREF _Toc381607185 \h </w:instrText>
        </w:r>
        <w:r>
          <w:rPr>
            <w:noProof/>
          </w:rPr>
        </w:r>
        <w:r>
          <w:rPr>
            <w:noProof/>
          </w:rPr>
          <w:fldChar w:fldCharType="separate"/>
        </w:r>
        <w:r>
          <w:rPr>
            <w:noProof/>
          </w:rPr>
          <w:t>35</w:t>
        </w:r>
        <w:r>
          <w:rPr>
            <w:noProof/>
          </w:rPr>
          <w:fldChar w:fldCharType="end"/>
        </w:r>
      </w:hyperlink>
    </w:p>
    <w:p w:rsidR="00953CD0" w:rsidRDefault="00953CD0" w:rsidP="00953CD0">
      <w:pPr>
        <w:pStyle w:val="TM1"/>
        <w:tabs>
          <w:tab w:val="right" w:leader="dot" w:pos="9350"/>
        </w:tabs>
        <w:rPr>
          <w:rFonts w:eastAsia="Times New Roman"/>
          <w:noProof/>
        </w:rPr>
      </w:pPr>
      <w:hyperlink w:anchor="_Toc381607186" w:history="1">
        <w:r>
          <w:rPr>
            <w:rStyle w:val="Lienhypertexte"/>
            <w:noProof/>
          </w:rPr>
          <w:t>ANNEXE II : APERCU DES RECOMMANDATIONS FAITES SUITE A L’EXAMEN PERIODIQUE UNIVERSEL D’HAITI</w:t>
        </w:r>
        <w:r>
          <w:rPr>
            <w:noProof/>
          </w:rPr>
          <w:tab/>
        </w:r>
        <w:r>
          <w:rPr>
            <w:noProof/>
          </w:rPr>
          <w:fldChar w:fldCharType="begin"/>
        </w:r>
        <w:r>
          <w:rPr>
            <w:noProof/>
          </w:rPr>
          <w:instrText xml:space="preserve"> PAGEREF _Toc381607186 \h </w:instrText>
        </w:r>
        <w:r>
          <w:rPr>
            <w:noProof/>
          </w:rPr>
        </w:r>
        <w:r>
          <w:rPr>
            <w:noProof/>
          </w:rPr>
          <w:fldChar w:fldCharType="separate"/>
        </w:r>
        <w:r>
          <w:rPr>
            <w:noProof/>
          </w:rPr>
          <w:t>57</w:t>
        </w:r>
        <w:r>
          <w:rPr>
            <w:noProof/>
          </w:rPr>
          <w:fldChar w:fldCharType="end"/>
        </w:r>
      </w:hyperlink>
    </w:p>
    <w:p w:rsidR="00953CD0" w:rsidRDefault="00953CD0" w:rsidP="00953CD0">
      <w:pPr>
        <w:pStyle w:val="Titre1"/>
      </w:pPr>
      <w:r>
        <w:fldChar w:fldCharType="end"/>
      </w:r>
      <w:r>
        <w:br w:type="page"/>
      </w:r>
      <w:bookmarkStart w:id="1" w:name="_Toc381607151"/>
      <w:r>
        <w:t>LISTE DES ACRONYMES</w:t>
      </w:r>
      <w:bookmarkEnd w:id="1"/>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AISE</w:t>
      </w:r>
      <w:r>
        <w:rPr>
          <w:rFonts w:ascii="Times New Roman" w:hAnsi="Times New Roman"/>
          <w:sz w:val="24"/>
        </w:rPr>
        <w:tab/>
      </w:r>
      <w:r>
        <w:rPr>
          <w:rFonts w:ascii="Times New Roman" w:hAnsi="Times New Roman"/>
          <w:sz w:val="24"/>
        </w:rPr>
        <w:tab/>
      </w:r>
      <w:r>
        <w:rPr>
          <w:rFonts w:ascii="Times New Roman" w:hAnsi="Times New Roman"/>
          <w:sz w:val="24"/>
        </w:rPr>
        <w:tab/>
        <w:t>Activité Intensive pour la Santé de l’Enfant</w:t>
      </w: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BAL</w:t>
      </w:r>
      <w:r>
        <w:rPr>
          <w:rFonts w:ascii="Times New Roman" w:hAnsi="Times New Roman"/>
          <w:sz w:val="24"/>
        </w:rPr>
        <w:tab/>
      </w:r>
      <w:r>
        <w:rPr>
          <w:rFonts w:ascii="Times New Roman" w:hAnsi="Times New Roman"/>
          <w:sz w:val="24"/>
        </w:rPr>
        <w:tab/>
      </w:r>
      <w:r>
        <w:rPr>
          <w:rFonts w:ascii="Times New Roman" w:hAnsi="Times New Roman"/>
          <w:sz w:val="24"/>
        </w:rPr>
        <w:tab/>
        <w:t>Bureau d’Assistance Légale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BLCVFF</w:t>
      </w:r>
      <w:r>
        <w:rPr>
          <w:rFonts w:ascii="Times New Roman" w:hAnsi="Times New Roman"/>
          <w:sz w:val="24"/>
        </w:rPr>
        <w:tab/>
      </w:r>
      <w:r>
        <w:rPr>
          <w:rFonts w:ascii="Times New Roman" w:hAnsi="Times New Roman"/>
          <w:sz w:val="24"/>
        </w:rPr>
        <w:tab/>
        <w:t>Bureau de Lutte contre les Violences faites aux Femmes et aux Filles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BPM</w:t>
      </w:r>
      <w:r>
        <w:rPr>
          <w:rFonts w:ascii="Times New Roman" w:hAnsi="Times New Roman"/>
          <w:sz w:val="24"/>
        </w:rPr>
        <w:tab/>
      </w:r>
      <w:r>
        <w:rPr>
          <w:rFonts w:ascii="Times New Roman" w:hAnsi="Times New Roman"/>
          <w:sz w:val="24"/>
        </w:rPr>
        <w:tab/>
      </w:r>
      <w:r>
        <w:rPr>
          <w:rFonts w:ascii="Times New Roman" w:hAnsi="Times New Roman"/>
          <w:sz w:val="24"/>
        </w:rPr>
        <w:tab/>
        <w:t>Brigade de Protection des Mineurs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BSEIPH</w:t>
      </w:r>
      <w:r>
        <w:rPr>
          <w:rFonts w:ascii="Times New Roman" w:hAnsi="Times New Roman"/>
          <w:sz w:val="24"/>
        </w:rPr>
        <w:tab/>
      </w:r>
      <w:r>
        <w:rPr>
          <w:rFonts w:ascii="Times New Roman" w:hAnsi="Times New Roman"/>
          <w:sz w:val="24"/>
        </w:rPr>
        <w:tab/>
        <w:t>Bureau du Secrétaire d’État à l’Intégration des Personnes Handicapées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CDE</w:t>
      </w:r>
      <w:r>
        <w:rPr>
          <w:rFonts w:ascii="Times New Roman" w:hAnsi="Times New Roman"/>
          <w:sz w:val="24"/>
        </w:rPr>
        <w:tab/>
      </w:r>
      <w:r>
        <w:rPr>
          <w:rFonts w:ascii="Times New Roman" w:hAnsi="Times New Roman"/>
          <w:sz w:val="24"/>
        </w:rPr>
        <w:tab/>
      </w:r>
      <w:r>
        <w:rPr>
          <w:rFonts w:ascii="Times New Roman" w:hAnsi="Times New Roman"/>
          <w:sz w:val="24"/>
        </w:rPr>
        <w:tab/>
        <w:t>Convention relative aux Droits de l’Enfant</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CIDP</w:t>
      </w:r>
      <w:r>
        <w:rPr>
          <w:rFonts w:ascii="Times New Roman" w:hAnsi="Times New Roman"/>
          <w:sz w:val="24"/>
        </w:rPr>
        <w:tab/>
      </w:r>
      <w:r>
        <w:rPr>
          <w:rFonts w:ascii="Times New Roman" w:hAnsi="Times New Roman"/>
          <w:sz w:val="24"/>
        </w:rPr>
        <w:tab/>
      </w:r>
      <w:r>
        <w:rPr>
          <w:rFonts w:ascii="Times New Roman" w:hAnsi="Times New Roman"/>
          <w:sz w:val="24"/>
        </w:rPr>
        <w:tab/>
        <w:t>Comité Interministériel des Droits de la Personne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CSAFP</w:t>
      </w:r>
      <w:r>
        <w:rPr>
          <w:rFonts w:ascii="Times New Roman" w:hAnsi="Times New Roman"/>
          <w:sz w:val="24"/>
        </w:rPr>
        <w:tab/>
      </w:r>
      <w:r>
        <w:rPr>
          <w:rFonts w:ascii="Times New Roman" w:hAnsi="Times New Roman"/>
          <w:sz w:val="24"/>
        </w:rPr>
        <w:tab/>
        <w:t>Conseil Supérieur de l’Administration et de la Fonction Publique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CSPJ</w:t>
      </w:r>
      <w:r>
        <w:rPr>
          <w:rFonts w:ascii="Times New Roman" w:hAnsi="Times New Roman"/>
          <w:sz w:val="24"/>
        </w:rPr>
        <w:tab/>
      </w:r>
      <w:r>
        <w:rPr>
          <w:rFonts w:ascii="Times New Roman" w:hAnsi="Times New Roman"/>
          <w:sz w:val="24"/>
        </w:rPr>
        <w:tab/>
      </w:r>
      <w:r>
        <w:rPr>
          <w:rFonts w:ascii="Times New Roman" w:hAnsi="Times New Roman"/>
          <w:sz w:val="24"/>
        </w:rPr>
        <w:tab/>
        <w:t>Conseil Supérieur du Pouvoir Judiciaire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CSPN</w:t>
      </w:r>
      <w:r>
        <w:rPr>
          <w:rFonts w:ascii="Times New Roman" w:hAnsi="Times New Roman"/>
          <w:sz w:val="24"/>
        </w:rPr>
        <w:tab/>
      </w:r>
      <w:r>
        <w:rPr>
          <w:rFonts w:ascii="Times New Roman" w:hAnsi="Times New Roman"/>
          <w:sz w:val="24"/>
        </w:rPr>
        <w:tab/>
      </w:r>
      <w:r>
        <w:rPr>
          <w:rFonts w:ascii="Times New Roman" w:hAnsi="Times New Roman"/>
          <w:sz w:val="24"/>
        </w:rPr>
        <w:tab/>
        <w:t>Conseil Supérieur de la Police Nationale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CTCEP</w:t>
      </w:r>
      <w:r>
        <w:rPr>
          <w:rFonts w:ascii="Times New Roman" w:hAnsi="Times New Roman"/>
          <w:sz w:val="24"/>
        </w:rPr>
        <w:tab/>
      </w:r>
      <w:r>
        <w:rPr>
          <w:rFonts w:ascii="Times New Roman" w:hAnsi="Times New Roman"/>
          <w:sz w:val="24"/>
        </w:rPr>
        <w:tab/>
        <w:t>Collège Transitoire du Conseil Electoral Permanent</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DAP</w:t>
      </w:r>
      <w:r>
        <w:rPr>
          <w:rFonts w:ascii="Times New Roman" w:hAnsi="Times New Roman"/>
          <w:sz w:val="24"/>
        </w:rPr>
        <w:tab/>
      </w:r>
      <w:r>
        <w:rPr>
          <w:rFonts w:ascii="Times New Roman" w:hAnsi="Times New Roman"/>
          <w:sz w:val="24"/>
        </w:rPr>
        <w:tab/>
      </w:r>
      <w:r>
        <w:rPr>
          <w:rFonts w:ascii="Times New Roman" w:hAnsi="Times New Roman"/>
          <w:sz w:val="24"/>
        </w:rPr>
        <w:tab/>
        <w:t xml:space="preserve">Direction de l’Administration Pénitentiaire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DIE</w:t>
      </w:r>
      <w:r>
        <w:rPr>
          <w:rFonts w:ascii="Times New Roman" w:hAnsi="Times New Roman"/>
          <w:sz w:val="24"/>
        </w:rPr>
        <w:tab/>
      </w:r>
      <w:r>
        <w:rPr>
          <w:rFonts w:ascii="Times New Roman" w:hAnsi="Times New Roman"/>
          <w:sz w:val="24"/>
        </w:rPr>
        <w:tab/>
      </w:r>
      <w:r>
        <w:rPr>
          <w:rFonts w:ascii="Times New Roman" w:hAnsi="Times New Roman"/>
          <w:sz w:val="24"/>
        </w:rPr>
        <w:tab/>
        <w:t>Direction de l’Immigration et de l’Emigration</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DPC</w:t>
      </w:r>
      <w:r>
        <w:rPr>
          <w:rFonts w:ascii="Times New Roman" w:hAnsi="Times New Roman"/>
          <w:sz w:val="24"/>
        </w:rPr>
        <w:tab/>
      </w:r>
      <w:r>
        <w:rPr>
          <w:rFonts w:ascii="Times New Roman" w:hAnsi="Times New Roman"/>
          <w:sz w:val="24"/>
        </w:rPr>
        <w:tab/>
      </w:r>
      <w:r>
        <w:rPr>
          <w:rFonts w:ascii="Times New Roman" w:hAnsi="Times New Roman"/>
          <w:sz w:val="24"/>
        </w:rPr>
        <w:tab/>
        <w:t>Direction de la Protection Civile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EMA</w:t>
      </w:r>
      <w:r>
        <w:rPr>
          <w:rFonts w:ascii="Times New Roman" w:hAnsi="Times New Roman"/>
          <w:sz w:val="24"/>
        </w:rPr>
        <w:tab/>
      </w:r>
      <w:r>
        <w:rPr>
          <w:rFonts w:ascii="Times New Roman" w:hAnsi="Times New Roman"/>
          <w:sz w:val="24"/>
        </w:rPr>
        <w:tab/>
      </w:r>
      <w:r>
        <w:rPr>
          <w:rFonts w:ascii="Times New Roman" w:hAnsi="Times New Roman"/>
          <w:sz w:val="24"/>
        </w:rPr>
        <w:tab/>
        <w:t>Ecole de la Magistrature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EPU</w:t>
      </w:r>
      <w:r>
        <w:rPr>
          <w:rFonts w:ascii="Times New Roman" w:hAnsi="Times New Roman"/>
          <w:sz w:val="24"/>
        </w:rPr>
        <w:tab/>
      </w:r>
      <w:r>
        <w:rPr>
          <w:rFonts w:ascii="Times New Roman" w:hAnsi="Times New Roman"/>
          <w:sz w:val="24"/>
        </w:rPr>
        <w:tab/>
      </w:r>
      <w:r>
        <w:rPr>
          <w:rFonts w:ascii="Times New Roman" w:hAnsi="Times New Roman"/>
          <w:sz w:val="24"/>
        </w:rPr>
        <w:tab/>
        <w:t>Examen Périodique Universel</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FAES</w:t>
      </w:r>
      <w:r>
        <w:rPr>
          <w:rFonts w:ascii="Times New Roman" w:hAnsi="Times New Roman"/>
          <w:sz w:val="24"/>
        </w:rPr>
        <w:tab/>
      </w:r>
      <w:r>
        <w:rPr>
          <w:rFonts w:ascii="Times New Roman" w:hAnsi="Times New Roman"/>
          <w:sz w:val="24"/>
        </w:rPr>
        <w:tab/>
      </w:r>
      <w:r>
        <w:rPr>
          <w:rFonts w:ascii="Times New Roman" w:hAnsi="Times New Roman"/>
          <w:sz w:val="24"/>
        </w:rPr>
        <w:tab/>
        <w:t>Fond d’Assistance Economique et Sociale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FNE</w:t>
      </w:r>
      <w:r>
        <w:rPr>
          <w:rFonts w:ascii="Times New Roman" w:hAnsi="Times New Roman"/>
          <w:sz w:val="24"/>
        </w:rPr>
        <w:tab/>
      </w:r>
      <w:r>
        <w:rPr>
          <w:rFonts w:ascii="Times New Roman" w:hAnsi="Times New Roman"/>
          <w:sz w:val="24"/>
        </w:rPr>
        <w:tab/>
      </w:r>
      <w:r>
        <w:rPr>
          <w:rFonts w:ascii="Times New Roman" w:hAnsi="Times New Roman"/>
          <w:sz w:val="24"/>
        </w:rPr>
        <w:tab/>
        <w:t xml:space="preserve">Fonds National de l’Education </w:t>
      </w: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 xml:space="preserve"> </w:t>
      </w:r>
      <w:bookmarkStart w:id="2" w:name="_GoBack"/>
      <w:bookmarkEnd w:id="2"/>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IBESR</w:t>
      </w:r>
      <w:r>
        <w:rPr>
          <w:rFonts w:ascii="Times New Roman" w:hAnsi="Times New Roman"/>
          <w:sz w:val="24"/>
        </w:rPr>
        <w:tab/>
      </w:r>
      <w:r>
        <w:rPr>
          <w:rFonts w:ascii="Times New Roman" w:hAnsi="Times New Roman"/>
          <w:sz w:val="24"/>
        </w:rPr>
        <w:tab/>
      </w:r>
      <w:r>
        <w:rPr>
          <w:rFonts w:ascii="Times New Roman" w:hAnsi="Times New Roman"/>
          <w:sz w:val="24"/>
        </w:rPr>
        <w:tab/>
        <w:t>Institut du Bien- être Social et des Recherches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IGPNH</w:t>
      </w:r>
      <w:r>
        <w:rPr>
          <w:rFonts w:ascii="Times New Roman" w:hAnsi="Times New Roman"/>
          <w:sz w:val="24"/>
        </w:rPr>
        <w:tab/>
      </w:r>
      <w:r>
        <w:rPr>
          <w:rFonts w:ascii="Times New Roman" w:hAnsi="Times New Roman"/>
          <w:sz w:val="24"/>
        </w:rPr>
        <w:tab/>
        <w:t xml:space="preserve">Inspection Générale de la Police Nationale d’Haïti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MAE</w:t>
      </w:r>
      <w:r>
        <w:rPr>
          <w:rFonts w:ascii="Times New Roman" w:hAnsi="Times New Roman"/>
          <w:sz w:val="24"/>
        </w:rPr>
        <w:tab/>
      </w:r>
      <w:r>
        <w:rPr>
          <w:rFonts w:ascii="Times New Roman" w:hAnsi="Times New Roman"/>
          <w:sz w:val="24"/>
        </w:rPr>
        <w:tab/>
      </w:r>
      <w:r>
        <w:rPr>
          <w:rFonts w:ascii="Times New Roman" w:hAnsi="Times New Roman"/>
          <w:sz w:val="24"/>
        </w:rPr>
        <w:tab/>
        <w:t>Ministère des Affaires Etrangères et des Cultes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ind w:left="2160" w:hanging="2160"/>
        <w:rPr>
          <w:rFonts w:ascii="Times New Roman" w:hAnsi="Times New Roman"/>
          <w:sz w:val="24"/>
        </w:rPr>
      </w:pPr>
      <w:r>
        <w:rPr>
          <w:rFonts w:ascii="Times New Roman" w:hAnsi="Times New Roman"/>
          <w:sz w:val="24"/>
        </w:rPr>
        <w:t>MARDNR</w:t>
      </w:r>
      <w:r>
        <w:rPr>
          <w:rFonts w:ascii="Times New Roman" w:hAnsi="Times New Roman"/>
          <w:sz w:val="24"/>
        </w:rPr>
        <w:tab/>
        <w:t>Ministère de l’Agriculture des Ressources Naturelles et du Développement Rural</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MAST</w:t>
      </w:r>
      <w:r>
        <w:rPr>
          <w:rFonts w:ascii="Times New Roman" w:hAnsi="Times New Roman"/>
          <w:sz w:val="24"/>
        </w:rPr>
        <w:tab/>
      </w:r>
      <w:r>
        <w:rPr>
          <w:rFonts w:ascii="Times New Roman" w:hAnsi="Times New Roman"/>
          <w:sz w:val="24"/>
        </w:rPr>
        <w:tab/>
      </w:r>
      <w:r>
        <w:rPr>
          <w:rFonts w:ascii="Times New Roman" w:hAnsi="Times New Roman"/>
          <w:sz w:val="24"/>
        </w:rPr>
        <w:tab/>
        <w:t>Ministère des Affaires Sociales et du Travail</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MCFDF</w:t>
      </w:r>
      <w:r>
        <w:rPr>
          <w:rFonts w:ascii="Times New Roman" w:hAnsi="Times New Roman"/>
          <w:sz w:val="24"/>
        </w:rPr>
        <w:tab/>
      </w:r>
      <w:r>
        <w:rPr>
          <w:rFonts w:ascii="Times New Roman" w:hAnsi="Times New Roman"/>
          <w:sz w:val="24"/>
        </w:rPr>
        <w:tab/>
        <w:t>Ministère à la Condition Féminine et aux Droits des Femmes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MENFP</w:t>
      </w:r>
      <w:r>
        <w:rPr>
          <w:rFonts w:ascii="Times New Roman" w:hAnsi="Times New Roman"/>
          <w:sz w:val="24"/>
        </w:rPr>
        <w:tab/>
      </w:r>
      <w:r>
        <w:rPr>
          <w:rFonts w:ascii="Times New Roman" w:hAnsi="Times New Roman"/>
          <w:sz w:val="24"/>
        </w:rPr>
        <w:tab/>
        <w:t>Ministère de l’Education Nationale et de la Formation Professionnelle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MICT</w:t>
      </w:r>
      <w:r>
        <w:rPr>
          <w:rFonts w:ascii="Times New Roman" w:hAnsi="Times New Roman"/>
          <w:sz w:val="24"/>
        </w:rPr>
        <w:tab/>
      </w:r>
      <w:r>
        <w:rPr>
          <w:rFonts w:ascii="Times New Roman" w:hAnsi="Times New Roman"/>
          <w:sz w:val="24"/>
        </w:rPr>
        <w:tab/>
      </w:r>
      <w:r>
        <w:rPr>
          <w:rFonts w:ascii="Times New Roman" w:hAnsi="Times New Roman"/>
          <w:sz w:val="24"/>
        </w:rPr>
        <w:tab/>
        <w:t>Ministère de l’Intérieur et des Collectivités Territoriales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MJSP</w:t>
      </w:r>
      <w:r>
        <w:rPr>
          <w:rFonts w:ascii="Times New Roman" w:hAnsi="Times New Roman"/>
          <w:sz w:val="24"/>
        </w:rPr>
        <w:tab/>
      </w:r>
      <w:r>
        <w:rPr>
          <w:rFonts w:ascii="Times New Roman" w:hAnsi="Times New Roman"/>
          <w:sz w:val="24"/>
        </w:rPr>
        <w:tab/>
      </w:r>
      <w:r>
        <w:rPr>
          <w:rFonts w:ascii="Times New Roman" w:hAnsi="Times New Roman"/>
          <w:sz w:val="24"/>
        </w:rPr>
        <w:tab/>
        <w:t xml:space="preserve">Ministère de la Justice et de la Sécurité Publique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MINUSTAH</w:t>
      </w:r>
      <w:r>
        <w:rPr>
          <w:rFonts w:ascii="Times New Roman" w:hAnsi="Times New Roman"/>
          <w:sz w:val="24"/>
        </w:rPr>
        <w:tab/>
      </w:r>
      <w:r>
        <w:rPr>
          <w:rFonts w:ascii="Times New Roman" w:hAnsi="Times New Roman"/>
          <w:sz w:val="24"/>
        </w:rPr>
        <w:tab/>
        <w:t>Mission des Nations Unies pour la Stabilisation en Haïti</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MSPP</w:t>
      </w:r>
      <w:r>
        <w:rPr>
          <w:rFonts w:ascii="Times New Roman" w:hAnsi="Times New Roman"/>
          <w:sz w:val="24"/>
        </w:rPr>
        <w:tab/>
      </w:r>
      <w:r>
        <w:rPr>
          <w:rFonts w:ascii="Times New Roman" w:hAnsi="Times New Roman"/>
          <w:sz w:val="24"/>
        </w:rPr>
        <w:tab/>
      </w:r>
      <w:r>
        <w:rPr>
          <w:rFonts w:ascii="Times New Roman" w:hAnsi="Times New Roman"/>
          <w:sz w:val="24"/>
        </w:rPr>
        <w:tab/>
        <w:t>Ministère de la Santé Publique et de la Population</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MTPTC</w:t>
      </w:r>
      <w:r>
        <w:rPr>
          <w:rFonts w:ascii="Times New Roman" w:hAnsi="Times New Roman"/>
          <w:sz w:val="24"/>
        </w:rPr>
        <w:tab/>
      </w:r>
      <w:r>
        <w:rPr>
          <w:rFonts w:ascii="Times New Roman" w:hAnsi="Times New Roman"/>
          <w:sz w:val="24"/>
        </w:rPr>
        <w:tab/>
        <w:t xml:space="preserve">Ministère des Travaux Publics, Transports, Communications et Energies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OMRH</w:t>
      </w:r>
      <w:r>
        <w:rPr>
          <w:rFonts w:ascii="Times New Roman" w:hAnsi="Times New Roman"/>
          <w:sz w:val="24"/>
        </w:rPr>
        <w:tab/>
      </w:r>
      <w:r>
        <w:rPr>
          <w:rFonts w:ascii="Times New Roman" w:hAnsi="Times New Roman"/>
          <w:sz w:val="24"/>
        </w:rPr>
        <w:tab/>
        <w:t xml:space="preserve">Office de Management et des Ressources Humaines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OIM</w:t>
      </w:r>
      <w:r>
        <w:rPr>
          <w:rFonts w:ascii="Times New Roman" w:hAnsi="Times New Roman"/>
          <w:sz w:val="24"/>
        </w:rPr>
        <w:tab/>
      </w:r>
      <w:r>
        <w:rPr>
          <w:rFonts w:ascii="Times New Roman" w:hAnsi="Times New Roman"/>
          <w:sz w:val="24"/>
        </w:rPr>
        <w:tab/>
      </w:r>
      <w:r>
        <w:rPr>
          <w:rFonts w:ascii="Times New Roman" w:hAnsi="Times New Roman"/>
          <w:sz w:val="24"/>
        </w:rPr>
        <w:tab/>
        <w:t>Organisation Internationale pour les Migrations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OIT</w:t>
      </w:r>
      <w:r>
        <w:rPr>
          <w:rFonts w:ascii="Times New Roman" w:hAnsi="Times New Roman"/>
          <w:sz w:val="24"/>
        </w:rPr>
        <w:tab/>
      </w:r>
      <w:r>
        <w:rPr>
          <w:rFonts w:ascii="Times New Roman" w:hAnsi="Times New Roman"/>
          <w:sz w:val="24"/>
        </w:rPr>
        <w:tab/>
      </w:r>
      <w:r>
        <w:rPr>
          <w:rFonts w:ascii="Times New Roman" w:hAnsi="Times New Roman"/>
          <w:sz w:val="24"/>
        </w:rPr>
        <w:tab/>
        <w:t>Organisation Internationale du Travail</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ONI</w:t>
      </w:r>
      <w:r>
        <w:rPr>
          <w:rFonts w:ascii="Times New Roman" w:hAnsi="Times New Roman"/>
          <w:sz w:val="24"/>
        </w:rPr>
        <w:tab/>
      </w:r>
      <w:r>
        <w:rPr>
          <w:rFonts w:ascii="Times New Roman" w:hAnsi="Times New Roman"/>
          <w:sz w:val="24"/>
        </w:rPr>
        <w:tab/>
      </w:r>
      <w:r>
        <w:rPr>
          <w:rFonts w:ascii="Times New Roman" w:hAnsi="Times New Roman"/>
          <w:sz w:val="24"/>
        </w:rPr>
        <w:tab/>
        <w:t>Office de l’Identification Nationale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OPC</w:t>
      </w:r>
      <w:r>
        <w:rPr>
          <w:rFonts w:ascii="Times New Roman" w:hAnsi="Times New Roman"/>
          <w:sz w:val="24"/>
        </w:rPr>
        <w:tab/>
      </w:r>
      <w:r>
        <w:rPr>
          <w:rFonts w:ascii="Times New Roman" w:hAnsi="Times New Roman"/>
          <w:sz w:val="24"/>
        </w:rPr>
        <w:tab/>
      </w:r>
      <w:r>
        <w:rPr>
          <w:rFonts w:ascii="Times New Roman" w:hAnsi="Times New Roman"/>
          <w:sz w:val="24"/>
        </w:rPr>
        <w:tab/>
        <w:t>Office de la Protection du Citoyen</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PAH</w:t>
      </w:r>
      <w:r>
        <w:rPr>
          <w:rFonts w:ascii="Times New Roman" w:hAnsi="Times New Roman"/>
          <w:sz w:val="24"/>
        </w:rPr>
        <w:tab/>
      </w:r>
      <w:r>
        <w:rPr>
          <w:rFonts w:ascii="Times New Roman" w:hAnsi="Times New Roman"/>
          <w:sz w:val="24"/>
        </w:rPr>
        <w:tab/>
      </w:r>
      <w:r>
        <w:rPr>
          <w:rFonts w:ascii="Times New Roman" w:hAnsi="Times New Roman"/>
          <w:sz w:val="24"/>
        </w:rPr>
        <w:tab/>
        <w:t>Plan d’Action Humanitaire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PAM</w:t>
      </w:r>
      <w:r>
        <w:rPr>
          <w:rFonts w:ascii="Times New Roman" w:hAnsi="Times New Roman"/>
          <w:sz w:val="24"/>
        </w:rPr>
        <w:tab/>
      </w:r>
      <w:r>
        <w:rPr>
          <w:rFonts w:ascii="Times New Roman" w:hAnsi="Times New Roman"/>
          <w:sz w:val="24"/>
        </w:rPr>
        <w:tab/>
      </w:r>
      <w:r>
        <w:rPr>
          <w:rFonts w:ascii="Times New Roman" w:hAnsi="Times New Roman"/>
          <w:sz w:val="24"/>
        </w:rPr>
        <w:tab/>
        <w:t>Programme Alimentaire Mondial</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PDS</w:t>
      </w:r>
      <w:r>
        <w:rPr>
          <w:rFonts w:ascii="Times New Roman" w:hAnsi="Times New Roman"/>
          <w:sz w:val="24"/>
        </w:rPr>
        <w:tab/>
      </w:r>
      <w:r>
        <w:rPr>
          <w:rFonts w:ascii="Times New Roman" w:hAnsi="Times New Roman"/>
          <w:sz w:val="24"/>
        </w:rPr>
        <w:tab/>
      </w:r>
      <w:r>
        <w:rPr>
          <w:rFonts w:ascii="Times New Roman" w:hAnsi="Times New Roman"/>
          <w:sz w:val="24"/>
        </w:rPr>
        <w:tab/>
        <w:t xml:space="preserve">Plan Directeur en Santé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PEV</w:t>
      </w:r>
      <w:r>
        <w:rPr>
          <w:rFonts w:ascii="Times New Roman" w:hAnsi="Times New Roman"/>
          <w:sz w:val="24"/>
        </w:rPr>
        <w:tab/>
      </w:r>
      <w:r>
        <w:rPr>
          <w:rFonts w:ascii="Times New Roman" w:hAnsi="Times New Roman"/>
          <w:sz w:val="24"/>
        </w:rPr>
        <w:tab/>
      </w:r>
      <w:r>
        <w:rPr>
          <w:rFonts w:ascii="Times New Roman" w:hAnsi="Times New Roman"/>
          <w:sz w:val="24"/>
        </w:rPr>
        <w:tab/>
        <w:t>Programme Elargi de Vaccination</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PNH</w:t>
      </w:r>
      <w:r>
        <w:rPr>
          <w:rFonts w:ascii="Times New Roman" w:hAnsi="Times New Roman"/>
          <w:sz w:val="24"/>
        </w:rPr>
        <w:tab/>
      </w:r>
      <w:r>
        <w:rPr>
          <w:rFonts w:ascii="Times New Roman" w:hAnsi="Times New Roman"/>
          <w:sz w:val="24"/>
        </w:rPr>
        <w:tab/>
      </w:r>
      <w:r>
        <w:rPr>
          <w:rFonts w:ascii="Times New Roman" w:hAnsi="Times New Roman"/>
          <w:sz w:val="24"/>
        </w:rPr>
        <w:tab/>
        <w:t>Police Nationale d’Haïti</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PNS</w:t>
      </w:r>
      <w:r>
        <w:rPr>
          <w:rFonts w:ascii="Times New Roman" w:hAnsi="Times New Roman"/>
          <w:sz w:val="24"/>
        </w:rPr>
        <w:tab/>
      </w:r>
      <w:r>
        <w:rPr>
          <w:rFonts w:ascii="Times New Roman" w:hAnsi="Times New Roman"/>
          <w:sz w:val="24"/>
        </w:rPr>
        <w:tab/>
      </w:r>
      <w:r>
        <w:rPr>
          <w:rFonts w:ascii="Times New Roman" w:hAnsi="Times New Roman"/>
          <w:sz w:val="24"/>
        </w:rPr>
        <w:tab/>
        <w:t xml:space="preserve">Politique Nationale de Santé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PNLH</w:t>
      </w:r>
      <w:r>
        <w:rPr>
          <w:rFonts w:ascii="Times New Roman" w:hAnsi="Times New Roman"/>
          <w:sz w:val="24"/>
        </w:rPr>
        <w:tab/>
      </w:r>
      <w:r>
        <w:rPr>
          <w:rFonts w:ascii="Times New Roman" w:hAnsi="Times New Roman"/>
          <w:sz w:val="24"/>
        </w:rPr>
        <w:tab/>
      </w:r>
      <w:r>
        <w:rPr>
          <w:rFonts w:ascii="Times New Roman" w:hAnsi="Times New Roman"/>
          <w:sz w:val="24"/>
        </w:rPr>
        <w:tab/>
        <w:t>Politique Nationale de Logement et d’Habitat</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PNUD</w:t>
      </w:r>
      <w:r>
        <w:rPr>
          <w:rFonts w:ascii="Times New Roman" w:hAnsi="Times New Roman"/>
          <w:sz w:val="24"/>
        </w:rPr>
        <w:tab/>
      </w:r>
      <w:r>
        <w:rPr>
          <w:rFonts w:ascii="Times New Roman" w:hAnsi="Times New Roman"/>
          <w:sz w:val="24"/>
        </w:rPr>
        <w:tab/>
      </w:r>
      <w:r>
        <w:rPr>
          <w:rFonts w:ascii="Times New Roman" w:hAnsi="Times New Roman"/>
          <w:sz w:val="24"/>
        </w:rPr>
        <w:tab/>
        <w:t>Programme des Nations Unies pour le Développement</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PSUGO</w:t>
      </w:r>
      <w:r>
        <w:rPr>
          <w:rFonts w:ascii="Times New Roman" w:hAnsi="Times New Roman"/>
          <w:sz w:val="24"/>
        </w:rPr>
        <w:tab/>
      </w:r>
      <w:r>
        <w:rPr>
          <w:rFonts w:ascii="Times New Roman" w:hAnsi="Times New Roman"/>
          <w:sz w:val="24"/>
        </w:rPr>
        <w:tab/>
        <w:t>Programme de Scolarisation Universelle, Gratuite et Obligatoire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SVE</w:t>
      </w:r>
      <w:r>
        <w:rPr>
          <w:rFonts w:ascii="Times New Roman" w:hAnsi="Times New Roman"/>
          <w:sz w:val="24"/>
        </w:rPr>
        <w:tab/>
      </w:r>
      <w:r>
        <w:rPr>
          <w:rFonts w:ascii="Times New Roman" w:hAnsi="Times New Roman"/>
          <w:sz w:val="24"/>
        </w:rPr>
        <w:tab/>
      </w:r>
      <w:r>
        <w:rPr>
          <w:rFonts w:ascii="Times New Roman" w:hAnsi="Times New Roman"/>
          <w:sz w:val="24"/>
        </w:rPr>
        <w:tab/>
        <w:t xml:space="preserve">Semaine de Vaccination des Enfants </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ULCBP</w:t>
      </w:r>
      <w:r>
        <w:rPr>
          <w:rFonts w:ascii="Times New Roman" w:hAnsi="Times New Roman"/>
          <w:sz w:val="24"/>
        </w:rPr>
        <w:tab/>
      </w:r>
      <w:r>
        <w:rPr>
          <w:rFonts w:ascii="Times New Roman" w:hAnsi="Times New Roman"/>
          <w:sz w:val="24"/>
        </w:rPr>
        <w:tab/>
        <w:t>Unité de Construction des Logements et des Bâtiments Publics</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ULCC</w:t>
      </w:r>
      <w:r>
        <w:rPr>
          <w:rFonts w:ascii="Times New Roman" w:hAnsi="Times New Roman"/>
          <w:sz w:val="24"/>
        </w:rPr>
        <w:tab/>
      </w:r>
      <w:r>
        <w:rPr>
          <w:rFonts w:ascii="Times New Roman" w:hAnsi="Times New Roman"/>
          <w:sz w:val="24"/>
        </w:rPr>
        <w:tab/>
      </w:r>
      <w:r>
        <w:rPr>
          <w:rFonts w:ascii="Times New Roman" w:hAnsi="Times New Roman"/>
          <w:sz w:val="24"/>
        </w:rPr>
        <w:tab/>
        <w:t>Unité de Lutte contre la Corruption</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tabs>
          <w:tab w:val="left" w:pos="90"/>
        </w:tabs>
        <w:spacing w:after="0" w:line="240" w:lineRule="auto"/>
        <w:rPr>
          <w:rFonts w:ascii="Times New Roman" w:hAnsi="Times New Roman"/>
          <w:sz w:val="24"/>
        </w:rPr>
      </w:pPr>
      <w:r>
        <w:rPr>
          <w:rFonts w:ascii="Times New Roman" w:hAnsi="Times New Roman"/>
          <w:sz w:val="24"/>
        </w:rPr>
        <w:t>UNICEF</w:t>
      </w:r>
      <w:r>
        <w:rPr>
          <w:rFonts w:ascii="Times New Roman" w:hAnsi="Times New Roman"/>
          <w:sz w:val="24"/>
        </w:rPr>
        <w:tab/>
      </w:r>
      <w:r>
        <w:rPr>
          <w:rFonts w:ascii="Times New Roman" w:hAnsi="Times New Roman"/>
          <w:sz w:val="24"/>
        </w:rPr>
        <w:tab/>
        <w:t>Fonds des Nations Unies pour l’Enfance</w:t>
      </w:r>
    </w:p>
    <w:p w:rsidR="00953CD0" w:rsidRDefault="00953CD0" w:rsidP="00953CD0">
      <w:pPr>
        <w:tabs>
          <w:tab w:val="left" w:pos="90"/>
        </w:tabs>
        <w:spacing w:after="0" w:line="240" w:lineRule="auto"/>
        <w:rPr>
          <w:rFonts w:ascii="Times New Roman" w:hAnsi="Times New Roman"/>
          <w:sz w:val="24"/>
        </w:rPr>
      </w:pPr>
    </w:p>
    <w:p w:rsidR="00953CD0" w:rsidRDefault="00953CD0" w:rsidP="00953CD0">
      <w:pPr>
        <w:pStyle w:val="Titre1"/>
        <w:numPr>
          <w:ilvl w:val="0"/>
          <w:numId w:val="4"/>
        </w:numPr>
        <w:tabs>
          <w:tab w:val="left" w:pos="90"/>
        </w:tabs>
        <w:spacing w:before="0" w:after="0" w:line="240" w:lineRule="auto"/>
        <w:ind w:left="90" w:hanging="90"/>
      </w:pPr>
      <w:r>
        <w:br w:type="page"/>
      </w:r>
      <w:bookmarkStart w:id="3" w:name="_Toc381607152"/>
      <w:r>
        <w:t>INTRODUCTION</w:t>
      </w:r>
      <w:bookmarkEnd w:id="3"/>
    </w:p>
    <w:p w:rsidR="00953CD0" w:rsidRDefault="00953CD0" w:rsidP="00953CD0">
      <w:pPr>
        <w:tabs>
          <w:tab w:val="left" w:pos="90"/>
        </w:tabs>
        <w:suppressAutoHyphens/>
        <w:spacing w:after="0" w:line="240" w:lineRule="auto"/>
        <w:ind w:left="360"/>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Le rapport national d’Haïti a été soumis à l’appréciation des membres du Conseil des Droits de l’Homme des Nations Unies (le Conseil) le 13 octobre 2011 dans le cadre de l’Examen Périodique Universel (EPU). A l’issue de cet examen, 136 recommandations ont été faites à  Haïti par les membres du Conseil.</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 xml:space="preserve">Suite à cet examen, le groupe de travail interinstitutionnel qui avait travaillé sur la préparation du rapport national, s’est à nouveau réuni pour préparer un additif au rapport national en vue de statuer sur ces recommandations. Le Gouvernement haïtien, de concert avec le Bureau du Haut-commissariat aux Droits de l’Homme et la Section des Droits de l’Homme de la </w:t>
      </w:r>
      <w:r>
        <w:rPr>
          <w:rFonts w:ascii="Times New Roman" w:hAnsi="Times New Roman"/>
          <w:sz w:val="24"/>
        </w:rPr>
        <w:t>Mission des Nations Unies pour la Stabilisation en Haïti</w:t>
      </w:r>
      <w:r>
        <w:rPr>
          <w:rFonts w:ascii="Times New Roman" w:eastAsia="Times New Roman" w:hAnsi="Times New Roman"/>
          <w:sz w:val="24"/>
        </w:rPr>
        <w:t xml:space="preserve"> (MINUSTAH), a organisé une consultation nationale à cet effet le 14 février 2012.</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A cette consultation, ont participé les principaux organismes de défense des droits de l’homme, des organisations de la société civile tant centrales que locales, ainsi que des représentants de missions diplomatiques et des organisations internationales opérant en Haïti. A l’issue de la consultation nationale, le Gouvernement haïtien a décidé d’accepter 122 recommandations, dont trois avec réserves, et d’en rejeter 14 (voir en Annexe II). Après cette consultation nationale, le projet d’additif a été également soumis au Parlement et à la Cour de Cassation pour commentaires avant d’être transmis au Président de la République, qui l’a validé en Conseil des Ministres. Le Conseil des Droits de l’Homme des Nations Unies a adopté les résultats de l’EPU d’Haïti au cours de sa 42</w:t>
      </w:r>
      <w:r>
        <w:rPr>
          <w:rFonts w:ascii="Times New Roman" w:eastAsia="Times New Roman" w:hAnsi="Times New Roman"/>
          <w:sz w:val="24"/>
          <w:vertAlign w:val="superscript"/>
        </w:rPr>
        <w:t>ème</w:t>
      </w:r>
      <w:r>
        <w:rPr>
          <w:rFonts w:ascii="Times New Roman" w:eastAsia="Times New Roman" w:hAnsi="Times New Roman"/>
          <w:sz w:val="24"/>
        </w:rPr>
        <w:t xml:space="preserve"> réunion tenue durant  sa 19ème session, le 16 mars 2012.</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 xml:space="preserve">Conscient de la nécessité de coordonner l’action gouvernementale en matière des droits de l’homme suite à l’examen d’Haïti, le Président de la République, Son Excellence Monsieur Michel Joseph MARTELLY, a décidé de créer le poste de Ministre délégué auprès du Premier Ministre chargé des Droits de l’Homme et de la Lutte contre la Pauvreté Extrême, par Arrêté du 8 mai 2012. </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 xml:space="preserve">Le 13 mai 2013, le Premier Ministre, son Excellence Monsieur Laurent  Salvador LAMOTHE, a créé le Comité Interministériel des Droits de la personne (CIDP) par arrêté. Ce Comité a pour attributions de: </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color w:val="000000"/>
          <w:sz w:val="24"/>
        </w:rPr>
        <w:t xml:space="preserve">Assurer  la coordination et le suivi  des politiques  publiques dans le domaine des droits de l’homme ;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sz w:val="24"/>
        </w:rPr>
        <w:t xml:space="preserve">Proposer la stratégie nationale et la feuille de route pour l’application de la politique gouvernementale en matière de droits de l’homme ;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color w:val="000000"/>
          <w:sz w:val="24"/>
        </w:rPr>
        <w:t>Faire des propositions sur la politique gouvernementale en matière de droits de l’homme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color w:val="000000"/>
          <w:sz w:val="24"/>
        </w:rPr>
        <w:t xml:space="preserve">Proposer  les mesures et les actions destinées à améliorer le respect des droits de l’homme ;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color w:val="000000"/>
          <w:sz w:val="24"/>
        </w:rPr>
        <w:t xml:space="preserve">Contribuer à la promotion et à la coordination d’initiatives dans le domaine des droits de l’homme, assurer leur suivi et procéder à leur évaluation;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color w:val="000000"/>
          <w:sz w:val="24"/>
        </w:rPr>
        <w:t>Coordonner et mettre en œuvre les activités de recherche et d’analyse dans le domaine des droits de l’homme ;</w:t>
      </w:r>
      <w:r>
        <w:rPr>
          <w:rFonts w:ascii="Times New Roman" w:eastAsia="Times New Roman" w:hAnsi="Times New Roman"/>
          <w:sz w:val="24"/>
        </w:rPr>
        <w:t xml:space="preserve"> </w:t>
      </w:r>
    </w:p>
    <w:p w:rsidR="00953CD0" w:rsidRDefault="00953CD0" w:rsidP="00953CD0">
      <w:pPr>
        <w:numPr>
          <w:ilvl w:val="0"/>
          <w:numId w:val="3"/>
        </w:numPr>
        <w:tabs>
          <w:tab w:val="left" w:pos="90"/>
        </w:tabs>
        <w:suppressAutoHyphens/>
        <w:spacing w:after="0" w:line="240" w:lineRule="auto"/>
        <w:ind w:left="720" w:firstLine="0"/>
        <w:jc w:val="both"/>
        <w:rPr>
          <w:rFonts w:ascii="Times New Roman" w:eastAsia="Times New Roman" w:hAnsi="Times New Roman"/>
          <w:sz w:val="24"/>
        </w:rPr>
      </w:pPr>
      <w:r>
        <w:rPr>
          <w:rFonts w:ascii="Times New Roman" w:eastAsia="Times New Roman" w:hAnsi="Times New Roman"/>
          <w:sz w:val="24"/>
        </w:rPr>
        <w:t xml:space="preserve">Coordonner toute activité  de consultation, de préparation et d’élaboration de rapports sur l’application des conventions internationales relatives aux droits de l’homme en Haïti ; </w:t>
      </w:r>
    </w:p>
    <w:p w:rsidR="00953CD0" w:rsidRDefault="00953CD0" w:rsidP="00953CD0">
      <w:pPr>
        <w:pStyle w:val="ListParagraph1"/>
        <w:numPr>
          <w:ilvl w:val="0"/>
          <w:numId w:val="3"/>
        </w:numPr>
        <w:tabs>
          <w:tab w:val="left" w:pos="90"/>
        </w:tabs>
        <w:suppressAutoHyphens/>
        <w:spacing w:after="0" w:line="240" w:lineRule="auto"/>
        <w:ind w:left="720" w:firstLine="0"/>
        <w:jc w:val="both"/>
        <w:rPr>
          <w:rFonts w:ascii="Times New Roman" w:eastAsia="Times New Roman" w:hAnsi="Times New Roman"/>
          <w:color w:val="000000"/>
          <w:sz w:val="24"/>
        </w:rPr>
      </w:pPr>
      <w:r>
        <w:rPr>
          <w:rFonts w:ascii="Times New Roman" w:eastAsia="Times New Roman" w:hAnsi="Times New Roman"/>
          <w:color w:val="000000"/>
          <w:sz w:val="24"/>
        </w:rPr>
        <w:t xml:space="preserve">Veiller à l'harmonisation des politiques publiques au regard du standard généralement admis dans le domaine des droits de l’homme ; </w:t>
      </w:r>
    </w:p>
    <w:p w:rsidR="00953CD0" w:rsidRDefault="00953CD0" w:rsidP="00953CD0">
      <w:pPr>
        <w:pStyle w:val="ListParagraph1"/>
        <w:numPr>
          <w:ilvl w:val="0"/>
          <w:numId w:val="3"/>
        </w:numPr>
        <w:tabs>
          <w:tab w:val="left" w:pos="90"/>
        </w:tabs>
        <w:suppressAutoHyphens/>
        <w:spacing w:after="0" w:line="240" w:lineRule="auto"/>
        <w:ind w:left="720" w:firstLine="0"/>
        <w:jc w:val="both"/>
        <w:rPr>
          <w:rFonts w:ascii="Times New Roman" w:eastAsia="Times New Roman" w:hAnsi="Times New Roman"/>
          <w:color w:val="000000"/>
          <w:sz w:val="24"/>
        </w:rPr>
      </w:pPr>
      <w:r>
        <w:rPr>
          <w:rFonts w:ascii="Times New Roman" w:eastAsia="Times New Roman" w:hAnsi="Times New Roman"/>
          <w:color w:val="000000"/>
          <w:sz w:val="24"/>
        </w:rPr>
        <w:t>Identifier  les besoins communs des services publics  quant au respect des droits de l’homme ;</w:t>
      </w:r>
    </w:p>
    <w:p w:rsidR="00953CD0" w:rsidRDefault="00953CD0" w:rsidP="00953CD0">
      <w:pPr>
        <w:pStyle w:val="ListParagraph1"/>
        <w:numPr>
          <w:ilvl w:val="0"/>
          <w:numId w:val="3"/>
        </w:numPr>
        <w:tabs>
          <w:tab w:val="left" w:pos="90"/>
        </w:tabs>
        <w:suppressAutoHyphens/>
        <w:spacing w:after="0" w:line="240" w:lineRule="auto"/>
        <w:ind w:left="720" w:firstLine="0"/>
        <w:jc w:val="both"/>
        <w:rPr>
          <w:rFonts w:ascii="Times New Roman" w:eastAsia="Times New Roman" w:hAnsi="Times New Roman"/>
          <w:color w:val="000000"/>
          <w:sz w:val="24"/>
        </w:rPr>
      </w:pPr>
      <w:r>
        <w:rPr>
          <w:rFonts w:ascii="Times New Roman" w:eastAsia="Times New Roman" w:hAnsi="Times New Roman"/>
          <w:color w:val="000000"/>
          <w:sz w:val="24"/>
        </w:rPr>
        <w:t>Promouvoir les droits de la personne.</w:t>
      </w:r>
    </w:p>
    <w:p w:rsidR="00953CD0" w:rsidRDefault="00953CD0" w:rsidP="00953CD0">
      <w:pPr>
        <w:pStyle w:val="ListParagraph1"/>
        <w:tabs>
          <w:tab w:val="left" w:pos="90"/>
        </w:tabs>
        <w:suppressAutoHyphens/>
        <w:spacing w:after="0" w:line="240" w:lineRule="auto"/>
        <w:ind w:left="1260"/>
        <w:jc w:val="both"/>
        <w:rPr>
          <w:rFonts w:ascii="Times New Roman" w:eastAsia="Times New Roman" w:hAnsi="Times New Roman"/>
          <w:color w:val="000000"/>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Au sein du CIDP, cinq sous-comités ont été mis en place, dont celui pour l’élaboration du plan d’action pour l’implémentation des 122 recommandations de l’EPU.</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 xml:space="preserve">Le prochain examen d’Haïti est prévu pour octobre 2016. Ce rapport de mi-parcours constitue un  des lieux des résultats obtenus dans la mise en œuvre des recommandations acceptées, ainsi que des difficultés rencontrées au cours de ce processus. L’ébauche du présent rapport a été soumise pour commentaires à la société civile lors d’un atelier de consultation tenu le 6 février à Port-au-Prince, avec l’appui de la Section des Droits de l’Homme de la MINUSTAH, représentant également le Haut-commissariat aux Droits de l’Homme en Haïti. </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p>
    <w:p w:rsidR="00953CD0" w:rsidRDefault="00953CD0" w:rsidP="00953CD0">
      <w:pPr>
        <w:numPr>
          <w:ilvl w:val="0"/>
          <w:numId w:val="2"/>
        </w:numPr>
        <w:tabs>
          <w:tab w:val="left" w:pos="90"/>
        </w:tabs>
        <w:suppressAutoHyphens/>
        <w:spacing w:after="0" w:line="240" w:lineRule="auto"/>
        <w:ind w:left="0" w:firstLine="0"/>
        <w:jc w:val="both"/>
        <w:rPr>
          <w:rFonts w:ascii="Times New Roman" w:eastAsia="Times New Roman" w:hAnsi="Times New Roman"/>
          <w:sz w:val="24"/>
        </w:rPr>
      </w:pPr>
      <w:r>
        <w:rPr>
          <w:rFonts w:ascii="Times New Roman" w:eastAsia="Times New Roman" w:hAnsi="Times New Roman"/>
          <w:sz w:val="24"/>
        </w:rPr>
        <w:t>Ce rapport présente les mesures de mise en œuvre des recommandations  par thèmes,  prises du 1</w:t>
      </w:r>
      <w:r>
        <w:rPr>
          <w:rFonts w:ascii="Times New Roman" w:eastAsia="Times New Roman" w:hAnsi="Times New Roman"/>
          <w:sz w:val="24"/>
          <w:vertAlign w:val="superscript"/>
        </w:rPr>
        <w:t xml:space="preserve">er </w:t>
      </w:r>
      <w:r>
        <w:rPr>
          <w:rFonts w:ascii="Times New Roman" w:eastAsia="Times New Roman" w:hAnsi="Times New Roman"/>
          <w:sz w:val="24"/>
        </w:rPr>
        <w:t xml:space="preserve">mars 2012 au 31 janvier 2014. Il convient de mentionner que l’État haïtien a également effectué des progrès quant aux recommandations non acceptées. Ceux-ci sont également repris dans le présent rapport. </w:t>
      </w:r>
    </w:p>
    <w:p w:rsidR="00953CD0" w:rsidRDefault="00953CD0" w:rsidP="00953CD0">
      <w:pPr>
        <w:tabs>
          <w:tab w:val="left" w:pos="90"/>
        </w:tabs>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br w:type="page"/>
      </w:r>
    </w:p>
    <w:p w:rsidR="00953CD0" w:rsidRDefault="00953CD0" w:rsidP="00953CD0">
      <w:pPr>
        <w:pStyle w:val="Titre1"/>
        <w:tabs>
          <w:tab w:val="left" w:pos="90"/>
        </w:tabs>
        <w:spacing w:before="0" w:after="0" w:line="240" w:lineRule="auto"/>
      </w:pPr>
      <w:bookmarkStart w:id="4" w:name="_Toc381607153"/>
      <w:r>
        <w:t>II.  PROGRES REALISES DANS LE CADRE DE L’IMPLEMENTATION DES RECOMMANDATIONS DE L’EPU</w:t>
      </w:r>
      <w:bookmarkEnd w:id="4"/>
    </w:p>
    <w:p w:rsidR="00953CD0" w:rsidRDefault="00953CD0" w:rsidP="00953CD0">
      <w:pPr>
        <w:tabs>
          <w:tab w:val="left" w:pos="90"/>
        </w:tabs>
        <w:spacing w:after="0" w:line="240" w:lineRule="auto"/>
        <w:ind w:left="1080"/>
        <w:jc w:val="both"/>
        <w:rPr>
          <w:rFonts w:ascii="Times New Roman" w:hAnsi="Times New Roman"/>
          <w:b/>
          <w:sz w:val="24"/>
          <w:u w:val="single"/>
        </w:rPr>
      </w:pPr>
    </w:p>
    <w:p w:rsidR="00953CD0" w:rsidRDefault="00953CD0" w:rsidP="00953CD0">
      <w:pPr>
        <w:pStyle w:val="Titre2"/>
        <w:tabs>
          <w:tab w:val="left" w:pos="90"/>
        </w:tabs>
        <w:spacing w:before="0" w:after="0" w:line="240" w:lineRule="auto"/>
      </w:pPr>
      <w:bookmarkStart w:id="5" w:name="_Toc381607154"/>
      <w:r>
        <w:t>Thème 1-  Le renforcement de la Police Nationale d’Haïti (PNH)</w:t>
      </w:r>
      <w:bookmarkEnd w:id="5"/>
    </w:p>
    <w:p w:rsidR="00953CD0" w:rsidRDefault="00953CD0" w:rsidP="00953CD0">
      <w:pPr>
        <w:tabs>
          <w:tab w:val="left" w:pos="90"/>
        </w:tabs>
        <w:spacing w:after="0" w:line="240" w:lineRule="auto"/>
        <w:jc w:val="both"/>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center"/>
              <w:rPr>
                <w:rFonts w:ascii="Times New Roman" w:hAnsi="Times New Roman"/>
                <w:i/>
                <w:sz w:val="24"/>
                <w:highlight w:val="lightGray"/>
              </w:rPr>
            </w:pPr>
          </w:p>
          <w:p w:rsidR="00953CD0" w:rsidRDefault="00953CD0" w:rsidP="00CA1BAC">
            <w:pPr>
              <w:tabs>
                <w:tab w:val="left" w:pos="90"/>
              </w:tabs>
              <w:spacing w:after="0" w:line="240" w:lineRule="auto"/>
              <w:jc w:val="center"/>
              <w:rPr>
                <w:sz w:val="24"/>
              </w:rPr>
            </w:pPr>
            <w:r>
              <w:rPr>
                <w:rFonts w:ascii="Times New Roman" w:hAnsi="Times New Roman"/>
                <w:i/>
                <w:sz w:val="24"/>
              </w:rPr>
              <w:t>Recommandations </w:t>
            </w:r>
            <w:r>
              <w:rPr>
                <w:rFonts w:ascii="Times New Roman" w:hAnsi="Times New Roman"/>
                <w:sz w:val="24"/>
              </w:rPr>
              <w:t>: 88.47, 88.48, 88.80, 88.81, 88.82, 88.101, 88.108</w:t>
            </w:r>
          </w:p>
          <w:p w:rsidR="00953CD0" w:rsidRDefault="00953CD0" w:rsidP="00CA1BAC">
            <w:pPr>
              <w:tabs>
                <w:tab w:val="left" w:pos="90"/>
              </w:tabs>
              <w:spacing w:after="0" w:line="240" w:lineRule="auto"/>
              <w:jc w:val="both"/>
              <w:rPr>
                <w:rFonts w:ascii="Times New Roman" w:hAnsi="Times New Roman"/>
                <w:sz w:val="26"/>
              </w:rPr>
            </w:pPr>
          </w:p>
        </w:tc>
      </w:tr>
    </w:tbl>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Le renforcement de la PNH, tant en terme de qualité et d’effectifs, a toujours été une priorité de l’État haïtien. Ainsi, des efforts continuent à être déployés par le Gouvernement, appuyé par des partenaires internationaux, en vue de rendre cette force plus efficace. Ces efforts concernent, entre autres, l’augmentation des effectifs et une plus grande sensibilisation au respect des droits de l’Homme.</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A cet égard, un plan de développement de la PNH, s’étendant sur quatre années, soit de 2012 à 2016,  a été approuvé par le Conseil Supérieur de la Police Nationale (CSPN). Ce plan englobe la dotation de la police en équipements et en effectifs suffisants ; la construction d’infrastructures ; et la professionnalisation de la PNH.</w:t>
      </w:r>
      <w:r>
        <w:t xml:space="preserve"> </w:t>
      </w:r>
      <w:r>
        <w:rPr>
          <w:rFonts w:ascii="Times New Roman" w:hAnsi="Times New Roman"/>
          <w:sz w:val="24"/>
        </w:rPr>
        <w:t>Les programmes, prévus dans ce plan, seront mis en œuvre avec les fonds du trésor public haïtien et  l’appui de partenaires internationaux.</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En vue d’augmenter l’effectif de la PNH, un programme de recrutement de nouveaux agents de la PNH est mis en place, ce qui permettra de passer à 16,000 agents en 2016 à raison de 1,000 </w:t>
      </w:r>
      <w:proofErr w:type="gramStart"/>
      <w:r>
        <w:rPr>
          <w:rFonts w:ascii="Times New Roman" w:hAnsi="Times New Roman"/>
          <w:sz w:val="24"/>
        </w:rPr>
        <w:t>nouveaux agents recrutés</w:t>
      </w:r>
      <w:proofErr w:type="gramEnd"/>
      <w:r>
        <w:rPr>
          <w:rFonts w:ascii="Times New Roman" w:hAnsi="Times New Roman"/>
          <w:sz w:val="24"/>
        </w:rPr>
        <w:t xml:space="preserve"> par an. Le document relatif au plan de carrière de l’institution policière a été signé le 20 juin 2013 par le Premier Ministre. Ce document traite, entres autres, du recrutement par voie de concours direct, du recrutement par voie de concours professionnel, de la formation initiale pour les agents de police, de la formation initiale pour les commissaires de police et du tableau de répartition des échelons à l’intérieur des grades. De même, un projet de loi sur la carrière des policiers  a été  soumis au Parlement. Par ailleurs, l’Arrêté portant statut particulier du personnel de la PNH a été adopté en Conseil des Ministres, le 7 août 2013. De plus, des efforts sont présentement mis en œuvre en vue de respecter le quota de 30% des femmes devant faire partie de la fonction publique, dans l’institution policière.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Un programme de professionnalisation de la PNH a été mis en place pendant la période sous revue. Ce programme a permis, outre l’Ecole Nationale de Police pour les nouveaux recrus, la création et l’opérationnalisation d’une Académie Nationale de Police réservée aux cadres depuis décembre 2012. Une promotion de 42 commissaires de police, dont cinq femmes, a été graduée le 23 octobre 2013. La deuxième promotion, constituée également de 42 commissaires, est actuellement en formation depuis le 20 novembre 2013. De plus, 21 cadres ont été formés en planification stratégique et leadership avancé.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Des modules de formation en droit de l’Homme ont été ajoutés dans le cursus de formation des nouveaux agents à l’École Nationale de Police. Ainsi, diverses formations relatives à l’accueil des femmes victimes de violences dans les commissariats ont été dispensées aux policiers et policières, avec l’aide d’organisations œuvrant dans le domaine de la lutte contre les violences faites aux femmes. A cet égard, il convient de mentionner que 450 policières viennent d’être formées en vue de renforcer l’effectif. De plus, un module et un guide de formation sur la protection de l’enfant, destinés à la PNH, sont en cours de développement, avec l’assistance du Fonds des Nations Unies pour l’Enfance (UNICEF).</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Pour renforcer les activités liées au développement du tourisme en Haïti, la Direction Générale de la PNH, sur instruction du Gouvernement, a dispensé une formation initiale à un groupe de policiers chargés d’assurer la sécurité des touristes entrant dans le pays. Ce corps de policiers, dénommé « poli-tourisme », assurera également la sécurité des sites touristiques.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Le Gouvernement reconnait néanmoins qu’il reste des efforts à faire quant au déploiement effectif des agents de la PNH vers les sections communales et dans toutes les zones frontalières. Ceci résulte principalement d’un manque de moyens – financiers et autres. A cet égard, il convient de mentionner qu’avec </w:t>
      </w:r>
      <w:r>
        <w:rPr>
          <w:rFonts w:ascii="Times New Roman" w:eastAsia="MS Mincho" w:hAnsi="Times New Roman"/>
          <w:sz w:val="24"/>
        </w:rPr>
        <w:t>l’appui des certains partenaires internationaux, le Gouvernement poursuit encore le programme de dotation d’équipements à la PNH (véhicules, locaux, matériels de communication, etc.)</w:t>
      </w:r>
    </w:p>
    <w:p w:rsidR="00953CD0" w:rsidRDefault="00953CD0" w:rsidP="00953CD0">
      <w:pPr>
        <w:tabs>
          <w:tab w:val="left" w:pos="90"/>
        </w:tabs>
        <w:spacing w:after="0" w:line="240" w:lineRule="auto"/>
        <w:jc w:val="both"/>
        <w:rPr>
          <w:rFonts w:ascii="Times New Roman" w:eastAsia="MS Mincho" w:hAnsi="Times New Roman"/>
          <w:b/>
          <w:sz w:val="24"/>
          <w:u w:val="single"/>
        </w:rPr>
      </w:pPr>
    </w:p>
    <w:p w:rsidR="00953CD0" w:rsidRDefault="00953CD0" w:rsidP="00953CD0">
      <w:pPr>
        <w:pStyle w:val="Titre2"/>
        <w:tabs>
          <w:tab w:val="left" w:pos="90"/>
        </w:tabs>
        <w:spacing w:before="0" w:after="0" w:line="240" w:lineRule="auto"/>
        <w:rPr>
          <w:rFonts w:eastAsia="MS Mincho"/>
        </w:rPr>
      </w:pPr>
      <w:bookmarkStart w:id="6" w:name="_Toc381607155"/>
      <w:r>
        <w:rPr>
          <w:rFonts w:eastAsia="MS Mincho"/>
        </w:rPr>
        <w:t>Thème 2-  Réforme de la  Justice</w:t>
      </w:r>
      <w:bookmarkEnd w:id="6"/>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90" w:firstLine="0"/>
        <w:jc w:val="both"/>
        <w:rPr>
          <w:rFonts w:ascii="Times New Roman" w:hAnsi="Times New Roman"/>
          <w:sz w:val="24"/>
        </w:rPr>
      </w:pPr>
      <w:r>
        <w:rPr>
          <w:rFonts w:ascii="Times New Roman" w:hAnsi="Times New Roman"/>
          <w:sz w:val="24"/>
        </w:rPr>
        <w:t xml:space="preserve">Le Gouvernement a fait de l’État de Droit une de ses priorités et considère la réforme de la justice comme un élément clé pour atteindre cet objectif. Cette réforme est articulée autour de plusieurs axes : (a) la normalisation du fonctionnement de la Cour de Cassation ; (b) la réforme du droit pénal haïtien ; (c) la lutte contre la détention préventive prolongée ; et (d) l’amélioration de l’accès à la justice.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3"/>
        <w:numPr>
          <w:ilvl w:val="0"/>
          <w:numId w:val="1"/>
        </w:numPr>
        <w:tabs>
          <w:tab w:val="left" w:pos="90"/>
        </w:tabs>
        <w:spacing w:before="0" w:after="0" w:line="240" w:lineRule="auto"/>
        <w:ind w:left="810" w:firstLine="0"/>
        <w:jc w:val="both"/>
      </w:pPr>
      <w:bookmarkStart w:id="7" w:name="_Toc381607156"/>
      <w:r>
        <w:t>Normalisation du fonctionnement de la Cour de Cassation</w:t>
      </w:r>
      <w:bookmarkEnd w:id="7"/>
      <w:r>
        <w:t xml:space="preserve"> </w:t>
      </w:r>
    </w:p>
    <w:p w:rsidR="00953CD0" w:rsidRDefault="00953CD0" w:rsidP="00953CD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sz w:val="24"/>
              </w:rPr>
            </w:pPr>
          </w:p>
          <w:p w:rsidR="00953CD0" w:rsidRDefault="00953CD0" w:rsidP="00CA1BAC">
            <w:pPr>
              <w:shd w:val="clear" w:color="auto" w:fill="B6DDE8"/>
              <w:tabs>
                <w:tab w:val="left" w:pos="90"/>
              </w:tabs>
              <w:spacing w:after="0" w:line="240" w:lineRule="auto"/>
              <w:jc w:val="center"/>
              <w:rPr>
                <w:rFonts w:ascii="Times New Roman" w:hAnsi="Times New Roman"/>
                <w:sz w:val="24"/>
              </w:rPr>
            </w:pPr>
            <w:r>
              <w:rPr>
                <w:rFonts w:ascii="Times New Roman" w:hAnsi="Times New Roman"/>
                <w:i/>
                <w:sz w:val="24"/>
              </w:rPr>
              <w:t>Recommandations </w:t>
            </w:r>
            <w:r>
              <w:rPr>
                <w:rFonts w:ascii="Times New Roman" w:hAnsi="Times New Roman"/>
                <w:sz w:val="24"/>
              </w:rPr>
              <w:t>: 88.98, 88.99, 88.100</w:t>
            </w:r>
          </w:p>
          <w:p w:rsidR="00953CD0" w:rsidRDefault="00953CD0" w:rsidP="00CA1BAC">
            <w:pPr>
              <w:tabs>
                <w:tab w:val="left" w:pos="90"/>
              </w:tabs>
              <w:spacing w:after="0" w:line="240" w:lineRule="auto"/>
              <w:jc w:val="both"/>
              <w:rPr>
                <w:rFonts w:ascii="Times New Roman" w:hAnsi="Times New Roman"/>
                <w:sz w:val="24"/>
              </w:rPr>
            </w:pPr>
          </w:p>
        </w:tc>
      </w:tr>
    </w:tbl>
    <w:p w:rsidR="00953CD0" w:rsidRDefault="00953CD0" w:rsidP="00953CD0">
      <w:pPr>
        <w:tabs>
          <w:tab w:val="left" w:pos="90"/>
        </w:tabs>
        <w:spacing w:after="0" w:line="240" w:lineRule="auto"/>
        <w:ind w:left="90" w:hanging="630"/>
        <w:jc w:val="both"/>
        <w:rPr>
          <w:rFonts w:ascii="Times New Roman" w:hAnsi="Times New Roman"/>
          <w:sz w:val="24"/>
        </w:rPr>
      </w:pPr>
    </w:p>
    <w:p w:rsidR="00953CD0" w:rsidRDefault="00953CD0" w:rsidP="00953CD0">
      <w:pPr>
        <w:numPr>
          <w:ilvl w:val="0"/>
          <w:numId w:val="2"/>
        </w:numPr>
        <w:tabs>
          <w:tab w:val="left" w:pos="0"/>
        </w:tabs>
        <w:spacing w:after="0" w:line="240" w:lineRule="auto"/>
        <w:ind w:left="0" w:firstLine="0"/>
        <w:jc w:val="both"/>
        <w:rPr>
          <w:rFonts w:ascii="Times New Roman" w:hAnsi="Times New Roman"/>
          <w:sz w:val="24"/>
        </w:rPr>
      </w:pPr>
      <w:r>
        <w:rPr>
          <w:rFonts w:ascii="Times New Roman" w:hAnsi="Times New Roman"/>
          <w:sz w:val="24"/>
        </w:rPr>
        <w:t>Le poste vacant du Président à la Cour de Cassation a été comblé</w:t>
      </w:r>
      <w:r>
        <w:t xml:space="preserve"> </w:t>
      </w:r>
      <w:r>
        <w:rPr>
          <w:rFonts w:ascii="Times New Roman" w:hAnsi="Times New Roman"/>
          <w:sz w:val="24"/>
        </w:rPr>
        <w:t xml:space="preserve">le 5 octobre 2011. Onze juges ont ensuite été nommés à la Cour de Cassation par le Président de la République en janvier 2012. Le parquet près ladite cour a également été </w:t>
      </w:r>
      <w:proofErr w:type="gramStart"/>
      <w:r>
        <w:rPr>
          <w:rFonts w:ascii="Times New Roman" w:hAnsi="Times New Roman"/>
          <w:sz w:val="24"/>
        </w:rPr>
        <w:t>pourvu</w:t>
      </w:r>
      <w:proofErr w:type="gramEnd"/>
      <w:r>
        <w:rPr>
          <w:rFonts w:ascii="Times New Roman" w:hAnsi="Times New Roman"/>
          <w:sz w:val="24"/>
        </w:rPr>
        <w:t xml:space="preserve"> d’un commissaire du gouvernement et de substituts, ce qui a rendu cette cour pleinement opérationnelle.</w:t>
      </w:r>
    </w:p>
    <w:p w:rsidR="00953CD0" w:rsidRDefault="00953CD0" w:rsidP="00953CD0">
      <w:pPr>
        <w:tabs>
          <w:tab w:val="left" w:pos="0"/>
        </w:tabs>
        <w:spacing w:after="0" w:line="240" w:lineRule="auto"/>
        <w:jc w:val="both"/>
        <w:rPr>
          <w:rFonts w:ascii="Times New Roman" w:hAnsi="Times New Roman"/>
          <w:sz w:val="24"/>
        </w:rPr>
      </w:pPr>
    </w:p>
    <w:p w:rsidR="00953CD0" w:rsidRDefault="00953CD0" w:rsidP="00953CD0">
      <w:pPr>
        <w:numPr>
          <w:ilvl w:val="0"/>
          <w:numId w:val="2"/>
        </w:numPr>
        <w:tabs>
          <w:tab w:val="left" w:pos="0"/>
        </w:tabs>
        <w:spacing w:after="0" w:line="240" w:lineRule="auto"/>
        <w:ind w:left="0" w:firstLine="0"/>
        <w:jc w:val="both"/>
        <w:rPr>
          <w:rFonts w:ascii="Times New Roman" w:hAnsi="Times New Roman"/>
          <w:sz w:val="24"/>
        </w:rPr>
      </w:pPr>
      <w:r>
        <w:rPr>
          <w:rFonts w:ascii="Times New Roman" w:hAnsi="Times New Roman"/>
          <w:sz w:val="24"/>
        </w:rPr>
        <w:t xml:space="preserve">Ceci a permis, le 2 juillet 2012, d’installer le Conseil Supérieur du Pouvoir Judiciaire (CSPJ), qui a pour Président celui de la Cour de Cassation. Conformément à la loi créant le CSPJ, celui-ci est l’organe d’administration, de contrôle, de discipline et de délibération du pouvoir judiciaire. Le CSPJ fonctionne actuellement et a pu contribuer à la formation du Collège Transitoire du Conseil Électoral Permanent (CTCEP), appelé à organiser les élections partielles sénatoriales. Il a également lancé le processus de certification de tous les magistrats. Néanmoins, faute de budget, son service d’inspection judiciaire n’est pas encore opérationnel. Malgré cela, il convient de signaler que plus de 1.500 plaintes ont été déposées depuis, et sont en attente de traitement.   </w:t>
      </w:r>
    </w:p>
    <w:p w:rsidR="00953CD0" w:rsidRDefault="00953CD0" w:rsidP="00953CD0">
      <w:pPr>
        <w:tabs>
          <w:tab w:val="left" w:pos="90"/>
        </w:tabs>
        <w:spacing w:after="0" w:line="240" w:lineRule="auto"/>
        <w:jc w:val="both"/>
        <w:rPr>
          <w:rFonts w:ascii="Times New Roman" w:hAnsi="Times New Roman"/>
          <w:i/>
          <w:sz w:val="24"/>
          <w:u w:val="single"/>
        </w:rPr>
      </w:pPr>
    </w:p>
    <w:p w:rsidR="00953CD0" w:rsidRDefault="00953CD0" w:rsidP="00953CD0">
      <w:pPr>
        <w:pStyle w:val="Titre3"/>
        <w:numPr>
          <w:ilvl w:val="0"/>
          <w:numId w:val="1"/>
        </w:numPr>
        <w:tabs>
          <w:tab w:val="left" w:pos="90"/>
        </w:tabs>
        <w:spacing w:before="0" w:after="0" w:line="240" w:lineRule="auto"/>
        <w:ind w:firstLine="0"/>
      </w:pPr>
      <w:bookmarkStart w:id="8" w:name="_Toc381607157"/>
      <w:r>
        <w:t>Réforme du droit pénal haïtien</w:t>
      </w:r>
      <w:bookmarkEnd w:id="8"/>
    </w:p>
    <w:p w:rsidR="00953CD0" w:rsidRDefault="00953CD0" w:rsidP="00953CD0">
      <w:pPr>
        <w:tabs>
          <w:tab w:val="left" w:pos="90"/>
        </w:tabs>
        <w:spacing w:after="0" w:line="240" w:lineRule="auto"/>
        <w:jc w:val="both"/>
        <w:rPr>
          <w:rFonts w:ascii="Times New Roman" w:hAnsi="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center"/>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sz w:val="24"/>
              </w:rPr>
            </w:pPr>
            <w:r>
              <w:rPr>
                <w:rFonts w:ascii="Times New Roman" w:hAnsi="Times New Roman"/>
                <w:i/>
                <w:sz w:val="24"/>
              </w:rPr>
              <w:t xml:space="preserve">Recommandations : </w:t>
            </w:r>
            <w:r>
              <w:rPr>
                <w:rFonts w:ascii="Times New Roman" w:hAnsi="Times New Roman"/>
                <w:sz w:val="24"/>
              </w:rPr>
              <w:t>88.108, 88.112</w:t>
            </w:r>
          </w:p>
          <w:p w:rsidR="00953CD0" w:rsidRDefault="00953CD0" w:rsidP="00CA1BAC">
            <w:pPr>
              <w:tabs>
                <w:tab w:val="left" w:pos="90"/>
              </w:tabs>
              <w:spacing w:after="0" w:line="240" w:lineRule="auto"/>
              <w:jc w:val="both"/>
              <w:rPr>
                <w:rFonts w:ascii="Times New Roman" w:hAnsi="Times New Roman"/>
                <w:i/>
                <w:sz w:val="24"/>
              </w:rPr>
            </w:pPr>
          </w:p>
        </w:tc>
      </w:tr>
    </w:tbl>
    <w:p w:rsidR="00953CD0" w:rsidRDefault="00953CD0" w:rsidP="00953CD0">
      <w:pPr>
        <w:tabs>
          <w:tab w:val="left" w:pos="90"/>
        </w:tabs>
        <w:spacing w:after="0" w:line="240" w:lineRule="auto"/>
        <w:jc w:val="both"/>
        <w:rPr>
          <w:rFonts w:ascii="Times New Roman" w:hAnsi="Times New Roman"/>
          <w:i/>
          <w:sz w:val="24"/>
        </w:rPr>
      </w:pPr>
    </w:p>
    <w:p w:rsidR="00953CD0" w:rsidRDefault="00953CD0" w:rsidP="00953CD0">
      <w:pPr>
        <w:numPr>
          <w:ilvl w:val="0"/>
          <w:numId w:val="2"/>
        </w:numPr>
        <w:tabs>
          <w:tab w:val="left" w:pos="90"/>
        </w:tabs>
        <w:spacing w:after="0" w:line="240" w:lineRule="auto"/>
        <w:ind w:left="0" w:right="-90" w:firstLine="0"/>
        <w:jc w:val="both"/>
        <w:rPr>
          <w:rFonts w:ascii="Times New Roman" w:hAnsi="Times New Roman"/>
          <w:sz w:val="24"/>
        </w:rPr>
      </w:pPr>
      <w:r>
        <w:rPr>
          <w:rFonts w:ascii="Times New Roman" w:hAnsi="Times New Roman"/>
          <w:sz w:val="24"/>
        </w:rPr>
        <w:t>En vue de parvenir à une réforme profonde du système judiciaire, un groupe de travail a été créé auprès du Ministère de la Justice et de la Sécurité Publique (MJSP) en vue de réviser le Code pénal et le Code d’instruction criminelle et d’y apporter des modifications et des améliorations. Les travaux de ce groupe ont été soumis pour révision à une Commission Présidentielle de Réforme de la Justice, créée par arrêté du 4 janvier 2012. Des discussions sont en cours quant à l’intégration de la pénalisation de la torture et des traitements cruels, inhumains et/ou dégradants dans ce projet.</w:t>
      </w:r>
    </w:p>
    <w:p w:rsidR="00953CD0" w:rsidRDefault="00953CD0" w:rsidP="00953CD0">
      <w:pPr>
        <w:tabs>
          <w:tab w:val="left" w:pos="90"/>
        </w:tabs>
        <w:spacing w:after="0" w:line="240" w:lineRule="auto"/>
        <w:rPr>
          <w:rFonts w:ascii="Times New Roman" w:hAnsi="Times New Roman"/>
          <w:b/>
          <w:sz w:val="24"/>
          <w:u w:val="single"/>
        </w:rPr>
      </w:pPr>
    </w:p>
    <w:p w:rsidR="00953CD0" w:rsidRDefault="00953CD0" w:rsidP="00953CD0">
      <w:pPr>
        <w:pStyle w:val="Titre3"/>
        <w:numPr>
          <w:ilvl w:val="0"/>
          <w:numId w:val="1"/>
        </w:numPr>
        <w:tabs>
          <w:tab w:val="left" w:pos="90"/>
        </w:tabs>
        <w:spacing w:before="0" w:after="0" w:line="240" w:lineRule="auto"/>
        <w:ind w:firstLine="0"/>
      </w:pPr>
      <w:bookmarkStart w:id="9" w:name="_Toc381607158"/>
      <w:r>
        <w:t>Lutte contre la détention préventive prolongée</w:t>
      </w:r>
      <w:bookmarkEnd w:id="9"/>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sz w:val="24"/>
              </w:rPr>
            </w:pPr>
            <w:r>
              <w:rPr>
                <w:rFonts w:ascii="Times New Roman" w:hAnsi="Times New Roman"/>
                <w:i/>
                <w:sz w:val="24"/>
              </w:rPr>
              <w:t>Recommandations </w:t>
            </w:r>
            <w:r>
              <w:rPr>
                <w:rFonts w:ascii="Times New Roman" w:hAnsi="Times New Roman"/>
                <w:sz w:val="24"/>
              </w:rPr>
              <w:t>: 88.63, 88.64, 88.65, 88.68, 88.102, 88.105, 88.106</w:t>
            </w:r>
          </w:p>
          <w:p w:rsidR="00953CD0" w:rsidRDefault="00953CD0" w:rsidP="00CA1BAC">
            <w:pPr>
              <w:tabs>
                <w:tab w:val="left" w:pos="90"/>
              </w:tabs>
              <w:spacing w:after="0" w:line="240" w:lineRule="auto"/>
              <w:jc w:val="both"/>
              <w:rPr>
                <w:rFonts w:ascii="Times New Roman" w:hAnsi="Times New Roman"/>
                <w:i/>
                <w:sz w:val="24"/>
              </w:rPr>
            </w:pPr>
          </w:p>
        </w:tc>
      </w:tr>
    </w:tbl>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Cette situation constitue l’une des priorités du Gouvernement. Le MJSP a, à cet égard, inclus la réduction de la détention provisoire prolongée dans son plan d’actions 2012-2016. En vue de mieux aborder le problème de la détention préventive prolongée, une étude a été menée entre juillet et août 2013 au Pénitencier National, le plus grand centre carcéral du pays. Les recommandations issues de ce rapport ont été appliquées par le Doyen du Tribunal de Première Instance de Port-au-Prince, le Parquet et le CSPJ. Ainsi, au mois d’août et de septembre 2013, des activités judicaires spéciales ont débutées. Le Doyen, en collaboration avec le parquet, a procédé à la redistribution de certains dossiers, étant donné que certains des magistrats en charge de ces dossiers avaient été promus, ou transférés vers une autre juridiction. Cette action a permis aux autorités judiciaires de libérer 83 détenus au cours des mois d’août à octobre 2013. Cependant, une grève des avocats du Barreau de Port-au-Prince a constitué un obstacle important à la libération d’un plus grand nombre de détenus.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Pendant la période sous revue, le Gouvernement a pris des mesures pour que les juridictions organisent plus d’audiences criminelles avec ou sans assistance de jury. Ainsi, la fréquence des audiences criminelles et correctionnelles ont été augmentées, ce qui  a permis de juger 744 affaires de janvier à décembre 2013.  De ces 744 affaires on comptait 963 accusés dont 283 ont été libérés. S’agissant des affaires correctionnelles, 1.912 affaires ont été entendues et jugées, menant à la condamnation de 1.327 accusés.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Un service de détention a été créé au sein du MJSP avec pour mission d’identifier les cas de détention préventive prolongée dans les centres carcéraux haïtiens. Cependant, ce service n’est pas encore opérationnel.</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De plus, à l’occasion de la célébration de la « Journée Mondiale des Détenus», le 30 octobre 2013, une Commission </w:t>
      </w:r>
      <w:r>
        <w:rPr>
          <w:rFonts w:ascii="Times New Roman" w:hAnsi="Times New Roman"/>
          <w:i/>
          <w:sz w:val="24"/>
        </w:rPr>
        <w:t>ad hoc</w:t>
      </w:r>
      <w:r>
        <w:rPr>
          <w:rFonts w:ascii="Times New Roman" w:hAnsi="Times New Roman"/>
          <w:sz w:val="24"/>
        </w:rPr>
        <w:t xml:space="preserve"> de « Surveillance et d’Evaluation » de la détention préventive prolongée a été créée. Cette commission est composée de représentants du MJSP, du Commissaire du Gouvernement, du Doyen du Tribunal de Première Instance de Port-au-Prince, des représentants du CSPJ et de la Direction de l’Administration Pénitentiaire (DAP). Cette Commission a mené une enquête au Pénitencier National et a produit un rapport énumérant, entre autres, le nombre de personnes n’ayant pas comparu par devant leur juge naturel et de personnes ayant été jugées et devant être libérées, qui se trouvaient encore incarcérées. Suite à ce rapport, les cas de détention préventive prolongée ont été soumis au Doyen du Tribunal de Première Instance pour jugement, augmentant ainsi de fait le nombre d’audiences criminelles avec ou sans assistance de jury. De plus, les personnes qui avaient bénéficié d’un jugement de mise en liberté ont effectivement été libérées.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Dans plusieurs départements du pays, les parquets ont mis en place des comités de suivi de la détention afin de réduire les cas de détention préventive prolongée et la surpopulation carcérale. Des comités sont ainsi opérationnels entre autres à Croix de Bouquets et à Petit </w:t>
      </w:r>
      <w:proofErr w:type="spellStart"/>
      <w:r>
        <w:rPr>
          <w:rFonts w:ascii="Times New Roman" w:hAnsi="Times New Roman"/>
          <w:sz w:val="24"/>
        </w:rPr>
        <w:t>Goâve</w:t>
      </w:r>
      <w:proofErr w:type="spellEnd"/>
      <w:r>
        <w:rPr>
          <w:rFonts w:ascii="Times New Roman" w:hAnsi="Times New Roman"/>
          <w:sz w:val="24"/>
        </w:rPr>
        <w:t xml:space="preserve"> (département de l’Ouest), aux Cayes (département du Sud), à Grande Rivière du Nord et à Cap Haïtien (département du Nord), à </w:t>
      </w:r>
      <w:proofErr w:type="spellStart"/>
      <w:r>
        <w:rPr>
          <w:rFonts w:ascii="Times New Roman" w:hAnsi="Times New Roman"/>
          <w:sz w:val="24"/>
        </w:rPr>
        <w:t>Jacmel</w:t>
      </w:r>
      <w:proofErr w:type="spellEnd"/>
      <w:r>
        <w:rPr>
          <w:rFonts w:ascii="Times New Roman" w:hAnsi="Times New Roman"/>
          <w:sz w:val="24"/>
        </w:rPr>
        <w:t xml:space="preserve"> (département du Sud-est) et à Mirebalais (département du Centre).</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3"/>
        <w:numPr>
          <w:ilvl w:val="0"/>
          <w:numId w:val="1"/>
        </w:numPr>
        <w:tabs>
          <w:tab w:val="left" w:pos="90"/>
        </w:tabs>
        <w:spacing w:before="0" w:after="0" w:line="240" w:lineRule="auto"/>
        <w:ind w:firstLine="0"/>
      </w:pPr>
      <w:bookmarkStart w:id="10" w:name="_Toc381607159"/>
      <w:r>
        <w:t>Améliorer l’accès à la justice</w:t>
      </w:r>
      <w:bookmarkEnd w:id="10"/>
      <w:r>
        <w:t xml:space="preserve"> </w:t>
      </w:r>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center"/>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sz w:val="24"/>
              </w:rPr>
            </w:pPr>
            <w:r>
              <w:rPr>
                <w:rFonts w:ascii="Times New Roman" w:hAnsi="Times New Roman"/>
                <w:i/>
                <w:sz w:val="24"/>
              </w:rPr>
              <w:t>Recommandations </w:t>
            </w:r>
            <w:r>
              <w:rPr>
                <w:rFonts w:ascii="Times New Roman" w:hAnsi="Times New Roman"/>
                <w:sz w:val="24"/>
              </w:rPr>
              <w:t>: 88.101 et 88.103</w:t>
            </w:r>
          </w:p>
          <w:p w:rsidR="00953CD0" w:rsidRDefault="00953CD0" w:rsidP="00CA1BAC">
            <w:pPr>
              <w:tabs>
                <w:tab w:val="left" w:pos="90"/>
              </w:tabs>
              <w:spacing w:after="0" w:line="240" w:lineRule="auto"/>
              <w:jc w:val="both"/>
              <w:rPr>
                <w:rFonts w:ascii="Times New Roman" w:hAnsi="Times New Roman"/>
                <w:i/>
                <w:sz w:val="24"/>
              </w:rPr>
            </w:pPr>
          </w:p>
        </w:tc>
      </w:tr>
    </w:tbl>
    <w:p w:rsidR="00953CD0" w:rsidRDefault="00953CD0" w:rsidP="00953CD0">
      <w:pPr>
        <w:tabs>
          <w:tab w:val="left" w:pos="90"/>
        </w:tabs>
        <w:spacing w:after="0" w:line="240" w:lineRule="auto"/>
        <w:jc w:val="both"/>
        <w:rPr>
          <w:rFonts w:ascii="Times New Roman" w:hAnsi="Times New Roman"/>
          <w:b/>
          <w:sz w:val="24"/>
          <w:u w:val="singl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Le programme d’assistance légale a été relancé en 2011. Dans ce cadre, le Gouvernement a créé quatre Bureaux d’Assistance Légale (BAL) dans le département de l’Ouest pour assister les justiciables n’ayant pas la possibilité de payer les honoraires d’avocats. De décembre 2012 à octobre 2013, ces BAL ont assisté 6.056 personnes dont 863 femmes. D’autres BAL seront établis dans les autres juridictions du pays. De plus, au MJSP, un projet de loi portant création d’un système national d’assistance légale est en discussions. Un soutien à un BAL pour mineurs a été mis en place dans la juridiction des Cayes (département du Sud).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Sur demande du Gouvernement, l’École de la Magistrature (EMA) continue à former des magistrats. Ainsi pour l’exercice 2011-2012, 20 magistrats ont reçu une formation initiale et sont déjà entrés en fonction. Pour l’exercice 2012-2013, 60 magistrats sont en formation</w:t>
      </w:r>
      <w:r>
        <w:t xml:space="preserve"> </w:t>
      </w:r>
      <w:r>
        <w:rPr>
          <w:rFonts w:ascii="Times New Roman" w:hAnsi="Times New Roman"/>
          <w:sz w:val="24"/>
        </w:rPr>
        <w:t xml:space="preserve">et sont actuellement en stage dans les différentes juridictions. Chaque promotion de magistrats bénéficie d’un stage de formation en France et en juridiction en Haïti. En outre, pour les magistrats en fonction, l’EMA organise des formations continues. En ce sens, 18 magistrats ont reçu une formation pour devenir formateurs en novembre 2012, et environ 95 magistrats ont été formés au cours de l’année 2013 sur la justice des mineurs. Un plan de suivi de la formation sera mis en œuvre au cours du prochain semestre 2014 en partenariat avec le CSPJ. Un guide de formation en protection de l’enfant est en cours d’élaboration par l’EMA.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Dans un souci d’améliorer l’accès à la justice, le Gouvernement a entrepris la construction de nouveaux tribunaux et la réhabilitation de ceux endommagés par le séisme de 2010. Pour l’exercice 2012-2013, le Gouvernement a construit huit tribunaux de paix et réhabilité douze tribunaux et cours. Les archives des greffes du Tribunal de Première Instance de Port-au-Prince ont également été réhabilitées pendant la période sous revue.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tabs>
          <w:tab w:val="left" w:pos="90"/>
        </w:tabs>
        <w:spacing w:before="0" w:after="0" w:line="240" w:lineRule="auto"/>
      </w:pPr>
      <w:bookmarkStart w:id="11" w:name="_Toc381607160"/>
      <w:r>
        <w:t>Thème 3 -  Lutte contre l’impunité</w:t>
      </w:r>
      <w:bookmarkEnd w:id="11"/>
    </w:p>
    <w:p w:rsidR="00953CD0" w:rsidRDefault="00953CD0" w:rsidP="00953CD0">
      <w:pPr>
        <w:tabs>
          <w:tab w:val="left" w:pos="90"/>
        </w:tabs>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shd w:val="clear" w:color="auto" w:fill="B6DDE8"/>
              <w:tabs>
                <w:tab w:val="left" w:pos="90"/>
              </w:tabs>
              <w:spacing w:after="0" w:line="240" w:lineRule="auto"/>
              <w:jc w:val="center"/>
              <w:rPr>
                <w:rFonts w:ascii="Times New Roman" w:hAnsi="Times New Roman"/>
                <w:sz w:val="24"/>
              </w:rPr>
            </w:pPr>
            <w:r>
              <w:rPr>
                <w:rFonts w:ascii="Times New Roman" w:hAnsi="Times New Roman"/>
                <w:i/>
                <w:sz w:val="24"/>
              </w:rPr>
              <w:t>Recommandations</w:t>
            </w:r>
            <w:r>
              <w:rPr>
                <w:rFonts w:ascii="Times New Roman" w:hAnsi="Times New Roman"/>
                <w:sz w:val="24"/>
              </w:rPr>
              <w:t> : 88.107, 88.108, 88.109, 88.110, 88.111, 88.112</w:t>
            </w:r>
          </w:p>
          <w:p w:rsidR="00953CD0" w:rsidRDefault="00953CD0" w:rsidP="00CA1BAC">
            <w:pPr>
              <w:tabs>
                <w:tab w:val="left" w:pos="90"/>
              </w:tabs>
              <w:spacing w:after="0" w:line="240" w:lineRule="auto"/>
              <w:jc w:val="both"/>
              <w:rPr>
                <w:rFonts w:ascii="Times New Roman" w:hAnsi="Times New Roman"/>
                <w:b/>
                <w:sz w:val="24"/>
                <w:u w:val="single"/>
              </w:rPr>
            </w:pPr>
          </w:p>
        </w:tc>
      </w:tr>
    </w:tbl>
    <w:p w:rsidR="00953CD0" w:rsidRDefault="00953CD0" w:rsidP="00953CD0">
      <w:pPr>
        <w:tabs>
          <w:tab w:val="left" w:pos="90"/>
        </w:tabs>
        <w:spacing w:after="0" w:line="240" w:lineRule="auto"/>
        <w:jc w:val="both"/>
        <w:rPr>
          <w:rFonts w:ascii="Times New Roman" w:hAnsi="Times New Roman"/>
          <w:b/>
          <w:sz w:val="24"/>
          <w:u w:val="singl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lang w:val="fr-BE"/>
        </w:rPr>
      </w:pPr>
      <w:r>
        <w:rPr>
          <w:rFonts w:ascii="Times New Roman" w:hAnsi="Times New Roman"/>
          <w:sz w:val="24"/>
        </w:rPr>
        <w:t xml:space="preserve">Répondant aux recommandations concernant le renforcement du système judiciaire pour combattre l’impunité de l’institution policière, l’Inspection Générale de la PNH (IGPNH) a été  </w:t>
      </w:r>
      <w:proofErr w:type="gramStart"/>
      <w:r>
        <w:rPr>
          <w:rFonts w:ascii="Times New Roman" w:hAnsi="Times New Roman"/>
          <w:sz w:val="24"/>
        </w:rPr>
        <w:t>consolidée</w:t>
      </w:r>
      <w:proofErr w:type="gramEnd"/>
      <w:r>
        <w:rPr>
          <w:rFonts w:ascii="Times New Roman" w:hAnsi="Times New Roman"/>
          <w:sz w:val="24"/>
        </w:rPr>
        <w:t xml:space="preserve"> par la nomination de six nouveaux inspecteurs généraux. De plus, afin d’améliorer la réponse de l’IGPNH aux plaintes des citoyens, plusieurs mesures ont été prises telles que :</w:t>
      </w:r>
    </w:p>
    <w:p w:rsidR="00953CD0" w:rsidRDefault="00953CD0" w:rsidP="00953CD0">
      <w:pPr>
        <w:tabs>
          <w:tab w:val="left" w:pos="90"/>
        </w:tabs>
        <w:spacing w:after="0" w:line="240" w:lineRule="auto"/>
        <w:jc w:val="both"/>
        <w:rPr>
          <w:rFonts w:ascii="Times New Roman" w:hAnsi="Times New Roman"/>
          <w:sz w:val="24"/>
          <w:lang w:val="fr-BE"/>
        </w:rPr>
      </w:pPr>
    </w:p>
    <w:p w:rsidR="00953CD0" w:rsidRDefault="00953CD0" w:rsidP="00953CD0">
      <w:pPr>
        <w:numPr>
          <w:ilvl w:val="0"/>
          <w:numId w:val="3"/>
        </w:numPr>
        <w:tabs>
          <w:tab w:val="left" w:pos="90"/>
        </w:tabs>
        <w:spacing w:after="0" w:line="240" w:lineRule="auto"/>
        <w:jc w:val="both"/>
        <w:rPr>
          <w:rFonts w:ascii="Times New Roman" w:hAnsi="Times New Roman"/>
          <w:sz w:val="24"/>
          <w:lang w:val="fr-BE"/>
        </w:rPr>
      </w:pPr>
      <w:r>
        <w:rPr>
          <w:rFonts w:ascii="Times New Roman" w:hAnsi="Times New Roman"/>
          <w:sz w:val="24"/>
          <w:lang w:val="fr-BE"/>
        </w:rPr>
        <w:t>Le port obligatoire de brassards identifiant les policiers inspecteurs ;</w:t>
      </w:r>
    </w:p>
    <w:p w:rsidR="00953CD0" w:rsidRDefault="00953CD0" w:rsidP="00953CD0">
      <w:pPr>
        <w:numPr>
          <w:ilvl w:val="0"/>
          <w:numId w:val="3"/>
        </w:numPr>
        <w:tabs>
          <w:tab w:val="left" w:pos="90"/>
        </w:tabs>
        <w:spacing w:after="0" w:line="240" w:lineRule="auto"/>
        <w:jc w:val="both"/>
        <w:rPr>
          <w:rFonts w:ascii="Times New Roman" w:hAnsi="Times New Roman"/>
          <w:sz w:val="24"/>
          <w:lang w:val="fr-BE"/>
        </w:rPr>
      </w:pPr>
      <w:r>
        <w:rPr>
          <w:rFonts w:ascii="Times New Roman" w:hAnsi="Times New Roman"/>
          <w:sz w:val="24"/>
          <w:lang w:val="fr-BE"/>
        </w:rPr>
        <w:t>La mise à disposition de deux lignes téléphoniques publiques afin de permettre aux citoyens d’alerter l’IGPNH de cas de violations ;</w:t>
      </w:r>
    </w:p>
    <w:p w:rsidR="00953CD0" w:rsidRDefault="00953CD0" w:rsidP="00953CD0">
      <w:pPr>
        <w:numPr>
          <w:ilvl w:val="0"/>
          <w:numId w:val="3"/>
        </w:numPr>
        <w:tabs>
          <w:tab w:val="left" w:pos="90"/>
        </w:tabs>
        <w:spacing w:after="0" w:line="240" w:lineRule="auto"/>
        <w:jc w:val="both"/>
        <w:rPr>
          <w:rFonts w:ascii="Times New Roman" w:hAnsi="Times New Roman"/>
          <w:sz w:val="24"/>
          <w:lang w:val="fr-BE"/>
        </w:rPr>
      </w:pPr>
      <w:r>
        <w:rPr>
          <w:rFonts w:ascii="Times New Roman" w:hAnsi="Times New Roman"/>
          <w:sz w:val="24"/>
          <w:lang w:val="fr-BE"/>
        </w:rPr>
        <w:t xml:space="preserve">L’établissement d’un système de supervision hebdomadaire des agents de la PNH. </w:t>
      </w:r>
    </w:p>
    <w:p w:rsidR="00953CD0" w:rsidRDefault="00953CD0" w:rsidP="00953CD0">
      <w:pPr>
        <w:tabs>
          <w:tab w:val="left" w:pos="90"/>
        </w:tabs>
        <w:spacing w:after="0" w:line="240" w:lineRule="auto"/>
        <w:jc w:val="both"/>
        <w:rPr>
          <w:rFonts w:ascii="Times New Roman" w:hAnsi="Times New Roman"/>
          <w:sz w:val="24"/>
          <w:lang w:val="fr-B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lang w:val="fr-BE"/>
        </w:rPr>
      </w:pPr>
      <w:r>
        <w:rPr>
          <w:rFonts w:ascii="Times New Roman" w:hAnsi="Times New Roman"/>
          <w:sz w:val="24"/>
          <w:lang w:val="fr-BE"/>
        </w:rPr>
        <w:t>De plus, l’ébauche du Plan stratégique de renforcement des capacités de l’IGPNH et le Plan stratégique de renforcement de la Direction Centrale de la Police Judiciaire – Service Départemental de la Police Judiciaire sont en cours d’élaboration.</w:t>
      </w:r>
      <w:r>
        <w:rPr>
          <w:rFonts w:ascii="Times New Roman" w:hAnsi="Times New Roman"/>
          <w:sz w:val="24"/>
        </w:rPr>
        <w:t xml:space="preserve">  </w:t>
      </w:r>
    </w:p>
    <w:p w:rsidR="00953CD0" w:rsidRDefault="00953CD0" w:rsidP="00953CD0">
      <w:pPr>
        <w:tabs>
          <w:tab w:val="left" w:pos="90"/>
        </w:tabs>
        <w:spacing w:after="0" w:line="240" w:lineRule="auto"/>
        <w:jc w:val="both"/>
        <w:rPr>
          <w:rFonts w:ascii="Times New Roman" w:hAnsi="Times New Roman"/>
          <w:sz w:val="24"/>
          <w:lang w:val="fr-B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lang w:val="fr-BE"/>
        </w:rPr>
      </w:pPr>
      <w:r>
        <w:rPr>
          <w:rFonts w:ascii="Times New Roman" w:hAnsi="Times New Roman"/>
          <w:sz w:val="24"/>
        </w:rPr>
        <w:t>Des mesures disciplinaires ont été proposées à la Direction Générale de la PNH dans le cadre d’enquêtes de vérification (</w:t>
      </w:r>
      <w:proofErr w:type="spellStart"/>
      <w:r>
        <w:rPr>
          <w:rFonts w:ascii="Times New Roman" w:hAnsi="Times New Roman"/>
          <w:i/>
          <w:sz w:val="24"/>
        </w:rPr>
        <w:t>vetting</w:t>
      </w:r>
      <w:proofErr w:type="spellEnd"/>
      <w:r>
        <w:rPr>
          <w:rFonts w:ascii="Times New Roman" w:hAnsi="Times New Roman"/>
          <w:sz w:val="24"/>
        </w:rPr>
        <w:t xml:space="preserve">), menant à la radiation de </w:t>
      </w:r>
      <w:r>
        <w:rPr>
          <w:rFonts w:ascii="Times New Roman" w:hAnsi="Times New Roman"/>
          <w:sz w:val="24"/>
          <w:lang w:val="fr-BE"/>
        </w:rPr>
        <w:t xml:space="preserve">79 agents. Cette enquête a été menée de 2006 et 2012 et couvre 5.000 policiers. Le processus de </w:t>
      </w:r>
      <w:proofErr w:type="spellStart"/>
      <w:r>
        <w:rPr>
          <w:rFonts w:ascii="Times New Roman" w:hAnsi="Times New Roman"/>
          <w:i/>
          <w:sz w:val="24"/>
          <w:lang w:val="fr-BE"/>
        </w:rPr>
        <w:t>vetting</w:t>
      </w:r>
      <w:proofErr w:type="spellEnd"/>
      <w:r>
        <w:rPr>
          <w:rFonts w:ascii="Times New Roman" w:hAnsi="Times New Roman"/>
          <w:sz w:val="24"/>
          <w:lang w:val="fr-BE"/>
        </w:rPr>
        <w:t xml:space="preserve"> est toujours en cours.   </w:t>
      </w:r>
    </w:p>
    <w:p w:rsidR="00953CD0" w:rsidRDefault="00953CD0" w:rsidP="00953CD0">
      <w:pPr>
        <w:tabs>
          <w:tab w:val="left" w:pos="90"/>
        </w:tabs>
        <w:spacing w:after="0" w:line="240" w:lineRule="auto"/>
        <w:jc w:val="both"/>
        <w:rPr>
          <w:rFonts w:ascii="Times New Roman" w:hAnsi="Times New Roman"/>
          <w:sz w:val="24"/>
          <w:lang w:val="fr-B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lang w:val="fr-BE"/>
        </w:rPr>
      </w:pPr>
      <w:r>
        <w:rPr>
          <w:rFonts w:ascii="Times New Roman" w:hAnsi="Times New Roman"/>
          <w:sz w:val="24"/>
        </w:rPr>
        <w:t xml:space="preserve">Dans l’affaire concernant l’ancien Président de la République, M. Jean-Claude Duvalier, l’inculpé et huit victimes ont comparus et ont été entendus par la Cour d’Appel de Port-au-Prince de février à mai 2013. Les juges de la Cour d’Appel sont actuellement en délibération quant à l’appel de l’ordonnance rendue par le juge d’instruction en première instance, renvoyant M. Duvalier au tribunal correctionnel pour poursuites légales de crimes financiers, mais statuant qu’il n’y avait pas lieu de le poursuivre pour les plaintes concernant des allégations de crimes contre l’humanité et nombreuses violations des droits de l’homme.  </w:t>
      </w:r>
    </w:p>
    <w:p w:rsidR="00953CD0" w:rsidRDefault="00953CD0" w:rsidP="00953CD0">
      <w:pPr>
        <w:tabs>
          <w:tab w:val="left" w:pos="90"/>
        </w:tabs>
        <w:spacing w:after="0" w:line="240" w:lineRule="auto"/>
        <w:jc w:val="both"/>
        <w:rPr>
          <w:rFonts w:ascii="Times New Roman" w:hAnsi="Times New Roman"/>
          <w:sz w:val="24"/>
          <w:lang w:val="fr-B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lang w:val="fr-BE"/>
        </w:rPr>
      </w:pPr>
      <w:r>
        <w:rPr>
          <w:rFonts w:ascii="Times New Roman" w:hAnsi="Times New Roman"/>
          <w:sz w:val="24"/>
        </w:rPr>
        <w:t xml:space="preserve">Dans l’affaire concernant le meurtre du journaliste notoire, M. Jean-Dominique, et de son garde de sécurité, le rapport du juge d’instruction, inculpant neuf personnes, dont des proches de l’ancien Président de la République, Monsieur Jean-Bertrand Aristide, a été soumis le 17 janvier 2014 au Président de la Cour d’Appel de Port-au-Prince pour suites légales. </w:t>
      </w:r>
    </w:p>
    <w:p w:rsidR="00953CD0" w:rsidRDefault="00953CD0" w:rsidP="00953CD0">
      <w:pPr>
        <w:pStyle w:val="ListParagraph1"/>
        <w:tabs>
          <w:tab w:val="left" w:pos="90"/>
        </w:tabs>
        <w:spacing w:after="0" w:line="240" w:lineRule="auto"/>
        <w:rPr>
          <w:rFonts w:ascii="Times New Roman" w:hAnsi="Times New Roman"/>
          <w:sz w:val="24"/>
        </w:rPr>
      </w:pPr>
    </w:p>
    <w:p w:rsidR="00953CD0" w:rsidRDefault="00953CD0" w:rsidP="00953CD0">
      <w:pPr>
        <w:pStyle w:val="Titre2"/>
        <w:tabs>
          <w:tab w:val="left" w:pos="90"/>
        </w:tabs>
        <w:spacing w:before="0" w:after="0" w:line="240" w:lineRule="auto"/>
      </w:pPr>
      <w:bookmarkStart w:id="12" w:name="_Toc381607161"/>
      <w:r>
        <w:t>Thème 4- Conditions de détention</w:t>
      </w:r>
      <w:bookmarkEnd w:id="12"/>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hAnsi="Times New Roman"/>
                <w:i/>
                <w:sz w:val="24"/>
              </w:rPr>
            </w:pPr>
          </w:p>
          <w:p w:rsidR="00953CD0" w:rsidRDefault="00953CD0" w:rsidP="00CA1BAC">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hAnsi="Times New Roman"/>
                <w:sz w:val="24"/>
              </w:rPr>
            </w:pPr>
            <w:r>
              <w:rPr>
                <w:rFonts w:ascii="Times New Roman" w:hAnsi="Times New Roman"/>
                <w:i/>
                <w:sz w:val="24"/>
              </w:rPr>
              <w:t>Recommandations</w:t>
            </w:r>
            <w:r>
              <w:rPr>
                <w:rFonts w:ascii="Times New Roman" w:hAnsi="Times New Roman"/>
                <w:b/>
                <w:sz w:val="24"/>
              </w:rPr>
              <w:t> </w:t>
            </w:r>
            <w:r>
              <w:rPr>
                <w:rFonts w:ascii="Times New Roman" w:hAnsi="Times New Roman"/>
                <w:sz w:val="24"/>
              </w:rPr>
              <w:t>: 88.64, 88.65, 88.66, 88.67, 88.68, 88.69, 88.70, 88.71, 88.72, 88.73</w:t>
            </w:r>
          </w:p>
          <w:p w:rsidR="00953CD0" w:rsidRDefault="00953CD0" w:rsidP="00CA1BAC">
            <w:pPr>
              <w:pBdr>
                <w:top w:val="single" w:sz="4" w:space="1" w:color="auto"/>
                <w:left w:val="single" w:sz="4" w:space="4" w:color="auto"/>
                <w:bottom w:val="single" w:sz="4" w:space="1" w:color="auto"/>
                <w:right w:val="single" w:sz="4" w:space="4" w:color="auto"/>
              </w:pBdr>
              <w:tabs>
                <w:tab w:val="left" w:pos="90"/>
              </w:tabs>
              <w:spacing w:after="0" w:line="240" w:lineRule="auto"/>
              <w:jc w:val="center"/>
              <w:rPr>
                <w:rFonts w:ascii="Times New Roman" w:hAnsi="Times New Roman"/>
                <w:sz w:val="24"/>
              </w:rPr>
            </w:pPr>
          </w:p>
        </w:tc>
      </w:tr>
    </w:tbl>
    <w:p w:rsidR="00953CD0" w:rsidRDefault="00953CD0" w:rsidP="00953CD0">
      <w:pPr>
        <w:tabs>
          <w:tab w:val="left" w:pos="90"/>
        </w:tabs>
        <w:spacing w:after="0" w:line="240" w:lineRule="auto"/>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La vétusté de la majorité des bâtiments logeant les prisons et le manque de moyens limitent la capacité de l’État à garantir les conditions minimales de détention prévues par les normes internationales. Pour améliorer la condition des prisonniers, le Gouvernement entreprend la construction de nouveaux centres carcéraux selon les normes internationales. Ainsi, il est prévu la construction d’une prison à Cabaret en vue d’accueillir les femmes, une à  Petit-</w:t>
      </w:r>
      <w:proofErr w:type="spellStart"/>
      <w:r>
        <w:rPr>
          <w:rFonts w:ascii="Times New Roman" w:hAnsi="Times New Roman"/>
          <w:sz w:val="24"/>
        </w:rPr>
        <w:t>Goâve</w:t>
      </w:r>
      <w:proofErr w:type="spellEnd"/>
      <w:r>
        <w:rPr>
          <w:rFonts w:ascii="Times New Roman" w:hAnsi="Times New Roman"/>
          <w:sz w:val="24"/>
        </w:rPr>
        <w:t xml:space="preserve"> et une autre à l’</w:t>
      </w:r>
      <w:proofErr w:type="spellStart"/>
      <w:r>
        <w:rPr>
          <w:rFonts w:ascii="Times New Roman" w:hAnsi="Times New Roman"/>
          <w:sz w:val="24"/>
        </w:rPr>
        <w:t>Arcahaie</w:t>
      </w:r>
      <w:proofErr w:type="spellEnd"/>
      <w:r>
        <w:rPr>
          <w:rFonts w:ascii="Times New Roman" w:hAnsi="Times New Roman"/>
          <w:sz w:val="24"/>
        </w:rPr>
        <w:t xml:space="preserve"> (département de l’Ouest).</w:t>
      </w:r>
    </w:p>
    <w:p w:rsidR="00953CD0" w:rsidRDefault="00953CD0" w:rsidP="00953CD0">
      <w:pPr>
        <w:tabs>
          <w:tab w:val="left" w:pos="90"/>
        </w:tabs>
        <w:spacing w:after="0" w:line="240" w:lineRule="auto"/>
        <w:jc w:val="both"/>
        <w:rPr>
          <w:rFonts w:ascii="Times New Roman" w:hAnsi="Times New Roman"/>
          <w:sz w:val="24"/>
        </w:rPr>
      </w:pPr>
      <w:r>
        <w:rPr>
          <w:rFonts w:ascii="Times New Roman" w:hAnsi="Times New Roman"/>
          <w:sz w:val="24"/>
        </w:rPr>
        <w:t xml:space="preserve"> </w:t>
      </w:r>
    </w:p>
    <w:p w:rsidR="00953CD0" w:rsidRDefault="00953CD0" w:rsidP="00953CD0">
      <w:pPr>
        <w:numPr>
          <w:ilvl w:val="0"/>
          <w:numId w:val="2"/>
        </w:numPr>
        <w:spacing w:after="0" w:line="240" w:lineRule="auto"/>
        <w:ind w:left="0" w:firstLine="0"/>
        <w:jc w:val="both"/>
        <w:rPr>
          <w:rFonts w:ascii="Times New Roman" w:hAnsi="Times New Roman"/>
          <w:sz w:val="24"/>
        </w:rPr>
      </w:pPr>
      <w:r>
        <w:rPr>
          <w:rFonts w:ascii="Times New Roman" w:hAnsi="Times New Roman"/>
          <w:sz w:val="24"/>
        </w:rPr>
        <w:t xml:space="preserve">Un Centre de réinsertion pour les mineurs en conflit avec la loi, le CERMICOL, a été construit et inauguré  en mai 2011 à Delmas 33 (département de l’Ouest). Ce centre assure un suivi psychosocial et une formation académique à ces mineurs. Néanmoins sa capacité d’accueil demeure insuffisante par rapport au nombre d’enfants concernés. L’infrastructure et le personnel d’un centre similaire, le CHARMICAL, sont en place à Cabaret (département de l’Ouest). Cependant, les moyens financiers manquent pour son opérationnalisation. Un projet similaire est en attente de financement à </w:t>
      </w:r>
      <w:proofErr w:type="spellStart"/>
      <w:r>
        <w:rPr>
          <w:rFonts w:ascii="Times New Roman" w:hAnsi="Times New Roman"/>
          <w:sz w:val="24"/>
        </w:rPr>
        <w:t>Jacmel</w:t>
      </w:r>
      <w:proofErr w:type="spellEnd"/>
      <w:r>
        <w:rPr>
          <w:rFonts w:ascii="Times New Roman" w:hAnsi="Times New Roman"/>
          <w:sz w:val="24"/>
        </w:rPr>
        <w:t xml:space="preserve"> (département du Sud-est).</w:t>
      </w:r>
    </w:p>
    <w:p w:rsidR="00953CD0" w:rsidRDefault="00953CD0" w:rsidP="00953CD0">
      <w:pPr>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De plus, depuis le 6 mai 2013, l’administration pénitentiaire de la Prison de Fort-Liberté (département du Nord-est) a pu séparer les mineurs des adultes grâce à un projet de réaménagement de la prison.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0"/>
          <w:tab w:val="left" w:pos="90"/>
        </w:tabs>
        <w:spacing w:after="0" w:line="240" w:lineRule="auto"/>
        <w:ind w:left="0" w:firstLine="0"/>
        <w:jc w:val="both"/>
        <w:rPr>
          <w:rFonts w:ascii="Times New Roman" w:hAnsi="Times New Roman"/>
          <w:sz w:val="24"/>
        </w:rPr>
      </w:pPr>
      <w:r>
        <w:rPr>
          <w:rFonts w:ascii="Times New Roman" w:hAnsi="Times New Roman"/>
          <w:sz w:val="24"/>
        </w:rPr>
        <w:t>Par ailleurs, des projets de construction de cinq prisons additionnelles ont été élaborés. Il s’agit de :</w:t>
      </w:r>
    </w:p>
    <w:p w:rsidR="00953CD0" w:rsidRDefault="00953CD0" w:rsidP="00953CD0">
      <w:pPr>
        <w:tabs>
          <w:tab w:val="left" w:pos="90"/>
        </w:tabs>
        <w:spacing w:after="0" w:line="240" w:lineRule="auto"/>
        <w:ind w:left="720"/>
        <w:jc w:val="both"/>
        <w:rPr>
          <w:rFonts w:ascii="Times New Roman" w:hAnsi="Times New Roman"/>
          <w:sz w:val="24"/>
        </w:rPr>
      </w:pPr>
    </w:p>
    <w:p w:rsidR="00953CD0" w:rsidRDefault="00953CD0" w:rsidP="00953CD0">
      <w:pPr>
        <w:tabs>
          <w:tab w:val="left" w:pos="90"/>
        </w:tabs>
        <w:spacing w:after="0" w:line="240" w:lineRule="auto"/>
        <w:ind w:left="1440"/>
        <w:jc w:val="both"/>
        <w:rPr>
          <w:rFonts w:ascii="Times New Roman" w:eastAsia="MS Mincho" w:hAnsi="Times New Roman"/>
          <w:sz w:val="24"/>
        </w:rPr>
      </w:pPr>
      <w:r>
        <w:rPr>
          <w:rFonts w:ascii="Times New Roman" w:eastAsia="MS Mincho" w:hAnsi="Times New Roman"/>
          <w:sz w:val="24"/>
        </w:rPr>
        <w:t>-La prison civile des Gonaïves (département de l’Artibonite) ;</w:t>
      </w:r>
    </w:p>
    <w:p w:rsidR="00953CD0" w:rsidRDefault="00953CD0" w:rsidP="00953CD0">
      <w:pPr>
        <w:tabs>
          <w:tab w:val="left" w:pos="90"/>
        </w:tabs>
        <w:spacing w:after="0" w:line="240" w:lineRule="auto"/>
        <w:ind w:left="1440"/>
        <w:jc w:val="both"/>
        <w:rPr>
          <w:rFonts w:ascii="Times New Roman" w:eastAsia="MS Mincho" w:hAnsi="Times New Roman"/>
          <w:sz w:val="24"/>
        </w:rPr>
      </w:pPr>
      <w:r>
        <w:rPr>
          <w:rFonts w:ascii="Times New Roman" w:eastAsia="MS Mincho" w:hAnsi="Times New Roman"/>
          <w:sz w:val="24"/>
        </w:rPr>
        <w:t>-La prison civile de Fort-Liberté (département du Nord-est) ;</w:t>
      </w:r>
    </w:p>
    <w:p w:rsidR="00953CD0" w:rsidRDefault="00953CD0" w:rsidP="00953CD0">
      <w:pPr>
        <w:tabs>
          <w:tab w:val="left" w:pos="90"/>
        </w:tabs>
        <w:spacing w:after="0" w:line="240" w:lineRule="auto"/>
        <w:ind w:left="1440"/>
        <w:jc w:val="both"/>
        <w:rPr>
          <w:rFonts w:ascii="Times New Roman" w:eastAsia="MS Mincho" w:hAnsi="Times New Roman"/>
          <w:sz w:val="24"/>
        </w:rPr>
      </w:pPr>
      <w:r>
        <w:rPr>
          <w:rFonts w:ascii="Times New Roman" w:eastAsia="MS Mincho" w:hAnsi="Times New Roman"/>
          <w:sz w:val="24"/>
        </w:rPr>
        <w:t>-Le complexe pénitentiaire de l’Ouest (département de l’Ouest) ;</w:t>
      </w:r>
    </w:p>
    <w:p w:rsidR="00953CD0" w:rsidRDefault="00953CD0" w:rsidP="00953CD0">
      <w:pPr>
        <w:tabs>
          <w:tab w:val="left" w:pos="90"/>
        </w:tabs>
        <w:spacing w:after="0" w:line="240" w:lineRule="auto"/>
        <w:ind w:left="1440"/>
        <w:jc w:val="both"/>
        <w:rPr>
          <w:rFonts w:ascii="Times New Roman" w:eastAsia="MS Mincho" w:hAnsi="Times New Roman"/>
          <w:sz w:val="24"/>
        </w:rPr>
      </w:pPr>
      <w:r>
        <w:rPr>
          <w:rFonts w:ascii="Times New Roman" w:eastAsia="MS Mincho" w:hAnsi="Times New Roman"/>
          <w:sz w:val="24"/>
        </w:rPr>
        <w:t>-La prison civile des Coteaux (département du Sud) ;</w:t>
      </w:r>
    </w:p>
    <w:p w:rsidR="00953CD0" w:rsidRDefault="00953CD0" w:rsidP="00953CD0">
      <w:pPr>
        <w:tabs>
          <w:tab w:val="left" w:pos="90"/>
        </w:tabs>
        <w:spacing w:after="0" w:line="240" w:lineRule="auto"/>
        <w:ind w:left="1440"/>
        <w:jc w:val="both"/>
        <w:rPr>
          <w:rFonts w:ascii="Times New Roman" w:eastAsia="MS Mincho" w:hAnsi="Times New Roman"/>
          <w:sz w:val="24"/>
        </w:rPr>
      </w:pPr>
      <w:r>
        <w:rPr>
          <w:rFonts w:ascii="Times New Roman" w:eastAsia="MS Mincho" w:hAnsi="Times New Roman"/>
          <w:sz w:val="24"/>
        </w:rPr>
        <w:t>-La prison civile de Carrefour (département de l’Ouest).</w:t>
      </w:r>
    </w:p>
    <w:p w:rsidR="00953CD0" w:rsidRDefault="00953CD0" w:rsidP="00953CD0">
      <w:pPr>
        <w:tabs>
          <w:tab w:val="left" w:pos="90"/>
        </w:tabs>
        <w:spacing w:after="0" w:line="240" w:lineRule="auto"/>
        <w:jc w:val="both"/>
        <w:rPr>
          <w:rFonts w:ascii="Times New Roman" w:eastAsia="MS Mincho"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La prison civile de Croix-des-Bouquets (département de l’Ouest) est ouverte et répond aux conditions de détention définies par les règles minima des Nations Unies.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Afin de réduire le taux de garde à vue ainsi que le nombre de personnes en rétention dans les commissariats de police, le Ministre de la Justice et de la Sécurité Publique a ordonné au Commissaires du Gouvernement de visiter les gardes à vue et de prendre des mesures pour assurer le suivi des dossiers.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Le Bureau de la Ministre déléguée chargée des Droits de l’Homme et de la Lutte contre la Pauvreté Extrême a effectué une série de visites dans les 18 juridictions du pays en distribuant, entre autres, des kits hygiéniques et des matelas en vue d’améliorer les conditions des prisonniers.  Notamment au Pénitencier National (département de l’Ouest) et dans les prisons de Pétion-Ville (département de l’Ouest), du Cap Haïtien (département du Nord), de </w:t>
      </w:r>
      <w:proofErr w:type="spellStart"/>
      <w:r>
        <w:rPr>
          <w:rFonts w:ascii="Times New Roman" w:hAnsi="Times New Roman"/>
          <w:sz w:val="24"/>
        </w:rPr>
        <w:t>Saint-Marc</w:t>
      </w:r>
      <w:proofErr w:type="spellEnd"/>
      <w:r>
        <w:rPr>
          <w:rFonts w:ascii="Times New Roman" w:hAnsi="Times New Roman"/>
          <w:sz w:val="24"/>
        </w:rPr>
        <w:t xml:space="preserve"> et des Gonaïves (département de l’Artibonite).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De plus, des activités de réhabilitation sociale dans les prisons, tels que la tenue d’ateliers de lecture, d’écriture et de peinture et la célébration de différentes fêtes avec production de spectacles, marquent la volonté du gouvernement d’améliorer les conditions de détention en Haïti.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Enfin, une circulaire du Ministère de la Santé Publique et de la Population (MSPP) a été acheminée aux directeurs départementaux et d’hôpitaux pour la prise en charge des détenus malades. En cas de maladie grave les détenus sont référés au centre le plus proche et les dispositions sont prises pour l’instauration d’un service de consultation dans les centres carcéraux.</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tabs>
          <w:tab w:val="left" w:pos="90"/>
        </w:tabs>
        <w:spacing w:before="0" w:after="0" w:line="240" w:lineRule="auto"/>
      </w:pPr>
      <w:r>
        <w:t xml:space="preserve"> </w:t>
      </w:r>
      <w:bookmarkStart w:id="13" w:name="_Toc381607162"/>
      <w:r>
        <w:t>Thème 5-  Ratification des instruments internationaux</w:t>
      </w:r>
      <w:bookmarkEnd w:id="13"/>
    </w:p>
    <w:p w:rsidR="00953CD0" w:rsidRDefault="00953CD0" w:rsidP="00953CD0">
      <w:pPr>
        <w:tabs>
          <w:tab w:val="left" w:pos="90"/>
        </w:tabs>
        <w:spacing w:after="0" w:line="240" w:lineRule="auto"/>
        <w:jc w:val="both"/>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shd w:val="clear" w:color="auto" w:fill="B6DDE8"/>
              <w:tabs>
                <w:tab w:val="left" w:pos="90"/>
              </w:tabs>
              <w:spacing w:after="0" w:line="240" w:lineRule="auto"/>
              <w:jc w:val="center"/>
              <w:rPr>
                <w:rFonts w:ascii="Times New Roman" w:hAnsi="Times New Roman"/>
                <w:sz w:val="24"/>
              </w:rPr>
            </w:pPr>
            <w:r>
              <w:rPr>
                <w:rFonts w:ascii="Times New Roman" w:hAnsi="Times New Roman"/>
                <w:i/>
                <w:sz w:val="24"/>
              </w:rPr>
              <w:t>Recommandations</w:t>
            </w:r>
            <w:r>
              <w:rPr>
                <w:rFonts w:ascii="Times New Roman" w:hAnsi="Times New Roman"/>
                <w:sz w:val="24"/>
              </w:rPr>
              <w:t> : 88.1, 88.2, 88.3, 88.4, 88.5, 88.6, 88.7, 88.8, 88.9, 88.10, 88.11, 88.12, 88.13, 88.14, 88.15, 88.16, 88.17, 88.20</w:t>
            </w:r>
          </w:p>
          <w:p w:rsidR="00953CD0" w:rsidRDefault="00953CD0" w:rsidP="00CA1BAC">
            <w:pPr>
              <w:tabs>
                <w:tab w:val="left" w:pos="90"/>
              </w:tabs>
              <w:spacing w:after="0" w:line="240" w:lineRule="auto"/>
              <w:jc w:val="both"/>
              <w:rPr>
                <w:rFonts w:ascii="Times New Roman" w:hAnsi="Times New Roman"/>
                <w:b/>
                <w:sz w:val="24"/>
                <w:u w:val="single"/>
              </w:rPr>
            </w:pPr>
          </w:p>
        </w:tc>
      </w:tr>
    </w:tbl>
    <w:p w:rsidR="00953CD0" w:rsidRDefault="00953CD0" w:rsidP="00953CD0">
      <w:pPr>
        <w:pStyle w:val="ListParagraph1"/>
        <w:tabs>
          <w:tab w:val="left" w:pos="0"/>
          <w:tab w:val="left" w:pos="90"/>
        </w:tabs>
        <w:spacing w:after="0" w:line="240" w:lineRule="auto"/>
        <w:ind w:left="0"/>
        <w:jc w:val="both"/>
        <w:rPr>
          <w:rFonts w:ascii="Times New Roman" w:eastAsia="Calibri" w:hAnsi="Times New Roman"/>
          <w:vanish/>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D’importantes avancées ont été réalisées quant à la ratification d’instruments internationaux en matière de droits de l’homme. Ainsi, Haïti a adhéré au Pacte international relatif aux droits économiques sociaux et culturels le 10 octobre 2013. Cette convention est entrée en vigueur en Haïti le 11 janvier 2014.</w:t>
      </w:r>
    </w:p>
    <w:p w:rsidR="00953CD0" w:rsidRDefault="00953CD0" w:rsidP="00953CD0">
      <w:pPr>
        <w:tabs>
          <w:tab w:val="left" w:pos="0"/>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De même, Haïti a déposé l’instrument de ratification de la Convention sur la protection des enfants et la coopération en matière d'adoption internationale en décembre 2013. Cette Convention entrera en vigueur en Haïti le 1er avril 2014.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Deux autres instruments internationaux ont été signés : la Convention contre la torture et autres peines ou traitements cruels, inhumains ou dégradants et la Convention internationale sur la protection des droits de tous les travailleurs migrants et des membres de leur famille, respectivement le 16 août 2013 et  le 5 décembre 2013. Ces deux instruments doivent néanmoins encore être ratifiés.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La ratification des deux premiers Protocoles facultatifs à la Convention relative aux droits de l’enfant (CDE) – le Protocole facultatif concernant l’implication des enfants dans les conflits armés et le Protocole facultatif concernant la vente d’enfants, la prostitution des enfants et la pornographie mettant en scène les enfants -, était portée à l’agenda de l’Assemblée Nationale en décembre 2013, néanmoins comme le quorum de présence n’était pas atteint, l’Assemblée n’a pas pu procéder au vote de la loi portant ratification des Protocoles. </w:t>
      </w:r>
    </w:p>
    <w:p w:rsidR="00953CD0" w:rsidRDefault="00953CD0" w:rsidP="00953CD0">
      <w:pPr>
        <w:pStyle w:val="ListParagraph1"/>
        <w:tabs>
          <w:tab w:val="left" w:pos="90"/>
        </w:tabs>
        <w:spacing w:after="0" w:line="240" w:lineRule="auto"/>
        <w:rPr>
          <w:rFonts w:ascii="Times New Roman" w:hAnsi="Times New Roman"/>
          <w:sz w:val="24"/>
        </w:rPr>
      </w:pPr>
    </w:p>
    <w:p w:rsidR="00953CD0" w:rsidRDefault="00953CD0" w:rsidP="00953CD0">
      <w:pPr>
        <w:pStyle w:val="Titre2"/>
        <w:tabs>
          <w:tab w:val="left" w:pos="90"/>
        </w:tabs>
        <w:spacing w:before="0" w:after="0" w:line="240" w:lineRule="auto"/>
      </w:pPr>
      <w:bookmarkStart w:id="14" w:name="_Toc381607163"/>
      <w:r>
        <w:t>Thème 6-  Application de la loi sanctionnant la corruption</w:t>
      </w:r>
      <w:bookmarkEnd w:id="14"/>
      <w:r>
        <w:t xml:space="preserve"> </w:t>
      </w:r>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center"/>
              <w:rPr>
                <w:rFonts w:ascii="Times New Roman" w:hAnsi="Times New Roman"/>
                <w:i/>
                <w:sz w:val="24"/>
              </w:rPr>
            </w:pPr>
          </w:p>
          <w:p w:rsidR="00953CD0" w:rsidRDefault="00953CD0" w:rsidP="00CA1BAC">
            <w:pPr>
              <w:shd w:val="clear" w:color="auto" w:fill="B6DDE8"/>
              <w:tabs>
                <w:tab w:val="left" w:pos="90"/>
              </w:tabs>
              <w:spacing w:after="0" w:line="240" w:lineRule="auto"/>
              <w:jc w:val="center"/>
              <w:rPr>
                <w:rFonts w:ascii="Times New Roman" w:hAnsi="Times New Roman"/>
                <w:sz w:val="24"/>
              </w:rPr>
            </w:pPr>
            <w:r>
              <w:rPr>
                <w:rFonts w:ascii="Times New Roman" w:hAnsi="Times New Roman"/>
                <w:i/>
                <w:sz w:val="24"/>
              </w:rPr>
              <w:t>Recommandation</w:t>
            </w:r>
            <w:r>
              <w:rPr>
                <w:rFonts w:ascii="Times New Roman" w:hAnsi="Times New Roman"/>
                <w:b/>
                <w:i/>
                <w:sz w:val="24"/>
              </w:rPr>
              <w:t> </w:t>
            </w:r>
            <w:r>
              <w:rPr>
                <w:rFonts w:ascii="Times New Roman" w:hAnsi="Times New Roman"/>
                <w:sz w:val="24"/>
              </w:rPr>
              <w:t>: 88.104</w:t>
            </w:r>
          </w:p>
          <w:p w:rsidR="00953CD0" w:rsidRDefault="00953CD0" w:rsidP="00CA1BAC">
            <w:pPr>
              <w:tabs>
                <w:tab w:val="left" w:pos="90"/>
              </w:tabs>
              <w:spacing w:after="0" w:line="240" w:lineRule="auto"/>
              <w:jc w:val="center"/>
              <w:rPr>
                <w:rFonts w:ascii="Times New Roman" w:hAnsi="Times New Roman"/>
                <w:b/>
                <w:sz w:val="24"/>
                <w:u w:val="single"/>
              </w:rPr>
            </w:pPr>
          </w:p>
        </w:tc>
      </w:tr>
    </w:tbl>
    <w:p w:rsidR="00953CD0" w:rsidRDefault="00953CD0" w:rsidP="00953CD0">
      <w:pPr>
        <w:tabs>
          <w:tab w:val="left" w:pos="90"/>
        </w:tabs>
        <w:spacing w:after="0" w:line="240" w:lineRule="auto"/>
        <w:jc w:val="both"/>
        <w:rPr>
          <w:rFonts w:ascii="Times New Roman" w:hAnsi="Times New Roman"/>
          <w:i/>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Voulant combattre de manière systématique la corruption, le Gouvernement haïtien a proposé un projet de loi portant sur la prévention et la répression de la corruption au Parlement. Celui-ci fut voté par les deux Chambres en mai 2013. Néanmoins, comme les deux Chambres ne l’ont pas encore voté en mêmes termes, le projet de loi n’a pas pu être adopté par le Parlement. Ce projet prévoit l’incrimination de 17 cas de corruption, alors que le Code pénal haïtien n’incrimine que l’enrichissement illicite. De plus, il  vise à harmoniser la législation nationale avec les conventions internationales auxquelles la République d’Haïti est partie. En ce sens, sont considérés comme corruption, les faits suivants : la concussion, l’enrichissement illicite, le blanchiment du produit du crime, le détournement des biens publics, la soustraction de bien publics, le pot de vin, les commissions illicites, la surfacturation, l’octroi de gratification, le népotisme, le financement occulte des partis politiques, le harcèlement, le délit d’initié, la passation illégale de marché public, la prise illicite d’intérêt et l’abus  des biens sociaux ;  passibles de trois à 15 ans de prison. Il faut toutefois noter que ces infractions ne concernent pas uniquement les agents de la fonction publique, mais aussi les particuliers.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L’Unité de Lutte Contre la Corruption (ULCC) a mis en place une ligne téléphonique contre la corruption (numéro 5656) que les membres de la population peuvent appeler pour dénoncer des cas de corruption.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L’ULCC a rappelé aux  ministres, en février 2012, l’obligation qui leur est faite de déclarer leur patrimoine avant d’entrer en fonction. En outre, conformément avec la Convention des Nations Unies  contre la Corruption (Convention de Merida), un projet de loi sanctionnant le blanchiment de capitaux et le financement du terrorisme, a été déposée au Parlement. Cette loi a été  votée par la Chambre de Députés, et en mêmes termes par le Sénat en novembre 2013.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pPr>
      <w:bookmarkStart w:id="15" w:name="_Toc381607164"/>
      <w:r>
        <w:t>Thème 7- Institution nationale des droits de l’homme</w:t>
      </w:r>
      <w:bookmarkEnd w:id="15"/>
    </w:p>
    <w:p w:rsidR="00953CD0" w:rsidRDefault="00953CD0" w:rsidP="00953CD0">
      <w:pPr>
        <w:tabs>
          <w:tab w:val="left" w:pos="90"/>
        </w:tabs>
        <w:spacing w:after="0" w:line="240" w:lineRule="auto"/>
        <w:jc w:val="both"/>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center"/>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b/>
                <w:i/>
                <w:sz w:val="24"/>
              </w:rPr>
            </w:pPr>
            <w:r>
              <w:rPr>
                <w:rFonts w:ascii="Times New Roman" w:hAnsi="Times New Roman"/>
                <w:i/>
                <w:sz w:val="24"/>
              </w:rPr>
              <w:t xml:space="preserve">Recommandations : </w:t>
            </w:r>
            <w:r>
              <w:rPr>
                <w:rFonts w:ascii="Times New Roman" w:hAnsi="Times New Roman"/>
                <w:sz w:val="24"/>
              </w:rPr>
              <w:t>88.23, 88.24, 88.25, 88.26, 88.27, 8.28</w:t>
            </w:r>
          </w:p>
          <w:p w:rsidR="00953CD0" w:rsidRDefault="00953CD0" w:rsidP="00CA1BAC">
            <w:pPr>
              <w:tabs>
                <w:tab w:val="left" w:pos="90"/>
              </w:tabs>
              <w:spacing w:after="0" w:line="240" w:lineRule="auto"/>
              <w:jc w:val="both"/>
              <w:rPr>
                <w:rFonts w:ascii="Times New Roman" w:hAnsi="Times New Roman"/>
                <w:b/>
                <w:sz w:val="24"/>
                <w:u w:val="single"/>
              </w:rPr>
            </w:pPr>
          </w:p>
        </w:tc>
      </w:tr>
    </w:tbl>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Le pays est doté d’une institution nationale des droits de l’Homme. Il s’agit de l’Office de Protection du Citoyen (OPC).</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L’OPC est une institution nationale créée par la Constitution haïtienne de 1987 en vue de défendre les intérêts des particuliers contre toutes les formes d’abus de l’administration. Elle est  organisée par la loi de mai 2012, prise en conformité avec les Principes de Paris. Le 4 décembre 2013, après examen au cours de sa session tenue du 18 au 22 novembre 2013, le Sous-comité d’accréditation du Comité de coordination internationale des institutions nationales de promotion et protection des droits de l’Homme, a officiellement accrédité l’OPC au statut A, témoignant de sa conformité formelle aux Principes de Paris.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Pour les exercices fiscaux 2012 – 2013 et 2013 – 2014, l’OPC s’est vue attribuer un budget de fonctionnement de 31.947.687 HTG, équivalent 1,63% du budget national.</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pPr>
      <w:bookmarkStart w:id="16" w:name="_Toc381607165"/>
      <w:r>
        <w:t>Thème 8- Plan national des droits de l’Homme</w:t>
      </w:r>
      <w:bookmarkEnd w:id="16"/>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sz w:val="24"/>
              </w:rPr>
            </w:pPr>
            <w:r>
              <w:rPr>
                <w:rFonts w:ascii="Times New Roman" w:hAnsi="Times New Roman"/>
                <w:i/>
                <w:sz w:val="24"/>
              </w:rPr>
              <w:t>Recommandation</w:t>
            </w:r>
            <w:r>
              <w:rPr>
                <w:rFonts w:ascii="Times New Roman" w:hAnsi="Times New Roman"/>
                <w:sz w:val="24"/>
              </w:rPr>
              <w:t xml:space="preserve"> : 88.45</w:t>
            </w:r>
          </w:p>
          <w:p w:rsidR="00953CD0" w:rsidRDefault="00953CD0" w:rsidP="00CA1BAC">
            <w:pPr>
              <w:tabs>
                <w:tab w:val="left" w:pos="90"/>
              </w:tabs>
              <w:spacing w:after="0" w:line="240" w:lineRule="auto"/>
            </w:pPr>
          </w:p>
        </w:tc>
      </w:tr>
    </w:tbl>
    <w:p w:rsidR="00953CD0" w:rsidRDefault="00953CD0" w:rsidP="00953CD0">
      <w:pPr>
        <w:tabs>
          <w:tab w:val="left" w:pos="90"/>
        </w:tabs>
        <w:spacing w:after="0" w:line="240" w:lineRule="auto"/>
        <w:jc w:val="both"/>
        <w:rPr>
          <w:rFonts w:ascii="Times New Roman" w:hAnsi="Times New Roman"/>
          <w:b/>
          <w:sz w:val="24"/>
          <w:u w:val="singl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L’Arrêté ministériel du 26 avril 2013  créant le CIDP dispose en son article 9 que «Le Secrétariat technique du CIDP [le Bureau du Ministre Délégué auprès du Premier Ministre, chargé des Droits de l’Homme et de la Lutte contre la Pauvreté Extrême] a comme attributions de […] élaborer un plan national des droits de l’homme aux fins de validation par le CIDP ». De plus, les termes de référence du CIDP font mention de la préparation d’un Plan National des Droits de l’Homme et son plan d’action 2013-2016 prévoit la finalisation de ce plan pour 2014.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tabs>
          <w:tab w:val="left" w:pos="90"/>
        </w:tabs>
        <w:spacing w:before="0" w:after="0" w:line="240" w:lineRule="auto"/>
      </w:pPr>
      <w:bookmarkStart w:id="17" w:name="_Toc381607166"/>
      <w:r>
        <w:t>Thème 9-  Politiques publiques</w:t>
      </w:r>
      <w:bookmarkEnd w:id="17"/>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shd w:val="clear" w:color="auto" w:fill="B6DDE8"/>
              <w:tabs>
                <w:tab w:val="left" w:pos="90"/>
                <w:tab w:val="left" w:pos="190"/>
                <w:tab w:val="center" w:pos="4680"/>
              </w:tabs>
              <w:spacing w:after="0" w:line="240" w:lineRule="auto"/>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t>Recommandations </w:t>
            </w:r>
            <w:r>
              <w:rPr>
                <w:rFonts w:ascii="Times New Roman" w:hAnsi="Times New Roman"/>
                <w:sz w:val="24"/>
              </w:rPr>
              <w:t>: 88.29, 88.30, 88.31, 88.32, 88.33, 88.34, 88.41, 88.118, 88.119, 88.120, 88.122 et 88.123</w:t>
            </w:r>
          </w:p>
          <w:p w:rsidR="00953CD0" w:rsidRDefault="00953CD0" w:rsidP="00CA1BAC">
            <w:pPr>
              <w:tabs>
                <w:tab w:val="left" w:pos="90"/>
              </w:tabs>
              <w:spacing w:after="0" w:line="240" w:lineRule="auto"/>
              <w:jc w:val="both"/>
              <w:rPr>
                <w:rFonts w:ascii="Times New Roman" w:hAnsi="Times New Roman"/>
                <w:b/>
                <w:sz w:val="24"/>
                <w:u w:val="single"/>
              </w:rPr>
            </w:pPr>
          </w:p>
        </w:tc>
      </w:tr>
    </w:tbl>
    <w:p w:rsidR="00953CD0" w:rsidRDefault="00953CD0" w:rsidP="00953CD0">
      <w:pPr>
        <w:tabs>
          <w:tab w:val="left" w:pos="90"/>
        </w:tabs>
        <w:spacing w:after="0" w:line="240" w:lineRule="auto"/>
        <w:jc w:val="both"/>
        <w:rPr>
          <w:rFonts w:ascii="Times New Roman" w:hAnsi="Times New Roman"/>
          <w:i/>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Le Gouvernement dans sa totalité travaille dans la perspective du respect et de la protection de tous les droits de la personne, garantis par la Constitution et les traités internationaux. Une des premières manifestations de la volonté de l’Administration Martelly et du Gouvernement Lamothe de faire du respect des droits de l’homme une priorité, a été la nomination d’un Ministre délégué auprès du Premier Ministre, chargé  des Droits de l’Homme et de la Lutte contre la Pauvreté Extrême.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En vue d’assurer la coordination et l’harmonisation des politiques publiques dans le domaine des droits de l’Homme, le CIDP a été créé par arrêté ministériel du 26 avril 2013, publié au Journal Officiel, le Moniteur, le 13 mai 2013.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Un Plan Stratégique de Développement d’Haïti, prenant en compte les grand chantiers pour le relèvement et le développement d’Haïti jusqu’en 2030, a été élaboré par le Gouvernement. Son contenu vise à étendre les services d’alimentation en eau potable et d’assainissement à  tous ; la construction et la réhabilitation de réseaux d’eau potable et d’assainissement  (drainage et eaux usées) ; ainsi que le renforcement ou la mise en place de gestion des déchets solides. Ce plan prévoit dans son volet 8, un grand chantier sur la refondation sociale. L’ensemble des actions à mettre en œuvre dans ce domaine devra permettre, entre autres, de contribuer à la mise en place des pôles de développement ; d’améliorer les conditions d’habitat ; de favoriser l’inclusion sociale ; et de constituer des axes de création de richesse et d’emplois.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A cet effet, le grand chantier de la refondation sociale prévoit : la création de réseaux modernes de santé et d’ ; un meilleur accès au logement ; le renforcement de l’enseignement supérieur ; le développement de l’action civique, de l’offre sportive et de loisirs ; la mise en place d’un système d’assurance pour tous les travailleurs en vue de l’organisation de la solidarité sociale ; et un programme favorisant l’égalité de genre. Ces prévisions concernent l’ensemble du territoire national.</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Dans le domaine éducatif, le plan prévoit la prise en charge de la petite enfance afin d’éradiquer l’analphabétisme et de promouvoir l’égalité des genres dans l’ ; de renforcer l’enseignement supérieur et la formation professionnelle et technique ; et surtout, la mise en place d’un Fonds en appui à la recherche et l’innovation et d’un financement pour des bourses spécialisées. D’autre part, une politique de la petite enfance a été élaborée par le Gouvernement haïtien, en collaboration avec l’UNICEF.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En vue d’assurer l’égalité des genres, les interventions prévues à ce plan portent notamment sur la mise en œuvre d’une politique d’égalité des sexes ; le renforcement  du cadre légal ; la production et la diffusion d’informations ; le renforcement de la participation féminine dans le développement ; et la lutte contre les violences faites aux femmes et aux filles.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En ce qui concerne l’accès au logement, le Plan Stratégique de Développement d’Haïti, priorise le relogement des personnes sinistrées, l’accroissement de l’offre de terrains urbanisés ; et le développement d’un dispositif financier pour l’habitat.</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De même, ce plan vise un accroissement de l’accès aux services de santé. En ce sens, les priorités concernent la mise en place de centres hospitaliers universitaires, d’hôpitaux de référence, d’hôpitaux communautaires de référence et de centres de santé avec lits et sans lits ; l’instauration d’un programme de santé scolaire ; l’identification des personnes en difficultés ; la lutte contre les maladies endémiques ; et le renforcement des politiques de santé et de la population.</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 En termes de politiques sectorielles, une Politique Nationale de Santé (PNS) en date de 2012 et son Plan Directeur en Santé 2012-2022 (PDS) fixent les cadres, mécanismes et actions qui assureront la tenue des obligations de l'État haïtien quant à la réalisation du droit à la santé de ses citoyens. La PNS et le PDS se fondent sur quatre (4) principes directeurs, à savoir l’universalité, la globalité, l’équité et la qualité dans l’accès et la prestation des soins.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Le MSPP a également procédé á une distribution gratuite de médicaments essentiels dans les  services de base, une augmentation des dépôts périphériques de médicaments essentiels et  la réorganisation des pharmacies institutionnelles.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Dans le but de faire face aux catastrophes naturelles et de mieux préparer la réponse à l’urgence, un plan de contingence national a été élaboré mettant l’emphase sur la gestion des risques et désastres, prenant également en compte les principes et standards internationaux de protection. En cas de catastrophes, le Ministère de l’Intérieur et des Collectivités Territoriales (MICT), à travers la Direction de la Protection Civile (DPC), s’assurera que les personnes les plus vulnérables soient priorisées et aient accès aux services de bases, aux distributions et à l’assistance avant, pendant et après la catastrophe. De même, la DPC s’assurera de l’identification et de l’enregistrement des personnes les plus vulnérables vivants dans les quartiers à risques. Un plan de contingence sismique est en cours d’élaboration. Par ailleurs, afin de mieux sensibiliser la population sur la question des risques et désastres, la DPC a réalisé un journal nommé « CHIMEN LAKAY ». C’est un périodique qui sensibilise la population sur les « gestes qui sauvent » et le comportement à adopter en matière de risques et désastres. Il est distribué gratuitement dans les camps hébergeant les victimes du séisme.</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Parallèlement, le Groupe technique Protection a été créé. Ce groupe est composé de représentants des Ministères intervenant dans la protection de l’enfance et  la protection  contre la violence basée sur le genre, ainsi que d’institutions internationales. Une prise en charge spécifique est assurée aux personnes les plus vulnérables dans les zones affectées tels les camps et les abris temporaires. L’identification et l’enregistrement des personnes les plus vulnérables vivant dans les quartiers à risques, permettent une meilleure évacuation et  distribution de l’aide, ainsi que la relocalisation.</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Toujours dans un souci de réponse efficace aux catastrophes, la DPC s’assure de l’accès à l’information relative aux  mécanismes de protection et de prévention des risques ainsi que celle concernant les services disponibles aux populations affectées, en tenant compte des besoins spécifiques des personnes vulnérables. A cet effet, des modules de formation en protection à l’intention des gestionnaires d’abris ont été réalisé. Des modules sur les premiers secours psychologiques sont  en préparation. Des séances de formation en protection ont été réalisées à travers les dix départements. Des formations relatives à l’appui psychosocial seront réalisées prochainement.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Dans le cadre de ses actions pour lutter contre l’extrême pauvreté, le Gouvernement a développé une stratégie globale d’assistance sociale dénommée « EDE PEP », conçue comme un ensemble d’interventions publiques qui fournissent une assistance sociale à la population vulnérable vivant dans la pauvreté extrême tout au long de leur cycle de vie. Le ménage a été choisi comme espace d’intervention et unité basique réceptrice des interventions publiques. En octobre 2013, le Gouvernement haïtien a annoncé qu’à travers ce programme, 44.6 millions de dollars américains ont été dépensés en faveur de près de 2.1 millions de bénéficiaires.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En octobre 2013, la Politique Nationale de Logement et d’Habitat (PNLH) a officiellement été lancée par le Gouvernement. Dans le cadre de ladite politique, l’une des options retenues pour augmenter l’offre de logement est de développer des programmes de cité-services au niveau de la région métropolitaine de Port-au-Prince (département de l’Ouest).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Quelques 150 participants provenant du Gouvernement et de la communauté humanitaire en Haïti se sont réunis le 29 Octobre 2013 à Port-au-Prince pour préparer le Plan d'Action Humanitaire (PAH) pour 2014. Les participants ont été chargés d'identifier les priorités stratégiques pour répondre aux besoins humanitaires des plus vulnérables en 2014. Le processus de planification du PAH 2014 a identifié les domaines prioritaires suivants : la lutte contre le choléra et la diminution du taux de mortalité ; l'insécurité alimentaire et la malnutrition ; la situation des 172.000 déplacés internes ;  les besoins de protection ; et la préparation aux situations d'urgence.</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En date du 4 septembre 2013, le  Premier Ministre, M. Laurent Lamothe, a procédé à l’installation du Conseil Supérieur de l’Administration et de la Fonction publique (CSAFP). La mise en place de ce Conseil s’inscrit dans le cadre de la politique du Gouvernement visant à améliorer le mode de fonctionnement des instances publiques. Ce Conseil pourrait permettre l’accélération du processus de réforme de l’appareil administratif de l’État, dont l’Office de Management et des Ressources Humaines (OMRH) assurent la mise en œuvre.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Le Gouvernement a mis en place un programme intitulé « </w:t>
      </w:r>
      <w:proofErr w:type="spellStart"/>
      <w:r>
        <w:rPr>
          <w:rFonts w:ascii="Times New Roman" w:hAnsi="Times New Roman"/>
          <w:sz w:val="24"/>
        </w:rPr>
        <w:t>Gouvènman</w:t>
      </w:r>
      <w:proofErr w:type="spellEnd"/>
      <w:r>
        <w:rPr>
          <w:rFonts w:ascii="Times New Roman" w:hAnsi="Times New Roman"/>
          <w:sz w:val="24"/>
        </w:rPr>
        <w:t xml:space="preserve"> an </w:t>
      </w:r>
      <w:proofErr w:type="spellStart"/>
      <w:r>
        <w:rPr>
          <w:rFonts w:ascii="Times New Roman" w:hAnsi="Times New Roman"/>
          <w:sz w:val="24"/>
        </w:rPr>
        <w:t>lakay</w:t>
      </w:r>
      <w:proofErr w:type="spellEnd"/>
      <w:r>
        <w:rPr>
          <w:rFonts w:ascii="Times New Roman" w:hAnsi="Times New Roman"/>
          <w:sz w:val="24"/>
        </w:rPr>
        <w:t xml:space="preserve"> ou » (le Gouvernement chez vous), qui consiste en un déplacement du Premier Ministre accompagné de plusieurs ministres et de hauts fonctionnaires de l’État dans une ville de province. Au cours de cette visite, le Premier Ministre reçoit les doléances en termes d’accès aux droits économiques, sociaux et culturels, des autorités et associations locales, expose les projets gouvernementaux pour la région, et échange avec la population locale. Ce programme a déjà été réalisé, entre autres, à </w:t>
      </w:r>
      <w:proofErr w:type="spellStart"/>
      <w:r>
        <w:rPr>
          <w:rFonts w:ascii="Times New Roman" w:hAnsi="Times New Roman"/>
          <w:sz w:val="24"/>
        </w:rPr>
        <w:t>Milot</w:t>
      </w:r>
      <w:proofErr w:type="spellEnd"/>
      <w:r>
        <w:rPr>
          <w:rFonts w:ascii="Times New Roman" w:hAnsi="Times New Roman"/>
          <w:sz w:val="24"/>
        </w:rPr>
        <w:t xml:space="preserve"> (département du Nord), à Petit-</w:t>
      </w:r>
      <w:proofErr w:type="spellStart"/>
      <w:r>
        <w:rPr>
          <w:rFonts w:ascii="Times New Roman" w:hAnsi="Times New Roman"/>
          <w:sz w:val="24"/>
        </w:rPr>
        <w:t>Goâve</w:t>
      </w:r>
      <w:proofErr w:type="spellEnd"/>
      <w:r>
        <w:rPr>
          <w:rFonts w:ascii="Times New Roman" w:hAnsi="Times New Roman"/>
          <w:sz w:val="24"/>
        </w:rPr>
        <w:t xml:space="preserve"> (département de l’Ouest), à </w:t>
      </w:r>
      <w:proofErr w:type="spellStart"/>
      <w:r>
        <w:rPr>
          <w:rFonts w:ascii="Times New Roman" w:hAnsi="Times New Roman"/>
          <w:sz w:val="24"/>
        </w:rPr>
        <w:t>Jacmel</w:t>
      </w:r>
      <w:proofErr w:type="spellEnd"/>
      <w:r>
        <w:rPr>
          <w:rFonts w:ascii="Times New Roman" w:hAnsi="Times New Roman"/>
          <w:sz w:val="24"/>
        </w:rPr>
        <w:t xml:space="preserve"> (département du </w:t>
      </w:r>
      <w:proofErr w:type="spellStart"/>
      <w:r>
        <w:rPr>
          <w:rFonts w:ascii="Times New Roman" w:hAnsi="Times New Roman"/>
          <w:sz w:val="24"/>
        </w:rPr>
        <w:t>Sud-Est</w:t>
      </w:r>
      <w:proofErr w:type="spellEnd"/>
      <w:r>
        <w:rPr>
          <w:rFonts w:ascii="Times New Roman" w:hAnsi="Times New Roman"/>
          <w:sz w:val="24"/>
        </w:rPr>
        <w:t>), aux Gonaïves (département de l’Artibonite) et aux Cayes (département du Sud).</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tabs>
          <w:tab w:val="left" w:pos="90"/>
        </w:tabs>
        <w:spacing w:before="0" w:after="0" w:line="240" w:lineRule="auto"/>
      </w:pPr>
      <w:bookmarkStart w:id="18" w:name="_Toc381607167"/>
      <w:r>
        <w:t>Thème 10-  Droit à l’alimentation</w:t>
      </w:r>
      <w:bookmarkEnd w:id="18"/>
    </w:p>
    <w:p w:rsidR="00953CD0" w:rsidRDefault="00953CD0" w:rsidP="00953CD0">
      <w:pPr>
        <w:tabs>
          <w:tab w:val="left" w:pos="90"/>
        </w:tabs>
        <w:spacing w:after="0" w:line="240" w:lineRule="auto"/>
        <w:jc w:val="both"/>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tabs>
                <w:tab w:val="left" w:pos="90"/>
              </w:tabs>
              <w:spacing w:after="0" w:line="240" w:lineRule="auto"/>
              <w:jc w:val="center"/>
              <w:rPr>
                <w:rFonts w:ascii="Times New Roman" w:hAnsi="Times New Roman"/>
                <w:b/>
                <w:sz w:val="24"/>
                <w:u w:val="single"/>
              </w:rPr>
            </w:pPr>
            <w:r>
              <w:rPr>
                <w:rFonts w:ascii="Times New Roman" w:hAnsi="Times New Roman"/>
                <w:i/>
                <w:sz w:val="24"/>
              </w:rPr>
              <w:t>Recommandation</w:t>
            </w:r>
            <w:r>
              <w:rPr>
                <w:rFonts w:ascii="Times New Roman" w:hAnsi="Times New Roman"/>
                <w:sz w:val="24"/>
              </w:rPr>
              <w:t> : 88.121, 88.122</w:t>
            </w:r>
          </w:p>
          <w:p w:rsidR="00953CD0" w:rsidRDefault="00953CD0" w:rsidP="00CA1BAC">
            <w:pPr>
              <w:tabs>
                <w:tab w:val="left" w:pos="90"/>
              </w:tabs>
              <w:spacing w:after="0" w:line="240" w:lineRule="auto"/>
              <w:jc w:val="both"/>
              <w:rPr>
                <w:rFonts w:ascii="Times New Roman" w:hAnsi="Times New Roman"/>
                <w:b/>
                <w:sz w:val="24"/>
                <w:u w:val="single"/>
              </w:rPr>
            </w:pPr>
          </w:p>
        </w:tc>
      </w:tr>
    </w:tbl>
    <w:p w:rsidR="00953CD0" w:rsidRDefault="00953CD0" w:rsidP="00953CD0">
      <w:pPr>
        <w:tabs>
          <w:tab w:val="left" w:pos="90"/>
        </w:tabs>
        <w:spacing w:after="0" w:line="240" w:lineRule="auto"/>
        <w:jc w:val="both"/>
        <w:rPr>
          <w:rFonts w:ascii="Times New Roman" w:hAnsi="Times New Roman"/>
          <w:b/>
          <w:sz w:val="24"/>
          <w:u w:val="singl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Depuis le 24 janvier 2012, en plus de la stratégie d’assistance sociale « </w:t>
      </w:r>
      <w:r>
        <w:rPr>
          <w:rFonts w:ascii="Times New Roman" w:hAnsi="Times New Roman"/>
          <w:i/>
          <w:sz w:val="24"/>
        </w:rPr>
        <w:t>EDE PEP</w:t>
      </w:r>
      <w:r>
        <w:rPr>
          <w:rFonts w:ascii="Times New Roman" w:hAnsi="Times New Roman"/>
          <w:sz w:val="24"/>
        </w:rPr>
        <w:t xml:space="preserve"> » mentionnée ci-dessus et de ses sous-programmes, le Gouvernement a lancé une stratégie nationale de lutte contre la faim et la malnutrition en Haïti, dénommée « </w:t>
      </w:r>
      <w:r>
        <w:rPr>
          <w:rFonts w:ascii="Times New Roman" w:hAnsi="Times New Roman"/>
          <w:i/>
          <w:sz w:val="24"/>
        </w:rPr>
        <w:t xml:space="preserve">Aba </w:t>
      </w:r>
      <w:proofErr w:type="spellStart"/>
      <w:r>
        <w:rPr>
          <w:rFonts w:ascii="Times New Roman" w:hAnsi="Times New Roman"/>
          <w:i/>
          <w:sz w:val="24"/>
        </w:rPr>
        <w:t>Grangou</w:t>
      </w:r>
      <w:proofErr w:type="spellEnd"/>
      <w:r>
        <w:rPr>
          <w:rFonts w:ascii="Times New Roman" w:hAnsi="Times New Roman"/>
          <w:sz w:val="24"/>
        </w:rPr>
        <w:t xml:space="preserve"> ». Cette stratégie a pour objectif principal de réduire la faim de 50% d’ici 2016, et de l’éradiquer à l’horizon de 2025. En conséquence, plusieurs actions sont prévues, notamment: faire bénéficier un million de mères de familles et d’individus vulnérables de transferts d’argent et de nourriture ; permettre à un million d’enfants de moins de cinq ans de bénéficier des programmes nutritionnels ; distribuer des kits alimentaires ; faciliter l’accès des petits planteurs aux programmes agricoles, aux infrastructures de stockage des récoltes et aux citernes pour le stockage de l’eau ; accompagner 200 investisseurs privés de taille moyenne pour le développement des filières agricoles porteuses sur les terres aujourd’hui non cultivées appartenant à l’ pendant le temps que dure le programme ; et accompagner un million de personnes vulnérables à travers un réseau de 20,000 agents de développement polyvalents. Ainsi, l’objectif général est de disposer d’infrastructures rurales adaptées aux besoins de gestion des ressources naturelles, de production et de mise en marché.</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Un programme de sécurité alimentaire de quatre ans a été lancé dans le cadre de la coopération internationale, dans le but d’améliorer la nutrition et l'accès à des aliments produits localement pour les ménages les plus vulnérables en Haïti. Il s’agit essentiellement de réduire l'insécurité alimentaire en développant le secteur agricole.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Dans le même sens, plusieurs mesures ont été prises par le Gouvernement dans le volet agricole, qui ont valu une croissance du PIB, notamment pour le développement des filières végétales, animales, bovines et laitières, par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Un appui aux planteurs des cultures de cacao, de café et de mangues à travers des programmes de subvention de la campagne agricole hiver et printemps au cours de l’exercice fiscal 2013-2014;</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La mise en œuvre par le Ministère de l’Agriculture des Ressources Naturelles et du Développement Rural (MARDNR) de deux programmes de subvention des campagnes d’hivers et de printemps pour des montants respectifs de 56.4 millions HTG et 77,6 millions HTG ;</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La mise en œuvre d’une politique en vue de la reconquête du marché national des produits avicoles. D’ici 2016, la production devrait atteindre 1.3 millions de pondeuses et  15 millions de poulets de chair par année ;</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Le renforcement de la capacité nationale de transformation du lait, par l’appui à  l’ouverture de quatre nouvelles unités de transformation de lait, la mise en chantier de trois nouvelles unités , et le renforcement de la capacité de 12 unités de transformation par l’achat d’équipements ;</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La formation des agents vétérinaires et des producteurs de lait ;</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La mise en place d’une dizaine de stations de croisement pour l’amélioration génétique ;</w:t>
      </w:r>
    </w:p>
    <w:p w:rsidR="00953CD0" w:rsidRDefault="00953CD0" w:rsidP="00953CD0">
      <w:pPr>
        <w:tabs>
          <w:tab w:val="left" w:pos="90"/>
        </w:tabs>
        <w:spacing w:after="0" w:line="240" w:lineRule="auto"/>
        <w:ind w:left="720"/>
        <w:jc w:val="both"/>
        <w:rPr>
          <w:rFonts w:ascii="Times New Roman" w:hAnsi="Times New Roman"/>
          <w:sz w:val="24"/>
        </w:rPr>
      </w:pPr>
      <w:r>
        <w:rPr>
          <w:rFonts w:ascii="Times New Roman" w:hAnsi="Times New Roman"/>
          <w:sz w:val="24"/>
        </w:rPr>
        <w:t>- La mise en place d’une trentaine de parcelles fourragères.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Pendant la période sous revue, le programme « </w:t>
      </w:r>
      <w:proofErr w:type="spellStart"/>
      <w:r>
        <w:rPr>
          <w:rFonts w:ascii="Times New Roman" w:hAnsi="Times New Roman"/>
          <w:sz w:val="24"/>
        </w:rPr>
        <w:t>Kore</w:t>
      </w:r>
      <w:proofErr w:type="spellEnd"/>
      <w:r>
        <w:rPr>
          <w:rFonts w:ascii="Times New Roman" w:hAnsi="Times New Roman"/>
          <w:sz w:val="24"/>
        </w:rPr>
        <w:t xml:space="preserve"> </w:t>
      </w:r>
      <w:proofErr w:type="spellStart"/>
      <w:r>
        <w:rPr>
          <w:rFonts w:ascii="Times New Roman" w:hAnsi="Times New Roman"/>
          <w:sz w:val="24"/>
        </w:rPr>
        <w:t>lavi</w:t>
      </w:r>
      <w:proofErr w:type="spellEnd"/>
      <w:r>
        <w:rPr>
          <w:rFonts w:ascii="Times New Roman" w:hAnsi="Times New Roman"/>
          <w:sz w:val="24"/>
        </w:rPr>
        <w:t xml:space="preserve"> » a été mis en œuvre de concert avec CARE International, l’ONG Action contre la faim et le Programme Alimentaire Mondial (PAM), afin de permettre au Gouvernement d'Haïti d’établir un système de sécurité sociale au profit des plus pauvres. Cela permettra d’accroître l’accès des ménages à la nourriture et de prévenir la malnutrition chez les enfants de moins de deux ans.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En 2014, le programme devrait couvrir environ 7.000 personnes dans des foyers vulnérables répartis dans au moins cinq communes du Centre, de l’Artibonite, du Nord-Ouest et du Sud, pour un minimum de deux ans. Les foyers bénéficiaires recevront une aide en bons alimentaires de 25 USD</w:t>
      </w:r>
      <w:r>
        <w:footnoteReference w:id="1"/>
      </w:r>
      <w:r>
        <w:rPr>
          <w:rFonts w:ascii="Times New Roman" w:hAnsi="Times New Roman"/>
          <w:sz w:val="24"/>
        </w:rPr>
        <w:t>. L’objectif est d’atteindre environ 30.000 foyers hébergeant des femmes enceintes. Les ménages bénéficiaires vont recevoir des compléments nutritionnels destinés aux jeunes mères, mais également aux enfants entre six et 23 mois. De plus, des formations sont prévues afin d’encourager les changements d’habitudes nutritionnelles. Des traitements seront également donnés à 4.300 enfants de moins de cinq ans dans ces mêmes communes affectées par l’insécurité alimentaire sévère.</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pStyle w:val="Titre2"/>
        <w:tabs>
          <w:tab w:val="left" w:pos="90"/>
        </w:tabs>
        <w:spacing w:before="0" w:after="0" w:line="240" w:lineRule="auto"/>
      </w:pPr>
      <w:bookmarkStart w:id="19" w:name="_Toc381607168"/>
      <w:r>
        <w:t>Thème 11-  Droit à l’</w:t>
      </w:r>
      <w:bookmarkEnd w:id="19"/>
    </w:p>
    <w:p w:rsidR="00953CD0" w:rsidRDefault="00953CD0" w:rsidP="00953CD0">
      <w:pPr>
        <w:tabs>
          <w:tab w:val="left" w:pos="9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53CD0" w:rsidTr="00CA1BAC">
        <w:tc>
          <w:tcPr>
            <w:tcW w:w="9576" w:type="dxa"/>
            <w:shd w:val="clear" w:color="auto" w:fill="B6DDE8"/>
          </w:tcPr>
          <w:p w:rsidR="00953CD0" w:rsidRDefault="00953CD0" w:rsidP="00CA1BAC">
            <w:pPr>
              <w:tabs>
                <w:tab w:val="left" w:pos="90"/>
              </w:tabs>
              <w:spacing w:after="0" w:line="240" w:lineRule="auto"/>
              <w:jc w:val="both"/>
              <w:rPr>
                <w:rFonts w:ascii="Times New Roman" w:hAnsi="Times New Roman"/>
                <w:i/>
                <w:sz w:val="24"/>
              </w:rPr>
            </w:pPr>
          </w:p>
          <w:p w:rsidR="00953CD0" w:rsidRDefault="00953CD0" w:rsidP="00CA1BAC">
            <w:pPr>
              <w:shd w:val="clear" w:color="auto" w:fill="B6DDE8"/>
              <w:tabs>
                <w:tab w:val="left" w:pos="90"/>
              </w:tabs>
              <w:spacing w:after="0" w:line="240" w:lineRule="auto"/>
              <w:jc w:val="center"/>
              <w:rPr>
                <w:rFonts w:ascii="Times New Roman" w:hAnsi="Times New Roman"/>
                <w:sz w:val="24"/>
              </w:rPr>
            </w:pPr>
            <w:r>
              <w:rPr>
                <w:rFonts w:ascii="Times New Roman" w:hAnsi="Times New Roman"/>
                <w:i/>
                <w:sz w:val="24"/>
              </w:rPr>
              <w:t>Recommandations </w:t>
            </w:r>
            <w:r>
              <w:rPr>
                <w:rFonts w:ascii="Times New Roman" w:hAnsi="Times New Roman"/>
                <w:sz w:val="24"/>
              </w:rPr>
              <w:t>: 88.73, 88.122, 88.125, 88.126, 88.127, 88.128, 88.129</w:t>
            </w:r>
          </w:p>
          <w:p w:rsidR="00953CD0" w:rsidRDefault="00953CD0" w:rsidP="00CA1BAC">
            <w:pPr>
              <w:tabs>
                <w:tab w:val="left" w:pos="90"/>
              </w:tabs>
              <w:spacing w:after="0" w:line="240" w:lineRule="auto"/>
            </w:pPr>
          </w:p>
        </w:tc>
      </w:tr>
    </w:tbl>
    <w:p w:rsidR="00953CD0" w:rsidRDefault="00953CD0" w:rsidP="00953CD0">
      <w:pPr>
        <w:tabs>
          <w:tab w:val="left" w:pos="90"/>
        </w:tabs>
        <w:spacing w:after="0" w:line="240" w:lineRule="auto"/>
        <w:jc w:val="both"/>
        <w:rPr>
          <w:rFonts w:ascii="Times New Roman" w:hAnsi="Times New Roman"/>
          <w:b/>
          <w:sz w:val="24"/>
          <w:u w:val="single"/>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L’Education constitue l’un des axes prioritaires de l’action gouvernementale, á côté de l’Energie, l’Emploi, l’Environnement et l’État de droit, aussi dénommés les cinq « E ».</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Ainsi, le Programme de Scolarisation Universelle, Gratuite et Obligatoire (PSUGO), initié par le Gouvernement en 2011 au niveau de l’ primaire, favorise l’accès d’un nombre croissant d’enfants scolarisables. Le programme national de cantines scolaires a été renforcé et permet à chaque enfant inscrit au PSUGO de bénéficier d’un plat chaud par jour en vue de limiter le taux de déperdition scolaire. Un système de transport scolaire gratuit a été mis en place en vue de faciliter l’accès des élèves aux établissements scolaires.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Selon les chiffres du Ministère de l’Education Nationale et de la Formation Professionnelle (MENFP), 1.081.412 enfants dans les dix départements du pays ont bénéficié du PSUGO pour l’année scolaire 2011-2012. Des kits scolaires ont été distribués dans plus de 1.389 écoles, soit à 295.000 élèves et 7.853 enseignants.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Un projet de loi sur le Fonds National de l’Education (FNE) a été transmis au Parlement et voté par  la Chambre des Députés en août 2012.</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 xml:space="preserve">Le programme « </w:t>
      </w:r>
      <w:proofErr w:type="spellStart"/>
      <w:r>
        <w:rPr>
          <w:rFonts w:ascii="Times New Roman" w:hAnsi="Times New Roman"/>
          <w:sz w:val="24"/>
        </w:rPr>
        <w:t>Kore</w:t>
      </w:r>
      <w:proofErr w:type="spellEnd"/>
      <w:r>
        <w:rPr>
          <w:rFonts w:ascii="Times New Roman" w:hAnsi="Times New Roman"/>
          <w:sz w:val="24"/>
        </w:rPr>
        <w:t xml:space="preserve"> </w:t>
      </w:r>
      <w:proofErr w:type="spellStart"/>
      <w:r>
        <w:rPr>
          <w:rFonts w:ascii="Times New Roman" w:hAnsi="Times New Roman"/>
          <w:sz w:val="24"/>
        </w:rPr>
        <w:t>etidyan</w:t>
      </w:r>
      <w:proofErr w:type="spellEnd"/>
      <w:r>
        <w:rPr>
          <w:rFonts w:ascii="Times New Roman" w:hAnsi="Times New Roman"/>
          <w:sz w:val="24"/>
        </w:rPr>
        <w:t xml:space="preserve"> » a été mis en œuvre depuis décembre 2012 pour aider les étudiants de l’Université d’État. Il consiste en l’octroi d’un montant de 18.000 HTG aux étudiants bénéficiaires, sous forme de bourse, pour l’année académique. Ce programme cible 22.000 étudiants.</w:t>
      </w:r>
    </w:p>
    <w:p w:rsidR="00953CD0" w:rsidRDefault="00953CD0" w:rsidP="00953CD0">
      <w:pPr>
        <w:tabs>
          <w:tab w:val="left" w:pos="90"/>
        </w:tabs>
        <w:spacing w:after="0" w:line="240" w:lineRule="auto"/>
        <w:jc w:val="both"/>
        <w:rPr>
          <w:rFonts w:ascii="Times New Roman" w:hAnsi="Times New Roman"/>
          <w:sz w:val="24"/>
        </w:rPr>
      </w:pPr>
    </w:p>
    <w:p w:rsidR="00953CD0" w:rsidRDefault="00953CD0" w:rsidP="00953CD0">
      <w:pPr>
        <w:numPr>
          <w:ilvl w:val="0"/>
          <w:numId w:val="2"/>
        </w:numPr>
        <w:tabs>
          <w:tab w:val="left" w:pos="90"/>
        </w:tabs>
        <w:spacing w:after="0" w:line="240" w:lineRule="auto"/>
        <w:ind w:left="0" w:firstLine="0"/>
        <w:jc w:val="both"/>
        <w:rPr>
          <w:rFonts w:ascii="Times New Roman" w:hAnsi="Times New Roman"/>
          <w:sz w:val="24"/>
        </w:rPr>
      </w:pPr>
      <w:r>
        <w:rPr>
          <w:rFonts w:ascii="Times New Roman" w:hAnsi="Times New Roman"/>
          <w:sz w:val="24"/>
        </w:rPr>
        <w:t>La Commission d'Adaptation Scolaire et d'Appui Social du MENFP, une structure chargée de l'inclusion des enfants et jeunes en situation de handicap dans le milieu scolaire, est en cours de renforcement grâce à un partenariat avec le Bureau du Secrétaire d’État à l’Intégration des Personnes Handicapées (BSEIPH) et l'Institut National Supérieur de Formation et de Recherche pour l’Education des Jeunes Handicapés et les Enseignements Adaptés de la France.</w:t>
      </w:r>
    </w:p>
    <w:p w:rsidR="00953CD0" w:rsidRDefault="00953CD0" w:rsidP="00953CD0">
      <w:pPr>
        <w:tabs>
          <w:tab w:val="left" w:pos="90"/>
        </w:tabs>
        <w:spacing w:after="0" w:line="240" w:lineRule="auto"/>
        <w:jc w:val="both"/>
        <w:rPr>
          <w:rFonts w:ascii="Times New Roman" w:hAnsi="Times New Roman"/>
          <w:sz w:val="24"/>
        </w:rPr>
      </w:pPr>
    </w:p>
    <w:p w:rsidR="00EE798C" w:rsidRDefault="00EE798C"/>
    <w:sectPr w:rsidR="00EE798C" w:rsidSect="00EE79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30" w:rsidRDefault="00D44430" w:rsidP="00953CD0">
      <w:pPr>
        <w:spacing w:after="0" w:line="240" w:lineRule="auto"/>
      </w:pPr>
      <w:r>
        <w:separator/>
      </w:r>
    </w:p>
  </w:endnote>
  <w:endnote w:type="continuationSeparator" w:id="0">
    <w:p w:rsidR="00D44430" w:rsidRDefault="00D44430" w:rsidP="00953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30" w:rsidRDefault="00D44430" w:rsidP="00953CD0">
      <w:pPr>
        <w:spacing w:after="0" w:line="240" w:lineRule="auto"/>
      </w:pPr>
      <w:r>
        <w:separator/>
      </w:r>
    </w:p>
  </w:footnote>
  <w:footnote w:type="continuationSeparator" w:id="0">
    <w:p w:rsidR="00D44430" w:rsidRDefault="00D44430" w:rsidP="00953CD0">
      <w:pPr>
        <w:spacing w:after="0" w:line="240" w:lineRule="auto"/>
      </w:pPr>
      <w:r>
        <w:continuationSeparator/>
      </w:r>
    </w:p>
  </w:footnote>
  <w:footnote w:id="1">
    <w:p w:rsidR="00953CD0" w:rsidRDefault="00953CD0" w:rsidP="00953CD0">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Au moment de la rédaction du présent rapport, 1 USD valait 44,15 HTG. </w:t>
      </w:r>
    </w:p>
    <w:p w:rsidR="00953CD0" w:rsidRDefault="00953CD0" w:rsidP="00953CD0">
      <w:pPr>
        <w:pStyle w:val="Notedebasdepag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A79"/>
    <w:multiLevelType w:val="hybridMultilevel"/>
    <w:tmpl w:val="E738D5D2"/>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DCF77E6"/>
    <w:multiLevelType w:val="hybridMultilevel"/>
    <w:tmpl w:val="39F4992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C760734"/>
    <w:multiLevelType w:val="hybridMultilevel"/>
    <w:tmpl w:val="F690BEC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81B636B"/>
    <w:multiLevelType w:val="hybridMultilevel"/>
    <w:tmpl w:val="6D12C9B4"/>
    <w:lvl w:ilvl="0" w:tplc="FFFFFFFF">
      <w:start w:val="88"/>
      <w:numFmt w:val="bullet"/>
      <w:lvlText w:val="-"/>
      <w:lvlJc w:val="left"/>
      <w:pPr>
        <w:ind w:left="180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53CD0"/>
    <w:rsid w:val="00000264"/>
    <w:rsid w:val="000027ED"/>
    <w:rsid w:val="00002B09"/>
    <w:rsid w:val="00002F22"/>
    <w:rsid w:val="000042FD"/>
    <w:rsid w:val="00005F60"/>
    <w:rsid w:val="00006F37"/>
    <w:rsid w:val="000079F0"/>
    <w:rsid w:val="00012379"/>
    <w:rsid w:val="00012676"/>
    <w:rsid w:val="00013197"/>
    <w:rsid w:val="00013D7D"/>
    <w:rsid w:val="000146BA"/>
    <w:rsid w:val="00014BF1"/>
    <w:rsid w:val="000157E2"/>
    <w:rsid w:val="00016E8D"/>
    <w:rsid w:val="0002038F"/>
    <w:rsid w:val="000209FD"/>
    <w:rsid w:val="000216C7"/>
    <w:rsid w:val="00023531"/>
    <w:rsid w:val="00024068"/>
    <w:rsid w:val="00024B24"/>
    <w:rsid w:val="00025CC9"/>
    <w:rsid w:val="00025E85"/>
    <w:rsid w:val="00026B2B"/>
    <w:rsid w:val="00030E1D"/>
    <w:rsid w:val="000312FF"/>
    <w:rsid w:val="00032921"/>
    <w:rsid w:val="0003447D"/>
    <w:rsid w:val="00034CA9"/>
    <w:rsid w:val="00034E8B"/>
    <w:rsid w:val="000375C6"/>
    <w:rsid w:val="000402A4"/>
    <w:rsid w:val="00040CA1"/>
    <w:rsid w:val="0004292D"/>
    <w:rsid w:val="00046A9F"/>
    <w:rsid w:val="00050697"/>
    <w:rsid w:val="00051149"/>
    <w:rsid w:val="00051180"/>
    <w:rsid w:val="00051DD3"/>
    <w:rsid w:val="000520A8"/>
    <w:rsid w:val="0005352B"/>
    <w:rsid w:val="000537B0"/>
    <w:rsid w:val="00055154"/>
    <w:rsid w:val="00055443"/>
    <w:rsid w:val="00056F89"/>
    <w:rsid w:val="0005781B"/>
    <w:rsid w:val="00060DA5"/>
    <w:rsid w:val="00061159"/>
    <w:rsid w:val="0006123D"/>
    <w:rsid w:val="000653D3"/>
    <w:rsid w:val="000667C7"/>
    <w:rsid w:val="00067642"/>
    <w:rsid w:val="00073E3E"/>
    <w:rsid w:val="00073E52"/>
    <w:rsid w:val="00074192"/>
    <w:rsid w:val="00074481"/>
    <w:rsid w:val="00074984"/>
    <w:rsid w:val="00077AF5"/>
    <w:rsid w:val="00080220"/>
    <w:rsid w:val="00081167"/>
    <w:rsid w:val="00082AFA"/>
    <w:rsid w:val="00082E56"/>
    <w:rsid w:val="000838B1"/>
    <w:rsid w:val="000843F1"/>
    <w:rsid w:val="00085439"/>
    <w:rsid w:val="0008715F"/>
    <w:rsid w:val="00091276"/>
    <w:rsid w:val="00091E87"/>
    <w:rsid w:val="0009200D"/>
    <w:rsid w:val="00092C18"/>
    <w:rsid w:val="000937DE"/>
    <w:rsid w:val="000939BA"/>
    <w:rsid w:val="00094A45"/>
    <w:rsid w:val="00094D19"/>
    <w:rsid w:val="0009685D"/>
    <w:rsid w:val="000A1ECA"/>
    <w:rsid w:val="000A31E2"/>
    <w:rsid w:val="000A3227"/>
    <w:rsid w:val="000A3640"/>
    <w:rsid w:val="000A4CE2"/>
    <w:rsid w:val="000A678E"/>
    <w:rsid w:val="000A7314"/>
    <w:rsid w:val="000A76FC"/>
    <w:rsid w:val="000A78F8"/>
    <w:rsid w:val="000A7E39"/>
    <w:rsid w:val="000B0174"/>
    <w:rsid w:val="000B06F3"/>
    <w:rsid w:val="000B1B7A"/>
    <w:rsid w:val="000B2AF3"/>
    <w:rsid w:val="000B2C59"/>
    <w:rsid w:val="000B363E"/>
    <w:rsid w:val="000B437A"/>
    <w:rsid w:val="000B5087"/>
    <w:rsid w:val="000B50B1"/>
    <w:rsid w:val="000B5F94"/>
    <w:rsid w:val="000B71CF"/>
    <w:rsid w:val="000B7618"/>
    <w:rsid w:val="000B7CEA"/>
    <w:rsid w:val="000C034C"/>
    <w:rsid w:val="000C3448"/>
    <w:rsid w:val="000C358F"/>
    <w:rsid w:val="000C498E"/>
    <w:rsid w:val="000C5629"/>
    <w:rsid w:val="000C5BF3"/>
    <w:rsid w:val="000D1FEF"/>
    <w:rsid w:val="000D20CC"/>
    <w:rsid w:val="000D22D5"/>
    <w:rsid w:val="000D2E2C"/>
    <w:rsid w:val="000D5D45"/>
    <w:rsid w:val="000D5E79"/>
    <w:rsid w:val="000E1995"/>
    <w:rsid w:val="000E26A4"/>
    <w:rsid w:val="000E26C7"/>
    <w:rsid w:val="000E2DA6"/>
    <w:rsid w:val="000E3E49"/>
    <w:rsid w:val="000E4CB2"/>
    <w:rsid w:val="000E4E09"/>
    <w:rsid w:val="000E541D"/>
    <w:rsid w:val="000E5EE9"/>
    <w:rsid w:val="000E68B1"/>
    <w:rsid w:val="000E73AF"/>
    <w:rsid w:val="000E7675"/>
    <w:rsid w:val="000E77F9"/>
    <w:rsid w:val="000F1C12"/>
    <w:rsid w:val="000F210D"/>
    <w:rsid w:val="000F31F5"/>
    <w:rsid w:val="000F329C"/>
    <w:rsid w:val="000F474D"/>
    <w:rsid w:val="000F6609"/>
    <w:rsid w:val="000F6C08"/>
    <w:rsid w:val="000F7277"/>
    <w:rsid w:val="001011D9"/>
    <w:rsid w:val="001021C8"/>
    <w:rsid w:val="00102AFD"/>
    <w:rsid w:val="00102EB8"/>
    <w:rsid w:val="001046D0"/>
    <w:rsid w:val="00105957"/>
    <w:rsid w:val="00106225"/>
    <w:rsid w:val="001074B9"/>
    <w:rsid w:val="00114F9C"/>
    <w:rsid w:val="0012040E"/>
    <w:rsid w:val="00120514"/>
    <w:rsid w:val="0012085D"/>
    <w:rsid w:val="001241F2"/>
    <w:rsid w:val="00124684"/>
    <w:rsid w:val="0012598B"/>
    <w:rsid w:val="00127BF8"/>
    <w:rsid w:val="0013492A"/>
    <w:rsid w:val="00134CA0"/>
    <w:rsid w:val="001358FC"/>
    <w:rsid w:val="00135B53"/>
    <w:rsid w:val="00137E9E"/>
    <w:rsid w:val="00140216"/>
    <w:rsid w:val="00143044"/>
    <w:rsid w:val="001438E4"/>
    <w:rsid w:val="0014598E"/>
    <w:rsid w:val="00147650"/>
    <w:rsid w:val="00147AF2"/>
    <w:rsid w:val="00150C7A"/>
    <w:rsid w:val="0015212A"/>
    <w:rsid w:val="00152DE0"/>
    <w:rsid w:val="00154FAC"/>
    <w:rsid w:val="00156680"/>
    <w:rsid w:val="00157F18"/>
    <w:rsid w:val="001630B6"/>
    <w:rsid w:val="00164A11"/>
    <w:rsid w:val="001655A7"/>
    <w:rsid w:val="00165FDC"/>
    <w:rsid w:val="00167657"/>
    <w:rsid w:val="0016788D"/>
    <w:rsid w:val="00167E6D"/>
    <w:rsid w:val="00170517"/>
    <w:rsid w:val="001706A4"/>
    <w:rsid w:val="00170A2D"/>
    <w:rsid w:val="00170F3E"/>
    <w:rsid w:val="00171E30"/>
    <w:rsid w:val="00172695"/>
    <w:rsid w:val="00175637"/>
    <w:rsid w:val="00175CF3"/>
    <w:rsid w:val="00176AD1"/>
    <w:rsid w:val="0018148A"/>
    <w:rsid w:val="00181D84"/>
    <w:rsid w:val="00181DEF"/>
    <w:rsid w:val="0018205B"/>
    <w:rsid w:val="0018229E"/>
    <w:rsid w:val="00185B70"/>
    <w:rsid w:val="00185E91"/>
    <w:rsid w:val="00186DF4"/>
    <w:rsid w:val="001902A5"/>
    <w:rsid w:val="00190684"/>
    <w:rsid w:val="0019069E"/>
    <w:rsid w:val="00190E28"/>
    <w:rsid w:val="00192DCD"/>
    <w:rsid w:val="0019453E"/>
    <w:rsid w:val="00195162"/>
    <w:rsid w:val="001951BA"/>
    <w:rsid w:val="0019708B"/>
    <w:rsid w:val="00197D63"/>
    <w:rsid w:val="001A186C"/>
    <w:rsid w:val="001A1A88"/>
    <w:rsid w:val="001A24ED"/>
    <w:rsid w:val="001A2566"/>
    <w:rsid w:val="001A3419"/>
    <w:rsid w:val="001A498F"/>
    <w:rsid w:val="001A4CE1"/>
    <w:rsid w:val="001A5F3B"/>
    <w:rsid w:val="001A5FF7"/>
    <w:rsid w:val="001A6480"/>
    <w:rsid w:val="001A6A2B"/>
    <w:rsid w:val="001A6F6B"/>
    <w:rsid w:val="001A733B"/>
    <w:rsid w:val="001A76CF"/>
    <w:rsid w:val="001A7A6B"/>
    <w:rsid w:val="001B15AB"/>
    <w:rsid w:val="001B286A"/>
    <w:rsid w:val="001B3B1F"/>
    <w:rsid w:val="001B422A"/>
    <w:rsid w:val="001B54E2"/>
    <w:rsid w:val="001B594B"/>
    <w:rsid w:val="001B6FE2"/>
    <w:rsid w:val="001B7EE7"/>
    <w:rsid w:val="001C14D1"/>
    <w:rsid w:val="001C151A"/>
    <w:rsid w:val="001C50CF"/>
    <w:rsid w:val="001C63E7"/>
    <w:rsid w:val="001D654E"/>
    <w:rsid w:val="001E01A0"/>
    <w:rsid w:val="001E25E8"/>
    <w:rsid w:val="001E3AC2"/>
    <w:rsid w:val="001E5260"/>
    <w:rsid w:val="001E5CC4"/>
    <w:rsid w:val="001E658D"/>
    <w:rsid w:val="001F1CDB"/>
    <w:rsid w:val="001F4D0F"/>
    <w:rsid w:val="001F5839"/>
    <w:rsid w:val="001F6001"/>
    <w:rsid w:val="001F6A1D"/>
    <w:rsid w:val="001F71FB"/>
    <w:rsid w:val="00200310"/>
    <w:rsid w:val="00200C0D"/>
    <w:rsid w:val="00201031"/>
    <w:rsid w:val="002015B1"/>
    <w:rsid w:val="00202756"/>
    <w:rsid w:val="00202F6B"/>
    <w:rsid w:val="00203340"/>
    <w:rsid w:val="0020379D"/>
    <w:rsid w:val="002044C2"/>
    <w:rsid w:val="00204926"/>
    <w:rsid w:val="00206B29"/>
    <w:rsid w:val="00210F82"/>
    <w:rsid w:val="002149FA"/>
    <w:rsid w:val="002166F9"/>
    <w:rsid w:val="00217304"/>
    <w:rsid w:val="0022025C"/>
    <w:rsid w:val="00221B05"/>
    <w:rsid w:val="002238F5"/>
    <w:rsid w:val="00223BA8"/>
    <w:rsid w:val="00231A0A"/>
    <w:rsid w:val="00231FC0"/>
    <w:rsid w:val="002341B0"/>
    <w:rsid w:val="002359AA"/>
    <w:rsid w:val="00236F85"/>
    <w:rsid w:val="00241095"/>
    <w:rsid w:val="00241A75"/>
    <w:rsid w:val="0024393E"/>
    <w:rsid w:val="00243B2A"/>
    <w:rsid w:val="00243D7F"/>
    <w:rsid w:val="002453D8"/>
    <w:rsid w:val="00247690"/>
    <w:rsid w:val="00247B07"/>
    <w:rsid w:val="002501AC"/>
    <w:rsid w:val="00250CB9"/>
    <w:rsid w:val="00251539"/>
    <w:rsid w:val="0025349D"/>
    <w:rsid w:val="00254D37"/>
    <w:rsid w:val="00256AD4"/>
    <w:rsid w:val="002601A7"/>
    <w:rsid w:val="002602F4"/>
    <w:rsid w:val="00261699"/>
    <w:rsid w:val="002626CF"/>
    <w:rsid w:val="00262A6E"/>
    <w:rsid w:val="00263E5F"/>
    <w:rsid w:val="00263E6B"/>
    <w:rsid w:val="00263FF2"/>
    <w:rsid w:val="0026441B"/>
    <w:rsid w:val="00265F4E"/>
    <w:rsid w:val="00270535"/>
    <w:rsid w:val="00271EE5"/>
    <w:rsid w:val="00271FD9"/>
    <w:rsid w:val="00272654"/>
    <w:rsid w:val="002732C5"/>
    <w:rsid w:val="0027466A"/>
    <w:rsid w:val="00274DC8"/>
    <w:rsid w:val="00275C4A"/>
    <w:rsid w:val="0027672C"/>
    <w:rsid w:val="00277448"/>
    <w:rsid w:val="002774A0"/>
    <w:rsid w:val="0027755F"/>
    <w:rsid w:val="002776AB"/>
    <w:rsid w:val="00277995"/>
    <w:rsid w:val="00277A83"/>
    <w:rsid w:val="00284DE3"/>
    <w:rsid w:val="00284E23"/>
    <w:rsid w:val="00285DD7"/>
    <w:rsid w:val="002872BC"/>
    <w:rsid w:val="002877B4"/>
    <w:rsid w:val="002903AA"/>
    <w:rsid w:val="00290B5E"/>
    <w:rsid w:val="00291621"/>
    <w:rsid w:val="002928A7"/>
    <w:rsid w:val="00292E65"/>
    <w:rsid w:val="00293976"/>
    <w:rsid w:val="0029548B"/>
    <w:rsid w:val="00295DF8"/>
    <w:rsid w:val="00297436"/>
    <w:rsid w:val="00297D9C"/>
    <w:rsid w:val="002A0146"/>
    <w:rsid w:val="002A0CAF"/>
    <w:rsid w:val="002A168C"/>
    <w:rsid w:val="002A25D0"/>
    <w:rsid w:val="002A2EA3"/>
    <w:rsid w:val="002A4731"/>
    <w:rsid w:val="002A5BB0"/>
    <w:rsid w:val="002A6004"/>
    <w:rsid w:val="002B1B2F"/>
    <w:rsid w:val="002B38AE"/>
    <w:rsid w:val="002B4755"/>
    <w:rsid w:val="002B53C6"/>
    <w:rsid w:val="002B66C2"/>
    <w:rsid w:val="002C05CB"/>
    <w:rsid w:val="002C09B5"/>
    <w:rsid w:val="002C0E23"/>
    <w:rsid w:val="002C1167"/>
    <w:rsid w:val="002C21EF"/>
    <w:rsid w:val="002C2BEC"/>
    <w:rsid w:val="002C3479"/>
    <w:rsid w:val="002C377A"/>
    <w:rsid w:val="002C37C9"/>
    <w:rsid w:val="002C47DE"/>
    <w:rsid w:val="002C527F"/>
    <w:rsid w:val="002C68D2"/>
    <w:rsid w:val="002C72CE"/>
    <w:rsid w:val="002D042A"/>
    <w:rsid w:val="002D2A62"/>
    <w:rsid w:val="002D2E88"/>
    <w:rsid w:val="002D4079"/>
    <w:rsid w:val="002D463F"/>
    <w:rsid w:val="002D53B6"/>
    <w:rsid w:val="002D7FFC"/>
    <w:rsid w:val="002E0349"/>
    <w:rsid w:val="002E0834"/>
    <w:rsid w:val="002E482E"/>
    <w:rsid w:val="002E49CF"/>
    <w:rsid w:val="002E4DCF"/>
    <w:rsid w:val="002E6EDD"/>
    <w:rsid w:val="002E7B26"/>
    <w:rsid w:val="002F23E0"/>
    <w:rsid w:val="002F3D2C"/>
    <w:rsid w:val="002F3F4E"/>
    <w:rsid w:val="002F509C"/>
    <w:rsid w:val="002F529D"/>
    <w:rsid w:val="00300800"/>
    <w:rsid w:val="00300830"/>
    <w:rsid w:val="00300C4F"/>
    <w:rsid w:val="003011E0"/>
    <w:rsid w:val="003013AF"/>
    <w:rsid w:val="00301D90"/>
    <w:rsid w:val="00301EA5"/>
    <w:rsid w:val="00302AD1"/>
    <w:rsid w:val="00302E93"/>
    <w:rsid w:val="0030311C"/>
    <w:rsid w:val="003034C8"/>
    <w:rsid w:val="00306358"/>
    <w:rsid w:val="00306CBC"/>
    <w:rsid w:val="0030782E"/>
    <w:rsid w:val="00307A16"/>
    <w:rsid w:val="00310B6D"/>
    <w:rsid w:val="0031200B"/>
    <w:rsid w:val="003123AD"/>
    <w:rsid w:val="00313C84"/>
    <w:rsid w:val="0031632B"/>
    <w:rsid w:val="00316C28"/>
    <w:rsid w:val="00321849"/>
    <w:rsid w:val="0032190D"/>
    <w:rsid w:val="00323A69"/>
    <w:rsid w:val="00324002"/>
    <w:rsid w:val="0032427E"/>
    <w:rsid w:val="003249F7"/>
    <w:rsid w:val="00325B0C"/>
    <w:rsid w:val="00331ABE"/>
    <w:rsid w:val="00332A4B"/>
    <w:rsid w:val="003345FE"/>
    <w:rsid w:val="00334AD4"/>
    <w:rsid w:val="00334DD0"/>
    <w:rsid w:val="00334EA9"/>
    <w:rsid w:val="003374D6"/>
    <w:rsid w:val="0033794B"/>
    <w:rsid w:val="00340AC2"/>
    <w:rsid w:val="003416AF"/>
    <w:rsid w:val="00342130"/>
    <w:rsid w:val="0034261D"/>
    <w:rsid w:val="003433E7"/>
    <w:rsid w:val="0034582F"/>
    <w:rsid w:val="003466CC"/>
    <w:rsid w:val="00346E8C"/>
    <w:rsid w:val="0034749A"/>
    <w:rsid w:val="0034765A"/>
    <w:rsid w:val="00351C6C"/>
    <w:rsid w:val="003520FC"/>
    <w:rsid w:val="003534A6"/>
    <w:rsid w:val="00354B3C"/>
    <w:rsid w:val="00354C14"/>
    <w:rsid w:val="00355431"/>
    <w:rsid w:val="003564EA"/>
    <w:rsid w:val="003600CB"/>
    <w:rsid w:val="00360DE5"/>
    <w:rsid w:val="00360F4A"/>
    <w:rsid w:val="00360F62"/>
    <w:rsid w:val="00361C88"/>
    <w:rsid w:val="003623E0"/>
    <w:rsid w:val="0036316D"/>
    <w:rsid w:val="00363885"/>
    <w:rsid w:val="00367438"/>
    <w:rsid w:val="003676A5"/>
    <w:rsid w:val="00367D0C"/>
    <w:rsid w:val="0037054B"/>
    <w:rsid w:val="00370760"/>
    <w:rsid w:val="003709D8"/>
    <w:rsid w:val="00372336"/>
    <w:rsid w:val="00374556"/>
    <w:rsid w:val="003750A7"/>
    <w:rsid w:val="00375581"/>
    <w:rsid w:val="003755B1"/>
    <w:rsid w:val="003757E6"/>
    <w:rsid w:val="00375FFC"/>
    <w:rsid w:val="003760D4"/>
    <w:rsid w:val="00376AF6"/>
    <w:rsid w:val="00377215"/>
    <w:rsid w:val="0037730F"/>
    <w:rsid w:val="00377917"/>
    <w:rsid w:val="00381F57"/>
    <w:rsid w:val="00382C6B"/>
    <w:rsid w:val="0038511D"/>
    <w:rsid w:val="00385A77"/>
    <w:rsid w:val="00391CC6"/>
    <w:rsid w:val="003928B6"/>
    <w:rsid w:val="0039329D"/>
    <w:rsid w:val="0039558A"/>
    <w:rsid w:val="003958E3"/>
    <w:rsid w:val="003A1345"/>
    <w:rsid w:val="003A147F"/>
    <w:rsid w:val="003A1745"/>
    <w:rsid w:val="003A4D0E"/>
    <w:rsid w:val="003A51DC"/>
    <w:rsid w:val="003A53CD"/>
    <w:rsid w:val="003A5BEB"/>
    <w:rsid w:val="003A71EA"/>
    <w:rsid w:val="003A7660"/>
    <w:rsid w:val="003B0910"/>
    <w:rsid w:val="003B107B"/>
    <w:rsid w:val="003B1603"/>
    <w:rsid w:val="003B1661"/>
    <w:rsid w:val="003B29C4"/>
    <w:rsid w:val="003B3EC6"/>
    <w:rsid w:val="003B4A10"/>
    <w:rsid w:val="003B4B17"/>
    <w:rsid w:val="003B532C"/>
    <w:rsid w:val="003B6656"/>
    <w:rsid w:val="003B6AD9"/>
    <w:rsid w:val="003B6DDD"/>
    <w:rsid w:val="003C0B00"/>
    <w:rsid w:val="003C17E7"/>
    <w:rsid w:val="003C2665"/>
    <w:rsid w:val="003C29FD"/>
    <w:rsid w:val="003C772F"/>
    <w:rsid w:val="003C7DEA"/>
    <w:rsid w:val="003D06D6"/>
    <w:rsid w:val="003D15B7"/>
    <w:rsid w:val="003D1B58"/>
    <w:rsid w:val="003D29D8"/>
    <w:rsid w:val="003D3431"/>
    <w:rsid w:val="003D4D71"/>
    <w:rsid w:val="003D5932"/>
    <w:rsid w:val="003D5EFF"/>
    <w:rsid w:val="003D64AC"/>
    <w:rsid w:val="003D6799"/>
    <w:rsid w:val="003E0411"/>
    <w:rsid w:val="003E0A5E"/>
    <w:rsid w:val="003E13E8"/>
    <w:rsid w:val="003E2A68"/>
    <w:rsid w:val="003E2BAE"/>
    <w:rsid w:val="003E4707"/>
    <w:rsid w:val="003E5346"/>
    <w:rsid w:val="003E5DDD"/>
    <w:rsid w:val="003E6452"/>
    <w:rsid w:val="003E66F1"/>
    <w:rsid w:val="003F070B"/>
    <w:rsid w:val="003F07B4"/>
    <w:rsid w:val="003F2E90"/>
    <w:rsid w:val="003F439A"/>
    <w:rsid w:val="003F4E0C"/>
    <w:rsid w:val="003F580B"/>
    <w:rsid w:val="003F5F0C"/>
    <w:rsid w:val="003F60C8"/>
    <w:rsid w:val="003F60D0"/>
    <w:rsid w:val="003F6E23"/>
    <w:rsid w:val="003F792E"/>
    <w:rsid w:val="003F7E1B"/>
    <w:rsid w:val="004010F8"/>
    <w:rsid w:val="0040310F"/>
    <w:rsid w:val="00403B3D"/>
    <w:rsid w:val="0040663F"/>
    <w:rsid w:val="00407A5B"/>
    <w:rsid w:val="00410B1C"/>
    <w:rsid w:val="00412054"/>
    <w:rsid w:val="00414722"/>
    <w:rsid w:val="00417EEB"/>
    <w:rsid w:val="00420C15"/>
    <w:rsid w:val="00421D28"/>
    <w:rsid w:val="00425692"/>
    <w:rsid w:val="00430606"/>
    <w:rsid w:val="00431A74"/>
    <w:rsid w:val="004336BE"/>
    <w:rsid w:val="004345B2"/>
    <w:rsid w:val="00434B85"/>
    <w:rsid w:val="00440711"/>
    <w:rsid w:val="00441DAE"/>
    <w:rsid w:val="0044261D"/>
    <w:rsid w:val="00442A17"/>
    <w:rsid w:val="0044331A"/>
    <w:rsid w:val="0044371C"/>
    <w:rsid w:val="0044407E"/>
    <w:rsid w:val="00445886"/>
    <w:rsid w:val="00445DDE"/>
    <w:rsid w:val="00446D0F"/>
    <w:rsid w:val="00446DC6"/>
    <w:rsid w:val="00450483"/>
    <w:rsid w:val="004505E2"/>
    <w:rsid w:val="00450B29"/>
    <w:rsid w:val="00450BAD"/>
    <w:rsid w:val="0045211C"/>
    <w:rsid w:val="0045338E"/>
    <w:rsid w:val="00453707"/>
    <w:rsid w:val="004540AD"/>
    <w:rsid w:val="004547FC"/>
    <w:rsid w:val="00455075"/>
    <w:rsid w:val="004551D8"/>
    <w:rsid w:val="00455342"/>
    <w:rsid w:val="0045602D"/>
    <w:rsid w:val="00456047"/>
    <w:rsid w:val="0045613B"/>
    <w:rsid w:val="00456AEE"/>
    <w:rsid w:val="00456D1F"/>
    <w:rsid w:val="004571CF"/>
    <w:rsid w:val="004576F9"/>
    <w:rsid w:val="00457F0F"/>
    <w:rsid w:val="004602CD"/>
    <w:rsid w:val="004620EB"/>
    <w:rsid w:val="00462BF9"/>
    <w:rsid w:val="004634D3"/>
    <w:rsid w:val="0046449B"/>
    <w:rsid w:val="00464E6A"/>
    <w:rsid w:val="004666DC"/>
    <w:rsid w:val="00467382"/>
    <w:rsid w:val="00467492"/>
    <w:rsid w:val="00471743"/>
    <w:rsid w:val="0047178C"/>
    <w:rsid w:val="00472829"/>
    <w:rsid w:val="00472892"/>
    <w:rsid w:val="004744D8"/>
    <w:rsid w:val="00474985"/>
    <w:rsid w:val="00474A6C"/>
    <w:rsid w:val="00474C59"/>
    <w:rsid w:val="004752B7"/>
    <w:rsid w:val="004755DE"/>
    <w:rsid w:val="00476B06"/>
    <w:rsid w:val="00477272"/>
    <w:rsid w:val="0047738F"/>
    <w:rsid w:val="00477CC3"/>
    <w:rsid w:val="00480AE0"/>
    <w:rsid w:val="00481FC9"/>
    <w:rsid w:val="0048249E"/>
    <w:rsid w:val="00482776"/>
    <w:rsid w:val="004837A9"/>
    <w:rsid w:val="0048380D"/>
    <w:rsid w:val="00484D42"/>
    <w:rsid w:val="00487562"/>
    <w:rsid w:val="004901A8"/>
    <w:rsid w:val="0049159B"/>
    <w:rsid w:val="0049402A"/>
    <w:rsid w:val="00495925"/>
    <w:rsid w:val="00496F3B"/>
    <w:rsid w:val="004A0D24"/>
    <w:rsid w:val="004A143F"/>
    <w:rsid w:val="004A204C"/>
    <w:rsid w:val="004A3639"/>
    <w:rsid w:val="004A3923"/>
    <w:rsid w:val="004A3ED3"/>
    <w:rsid w:val="004A4359"/>
    <w:rsid w:val="004A535C"/>
    <w:rsid w:val="004A70E4"/>
    <w:rsid w:val="004A7C48"/>
    <w:rsid w:val="004B2109"/>
    <w:rsid w:val="004B300B"/>
    <w:rsid w:val="004B30BF"/>
    <w:rsid w:val="004B33BE"/>
    <w:rsid w:val="004B389D"/>
    <w:rsid w:val="004B6FD7"/>
    <w:rsid w:val="004B7013"/>
    <w:rsid w:val="004C28F0"/>
    <w:rsid w:val="004C33D3"/>
    <w:rsid w:val="004C49D9"/>
    <w:rsid w:val="004C4A33"/>
    <w:rsid w:val="004C4E29"/>
    <w:rsid w:val="004C516E"/>
    <w:rsid w:val="004C5391"/>
    <w:rsid w:val="004C5CBF"/>
    <w:rsid w:val="004C63C7"/>
    <w:rsid w:val="004C6ECB"/>
    <w:rsid w:val="004C7770"/>
    <w:rsid w:val="004C7E8B"/>
    <w:rsid w:val="004D364F"/>
    <w:rsid w:val="004D38AA"/>
    <w:rsid w:val="004D3F18"/>
    <w:rsid w:val="004D459B"/>
    <w:rsid w:val="004D4A82"/>
    <w:rsid w:val="004D6630"/>
    <w:rsid w:val="004D6DB4"/>
    <w:rsid w:val="004D7A54"/>
    <w:rsid w:val="004E005B"/>
    <w:rsid w:val="004E2B18"/>
    <w:rsid w:val="004E2DFD"/>
    <w:rsid w:val="004E6373"/>
    <w:rsid w:val="004E700D"/>
    <w:rsid w:val="004E7345"/>
    <w:rsid w:val="004E7679"/>
    <w:rsid w:val="004F067D"/>
    <w:rsid w:val="004F0CF7"/>
    <w:rsid w:val="004F0F29"/>
    <w:rsid w:val="004F2C5C"/>
    <w:rsid w:val="004F476E"/>
    <w:rsid w:val="004F54C1"/>
    <w:rsid w:val="004F657C"/>
    <w:rsid w:val="004F657F"/>
    <w:rsid w:val="004F6608"/>
    <w:rsid w:val="00501A1F"/>
    <w:rsid w:val="005024AB"/>
    <w:rsid w:val="00503F49"/>
    <w:rsid w:val="00504091"/>
    <w:rsid w:val="00504A74"/>
    <w:rsid w:val="00504F2D"/>
    <w:rsid w:val="005054A4"/>
    <w:rsid w:val="005061C6"/>
    <w:rsid w:val="005069E2"/>
    <w:rsid w:val="00506A2A"/>
    <w:rsid w:val="00506F2E"/>
    <w:rsid w:val="0050786D"/>
    <w:rsid w:val="00507FE5"/>
    <w:rsid w:val="005105EC"/>
    <w:rsid w:val="00510CA5"/>
    <w:rsid w:val="00513229"/>
    <w:rsid w:val="005133A8"/>
    <w:rsid w:val="005145A4"/>
    <w:rsid w:val="00514C73"/>
    <w:rsid w:val="005158A2"/>
    <w:rsid w:val="00515B25"/>
    <w:rsid w:val="00515C10"/>
    <w:rsid w:val="00515E1C"/>
    <w:rsid w:val="00516782"/>
    <w:rsid w:val="005202A3"/>
    <w:rsid w:val="0052068F"/>
    <w:rsid w:val="005210AE"/>
    <w:rsid w:val="00521160"/>
    <w:rsid w:val="00521450"/>
    <w:rsid w:val="00521563"/>
    <w:rsid w:val="00521759"/>
    <w:rsid w:val="0052204B"/>
    <w:rsid w:val="005242F1"/>
    <w:rsid w:val="00524A1B"/>
    <w:rsid w:val="00525273"/>
    <w:rsid w:val="0052570C"/>
    <w:rsid w:val="0052606C"/>
    <w:rsid w:val="00526667"/>
    <w:rsid w:val="00526715"/>
    <w:rsid w:val="00526CCA"/>
    <w:rsid w:val="005272E2"/>
    <w:rsid w:val="0052743B"/>
    <w:rsid w:val="00532098"/>
    <w:rsid w:val="0053308B"/>
    <w:rsid w:val="00534EB1"/>
    <w:rsid w:val="00535EB4"/>
    <w:rsid w:val="005402A6"/>
    <w:rsid w:val="00540628"/>
    <w:rsid w:val="00540E61"/>
    <w:rsid w:val="00541001"/>
    <w:rsid w:val="005421A9"/>
    <w:rsid w:val="00543128"/>
    <w:rsid w:val="00543998"/>
    <w:rsid w:val="00544CC1"/>
    <w:rsid w:val="005455AD"/>
    <w:rsid w:val="00546041"/>
    <w:rsid w:val="005465E2"/>
    <w:rsid w:val="00547634"/>
    <w:rsid w:val="00550432"/>
    <w:rsid w:val="00550CEC"/>
    <w:rsid w:val="00551797"/>
    <w:rsid w:val="00553135"/>
    <w:rsid w:val="00553E3A"/>
    <w:rsid w:val="005543AA"/>
    <w:rsid w:val="005547EE"/>
    <w:rsid w:val="00555FCD"/>
    <w:rsid w:val="00557E38"/>
    <w:rsid w:val="00561190"/>
    <w:rsid w:val="00561641"/>
    <w:rsid w:val="005631A0"/>
    <w:rsid w:val="00564D49"/>
    <w:rsid w:val="0056596B"/>
    <w:rsid w:val="0056707B"/>
    <w:rsid w:val="00570026"/>
    <w:rsid w:val="00571C28"/>
    <w:rsid w:val="00571D18"/>
    <w:rsid w:val="005738F5"/>
    <w:rsid w:val="00573CBE"/>
    <w:rsid w:val="005800EA"/>
    <w:rsid w:val="00580229"/>
    <w:rsid w:val="00580CC7"/>
    <w:rsid w:val="00584107"/>
    <w:rsid w:val="00587019"/>
    <w:rsid w:val="0058752C"/>
    <w:rsid w:val="00590733"/>
    <w:rsid w:val="00590CDE"/>
    <w:rsid w:val="00592360"/>
    <w:rsid w:val="0059247B"/>
    <w:rsid w:val="00593D65"/>
    <w:rsid w:val="005946A0"/>
    <w:rsid w:val="00595051"/>
    <w:rsid w:val="0059609B"/>
    <w:rsid w:val="0059724B"/>
    <w:rsid w:val="00597BA3"/>
    <w:rsid w:val="005A0438"/>
    <w:rsid w:val="005A0550"/>
    <w:rsid w:val="005A12E3"/>
    <w:rsid w:val="005A1351"/>
    <w:rsid w:val="005A13C7"/>
    <w:rsid w:val="005A18F2"/>
    <w:rsid w:val="005A2287"/>
    <w:rsid w:val="005A2B51"/>
    <w:rsid w:val="005A4D5C"/>
    <w:rsid w:val="005A5663"/>
    <w:rsid w:val="005A567E"/>
    <w:rsid w:val="005B193D"/>
    <w:rsid w:val="005B1A4B"/>
    <w:rsid w:val="005B1FA6"/>
    <w:rsid w:val="005B59E5"/>
    <w:rsid w:val="005B6B46"/>
    <w:rsid w:val="005B7715"/>
    <w:rsid w:val="005C09DD"/>
    <w:rsid w:val="005C1A7D"/>
    <w:rsid w:val="005C360B"/>
    <w:rsid w:val="005C3ADF"/>
    <w:rsid w:val="005C5D3D"/>
    <w:rsid w:val="005C5D44"/>
    <w:rsid w:val="005D04F1"/>
    <w:rsid w:val="005D0BE9"/>
    <w:rsid w:val="005D2909"/>
    <w:rsid w:val="005D2C64"/>
    <w:rsid w:val="005D32F0"/>
    <w:rsid w:val="005D36D7"/>
    <w:rsid w:val="005D4EEC"/>
    <w:rsid w:val="005D50D9"/>
    <w:rsid w:val="005D5508"/>
    <w:rsid w:val="005D5C6F"/>
    <w:rsid w:val="005D75CA"/>
    <w:rsid w:val="005E210E"/>
    <w:rsid w:val="005E3A6A"/>
    <w:rsid w:val="005E4039"/>
    <w:rsid w:val="005E741F"/>
    <w:rsid w:val="005F076D"/>
    <w:rsid w:val="005F27D4"/>
    <w:rsid w:val="005F3476"/>
    <w:rsid w:val="005F3EA9"/>
    <w:rsid w:val="005F405C"/>
    <w:rsid w:val="005F4240"/>
    <w:rsid w:val="005F45F6"/>
    <w:rsid w:val="005F5F80"/>
    <w:rsid w:val="005F779C"/>
    <w:rsid w:val="006032C1"/>
    <w:rsid w:val="0060355C"/>
    <w:rsid w:val="006044D6"/>
    <w:rsid w:val="00607CB7"/>
    <w:rsid w:val="0061040D"/>
    <w:rsid w:val="00610CCB"/>
    <w:rsid w:val="006121CE"/>
    <w:rsid w:val="006122C2"/>
    <w:rsid w:val="00612E85"/>
    <w:rsid w:val="00612F92"/>
    <w:rsid w:val="006146EB"/>
    <w:rsid w:val="0061523D"/>
    <w:rsid w:val="00615DD5"/>
    <w:rsid w:val="0062161E"/>
    <w:rsid w:val="006217F2"/>
    <w:rsid w:val="00622F06"/>
    <w:rsid w:val="00623808"/>
    <w:rsid w:val="00623929"/>
    <w:rsid w:val="00625A9A"/>
    <w:rsid w:val="0062700F"/>
    <w:rsid w:val="00627CB4"/>
    <w:rsid w:val="00627D3A"/>
    <w:rsid w:val="00630257"/>
    <w:rsid w:val="00630FC5"/>
    <w:rsid w:val="006314BF"/>
    <w:rsid w:val="006323D9"/>
    <w:rsid w:val="0063495D"/>
    <w:rsid w:val="006353F7"/>
    <w:rsid w:val="00642C84"/>
    <w:rsid w:val="00643417"/>
    <w:rsid w:val="006444F5"/>
    <w:rsid w:val="006447FA"/>
    <w:rsid w:val="006459F2"/>
    <w:rsid w:val="00645C63"/>
    <w:rsid w:val="00646C95"/>
    <w:rsid w:val="006473C8"/>
    <w:rsid w:val="0065070D"/>
    <w:rsid w:val="00650845"/>
    <w:rsid w:val="006521F2"/>
    <w:rsid w:val="006525DE"/>
    <w:rsid w:val="0065428D"/>
    <w:rsid w:val="0065485F"/>
    <w:rsid w:val="0065494A"/>
    <w:rsid w:val="00655DCE"/>
    <w:rsid w:val="00660A83"/>
    <w:rsid w:val="00661EC1"/>
    <w:rsid w:val="006622D1"/>
    <w:rsid w:val="006643C7"/>
    <w:rsid w:val="00664C25"/>
    <w:rsid w:val="006664E7"/>
    <w:rsid w:val="00667F8E"/>
    <w:rsid w:val="0067219E"/>
    <w:rsid w:val="00672904"/>
    <w:rsid w:val="00673C15"/>
    <w:rsid w:val="00673F6E"/>
    <w:rsid w:val="00673F8F"/>
    <w:rsid w:val="00676160"/>
    <w:rsid w:val="00676303"/>
    <w:rsid w:val="00676B1C"/>
    <w:rsid w:val="00676B3F"/>
    <w:rsid w:val="00682AC6"/>
    <w:rsid w:val="006838A7"/>
    <w:rsid w:val="0068426B"/>
    <w:rsid w:val="00684671"/>
    <w:rsid w:val="00684CB3"/>
    <w:rsid w:val="006911B9"/>
    <w:rsid w:val="00691EE2"/>
    <w:rsid w:val="00692B1D"/>
    <w:rsid w:val="00692EA4"/>
    <w:rsid w:val="00692FEA"/>
    <w:rsid w:val="00693139"/>
    <w:rsid w:val="006945BD"/>
    <w:rsid w:val="00695339"/>
    <w:rsid w:val="00696AAC"/>
    <w:rsid w:val="006A01A6"/>
    <w:rsid w:val="006A2085"/>
    <w:rsid w:val="006A4116"/>
    <w:rsid w:val="006A46FB"/>
    <w:rsid w:val="006A58D6"/>
    <w:rsid w:val="006B0D11"/>
    <w:rsid w:val="006B0FF1"/>
    <w:rsid w:val="006B1E87"/>
    <w:rsid w:val="006B3971"/>
    <w:rsid w:val="006B4F00"/>
    <w:rsid w:val="006B57E6"/>
    <w:rsid w:val="006B5858"/>
    <w:rsid w:val="006C12EA"/>
    <w:rsid w:val="006C271B"/>
    <w:rsid w:val="006C2BE5"/>
    <w:rsid w:val="006C2E06"/>
    <w:rsid w:val="006C4046"/>
    <w:rsid w:val="006C5978"/>
    <w:rsid w:val="006C5D4B"/>
    <w:rsid w:val="006D0C8E"/>
    <w:rsid w:val="006D1E28"/>
    <w:rsid w:val="006D23CF"/>
    <w:rsid w:val="006D261D"/>
    <w:rsid w:val="006D2A9D"/>
    <w:rsid w:val="006D30BC"/>
    <w:rsid w:val="006D3E36"/>
    <w:rsid w:val="006D4579"/>
    <w:rsid w:val="006D595A"/>
    <w:rsid w:val="006D5C2E"/>
    <w:rsid w:val="006D7270"/>
    <w:rsid w:val="006D75E2"/>
    <w:rsid w:val="006E2C47"/>
    <w:rsid w:val="006E61DA"/>
    <w:rsid w:val="006E6783"/>
    <w:rsid w:val="006E6880"/>
    <w:rsid w:val="006F0542"/>
    <w:rsid w:val="006F1BF6"/>
    <w:rsid w:val="006F25E2"/>
    <w:rsid w:val="006F43DF"/>
    <w:rsid w:val="006F447B"/>
    <w:rsid w:val="006F467F"/>
    <w:rsid w:val="00700604"/>
    <w:rsid w:val="0070171A"/>
    <w:rsid w:val="0070226D"/>
    <w:rsid w:val="00702EFA"/>
    <w:rsid w:val="007039B1"/>
    <w:rsid w:val="007043A0"/>
    <w:rsid w:val="007053B2"/>
    <w:rsid w:val="00706E01"/>
    <w:rsid w:val="00707B0C"/>
    <w:rsid w:val="00710751"/>
    <w:rsid w:val="00711742"/>
    <w:rsid w:val="00711B0D"/>
    <w:rsid w:val="00711F8F"/>
    <w:rsid w:val="007128C5"/>
    <w:rsid w:val="00713958"/>
    <w:rsid w:val="00717513"/>
    <w:rsid w:val="0071756F"/>
    <w:rsid w:val="007205CD"/>
    <w:rsid w:val="007224BF"/>
    <w:rsid w:val="00723EC1"/>
    <w:rsid w:val="00724122"/>
    <w:rsid w:val="007241F5"/>
    <w:rsid w:val="00727416"/>
    <w:rsid w:val="007274A1"/>
    <w:rsid w:val="007276EB"/>
    <w:rsid w:val="007302F4"/>
    <w:rsid w:val="007304C3"/>
    <w:rsid w:val="00730944"/>
    <w:rsid w:val="00733209"/>
    <w:rsid w:val="007332A0"/>
    <w:rsid w:val="0073439E"/>
    <w:rsid w:val="00734BA1"/>
    <w:rsid w:val="0073580B"/>
    <w:rsid w:val="00735FCE"/>
    <w:rsid w:val="00736C59"/>
    <w:rsid w:val="00737505"/>
    <w:rsid w:val="00741B27"/>
    <w:rsid w:val="00743E15"/>
    <w:rsid w:val="00744B87"/>
    <w:rsid w:val="0074635E"/>
    <w:rsid w:val="007468FF"/>
    <w:rsid w:val="00746D4A"/>
    <w:rsid w:val="00752660"/>
    <w:rsid w:val="0075307D"/>
    <w:rsid w:val="0075414D"/>
    <w:rsid w:val="00754BBE"/>
    <w:rsid w:val="00754CAF"/>
    <w:rsid w:val="00755863"/>
    <w:rsid w:val="00756D80"/>
    <w:rsid w:val="00761C0A"/>
    <w:rsid w:val="0076201B"/>
    <w:rsid w:val="00762677"/>
    <w:rsid w:val="00762B8F"/>
    <w:rsid w:val="00764490"/>
    <w:rsid w:val="00764C9C"/>
    <w:rsid w:val="007664C9"/>
    <w:rsid w:val="00766C31"/>
    <w:rsid w:val="00770C5C"/>
    <w:rsid w:val="00771A2E"/>
    <w:rsid w:val="0077218A"/>
    <w:rsid w:val="00772253"/>
    <w:rsid w:val="00772A14"/>
    <w:rsid w:val="00772E4E"/>
    <w:rsid w:val="00773609"/>
    <w:rsid w:val="00774A68"/>
    <w:rsid w:val="007755E0"/>
    <w:rsid w:val="00775DA0"/>
    <w:rsid w:val="00775EF7"/>
    <w:rsid w:val="0077604E"/>
    <w:rsid w:val="00776104"/>
    <w:rsid w:val="007766AF"/>
    <w:rsid w:val="00776A43"/>
    <w:rsid w:val="00780150"/>
    <w:rsid w:val="00780368"/>
    <w:rsid w:val="00783131"/>
    <w:rsid w:val="007831EF"/>
    <w:rsid w:val="00783851"/>
    <w:rsid w:val="007847DD"/>
    <w:rsid w:val="00785261"/>
    <w:rsid w:val="007852BA"/>
    <w:rsid w:val="00786DA3"/>
    <w:rsid w:val="00790029"/>
    <w:rsid w:val="007923C3"/>
    <w:rsid w:val="007926B1"/>
    <w:rsid w:val="007927F6"/>
    <w:rsid w:val="00792C81"/>
    <w:rsid w:val="0079315B"/>
    <w:rsid w:val="00793986"/>
    <w:rsid w:val="00793AB1"/>
    <w:rsid w:val="007948C2"/>
    <w:rsid w:val="00795588"/>
    <w:rsid w:val="00797FA6"/>
    <w:rsid w:val="007A1090"/>
    <w:rsid w:val="007A3A18"/>
    <w:rsid w:val="007A407C"/>
    <w:rsid w:val="007A4099"/>
    <w:rsid w:val="007A4182"/>
    <w:rsid w:val="007A5E06"/>
    <w:rsid w:val="007A61F5"/>
    <w:rsid w:val="007A6C0B"/>
    <w:rsid w:val="007A76A3"/>
    <w:rsid w:val="007A7897"/>
    <w:rsid w:val="007A7C88"/>
    <w:rsid w:val="007A7E2B"/>
    <w:rsid w:val="007B0CF1"/>
    <w:rsid w:val="007B0E63"/>
    <w:rsid w:val="007B2253"/>
    <w:rsid w:val="007B30B4"/>
    <w:rsid w:val="007B3891"/>
    <w:rsid w:val="007B4A28"/>
    <w:rsid w:val="007B4CD3"/>
    <w:rsid w:val="007B4F53"/>
    <w:rsid w:val="007B57E0"/>
    <w:rsid w:val="007B7C85"/>
    <w:rsid w:val="007C0420"/>
    <w:rsid w:val="007C127E"/>
    <w:rsid w:val="007C1469"/>
    <w:rsid w:val="007C17B4"/>
    <w:rsid w:val="007C1DB2"/>
    <w:rsid w:val="007C2086"/>
    <w:rsid w:val="007C20AF"/>
    <w:rsid w:val="007C4411"/>
    <w:rsid w:val="007C5B9E"/>
    <w:rsid w:val="007C6688"/>
    <w:rsid w:val="007C719E"/>
    <w:rsid w:val="007C7C45"/>
    <w:rsid w:val="007D05C4"/>
    <w:rsid w:val="007D1B74"/>
    <w:rsid w:val="007D2123"/>
    <w:rsid w:val="007D4D10"/>
    <w:rsid w:val="007E0D76"/>
    <w:rsid w:val="007E106D"/>
    <w:rsid w:val="007E2A5B"/>
    <w:rsid w:val="007E2DC6"/>
    <w:rsid w:val="007E5904"/>
    <w:rsid w:val="007E5AA5"/>
    <w:rsid w:val="007E60C6"/>
    <w:rsid w:val="007E6925"/>
    <w:rsid w:val="007F1391"/>
    <w:rsid w:val="007F18FB"/>
    <w:rsid w:val="007F1CF4"/>
    <w:rsid w:val="007F1FEB"/>
    <w:rsid w:val="007F31F2"/>
    <w:rsid w:val="007F341F"/>
    <w:rsid w:val="007F37AD"/>
    <w:rsid w:val="007F4511"/>
    <w:rsid w:val="007F4909"/>
    <w:rsid w:val="007F6D1D"/>
    <w:rsid w:val="007F708B"/>
    <w:rsid w:val="007F717E"/>
    <w:rsid w:val="00800E72"/>
    <w:rsid w:val="00801A32"/>
    <w:rsid w:val="008022BC"/>
    <w:rsid w:val="0080651A"/>
    <w:rsid w:val="00807507"/>
    <w:rsid w:val="00807B51"/>
    <w:rsid w:val="00807C98"/>
    <w:rsid w:val="00807F19"/>
    <w:rsid w:val="00810131"/>
    <w:rsid w:val="008105EA"/>
    <w:rsid w:val="008107DC"/>
    <w:rsid w:val="00811939"/>
    <w:rsid w:val="00812A0A"/>
    <w:rsid w:val="00813DDE"/>
    <w:rsid w:val="00815A76"/>
    <w:rsid w:val="00815D7B"/>
    <w:rsid w:val="00815F4B"/>
    <w:rsid w:val="00816E9C"/>
    <w:rsid w:val="008175C4"/>
    <w:rsid w:val="00817BEF"/>
    <w:rsid w:val="00817CA7"/>
    <w:rsid w:val="0082063C"/>
    <w:rsid w:val="00820C91"/>
    <w:rsid w:val="008222BE"/>
    <w:rsid w:val="008225CB"/>
    <w:rsid w:val="00822856"/>
    <w:rsid w:val="00827493"/>
    <w:rsid w:val="00827E44"/>
    <w:rsid w:val="0083017A"/>
    <w:rsid w:val="00831484"/>
    <w:rsid w:val="00831906"/>
    <w:rsid w:val="008333C4"/>
    <w:rsid w:val="008361EB"/>
    <w:rsid w:val="008362E5"/>
    <w:rsid w:val="00836665"/>
    <w:rsid w:val="00836818"/>
    <w:rsid w:val="0084038F"/>
    <w:rsid w:val="008403E7"/>
    <w:rsid w:val="00842232"/>
    <w:rsid w:val="00843741"/>
    <w:rsid w:val="0084409C"/>
    <w:rsid w:val="008440F5"/>
    <w:rsid w:val="00844118"/>
    <w:rsid w:val="0084561B"/>
    <w:rsid w:val="008464EB"/>
    <w:rsid w:val="00847B52"/>
    <w:rsid w:val="0085188C"/>
    <w:rsid w:val="00853469"/>
    <w:rsid w:val="00854317"/>
    <w:rsid w:val="00855654"/>
    <w:rsid w:val="008569C1"/>
    <w:rsid w:val="00856E04"/>
    <w:rsid w:val="008579B7"/>
    <w:rsid w:val="00861203"/>
    <w:rsid w:val="008629B6"/>
    <w:rsid w:val="00862A60"/>
    <w:rsid w:val="00863BAD"/>
    <w:rsid w:val="008644CA"/>
    <w:rsid w:val="00864CAC"/>
    <w:rsid w:val="0086591B"/>
    <w:rsid w:val="00866560"/>
    <w:rsid w:val="00866C48"/>
    <w:rsid w:val="00866E7F"/>
    <w:rsid w:val="00866F52"/>
    <w:rsid w:val="008670F4"/>
    <w:rsid w:val="00867E6A"/>
    <w:rsid w:val="0087045C"/>
    <w:rsid w:val="00872015"/>
    <w:rsid w:val="00872656"/>
    <w:rsid w:val="00872C46"/>
    <w:rsid w:val="00873763"/>
    <w:rsid w:val="00875CD9"/>
    <w:rsid w:val="00876A80"/>
    <w:rsid w:val="00880B26"/>
    <w:rsid w:val="008818BF"/>
    <w:rsid w:val="00881D01"/>
    <w:rsid w:val="00882D19"/>
    <w:rsid w:val="008830B3"/>
    <w:rsid w:val="00883316"/>
    <w:rsid w:val="0088586D"/>
    <w:rsid w:val="00886731"/>
    <w:rsid w:val="00887234"/>
    <w:rsid w:val="008876C2"/>
    <w:rsid w:val="008876E6"/>
    <w:rsid w:val="008911DA"/>
    <w:rsid w:val="00891E55"/>
    <w:rsid w:val="00892701"/>
    <w:rsid w:val="00893CB9"/>
    <w:rsid w:val="00894218"/>
    <w:rsid w:val="0089424F"/>
    <w:rsid w:val="00895BD8"/>
    <w:rsid w:val="00896209"/>
    <w:rsid w:val="008973FA"/>
    <w:rsid w:val="00897E5C"/>
    <w:rsid w:val="008A0C68"/>
    <w:rsid w:val="008A1160"/>
    <w:rsid w:val="008A1C51"/>
    <w:rsid w:val="008A2205"/>
    <w:rsid w:val="008A2E95"/>
    <w:rsid w:val="008A40FB"/>
    <w:rsid w:val="008A4DB0"/>
    <w:rsid w:val="008A528E"/>
    <w:rsid w:val="008A597D"/>
    <w:rsid w:val="008A618B"/>
    <w:rsid w:val="008A65D0"/>
    <w:rsid w:val="008A7D62"/>
    <w:rsid w:val="008A7EFF"/>
    <w:rsid w:val="008A7F71"/>
    <w:rsid w:val="008B029F"/>
    <w:rsid w:val="008B4A9C"/>
    <w:rsid w:val="008B537E"/>
    <w:rsid w:val="008B7AB5"/>
    <w:rsid w:val="008B7F3B"/>
    <w:rsid w:val="008C00F7"/>
    <w:rsid w:val="008C072E"/>
    <w:rsid w:val="008C0A67"/>
    <w:rsid w:val="008C0CD6"/>
    <w:rsid w:val="008C1004"/>
    <w:rsid w:val="008C1DCB"/>
    <w:rsid w:val="008C2B90"/>
    <w:rsid w:val="008C45B1"/>
    <w:rsid w:val="008C47CA"/>
    <w:rsid w:val="008C48A6"/>
    <w:rsid w:val="008C7EF5"/>
    <w:rsid w:val="008D047A"/>
    <w:rsid w:val="008D05C3"/>
    <w:rsid w:val="008D1E79"/>
    <w:rsid w:val="008D2EE7"/>
    <w:rsid w:val="008D357D"/>
    <w:rsid w:val="008D37D8"/>
    <w:rsid w:val="008D4161"/>
    <w:rsid w:val="008D438E"/>
    <w:rsid w:val="008D44C5"/>
    <w:rsid w:val="008D51AC"/>
    <w:rsid w:val="008D6F51"/>
    <w:rsid w:val="008E10BF"/>
    <w:rsid w:val="008E27F6"/>
    <w:rsid w:val="008E30A0"/>
    <w:rsid w:val="008E5361"/>
    <w:rsid w:val="008E565F"/>
    <w:rsid w:val="008E5E40"/>
    <w:rsid w:val="008E62FC"/>
    <w:rsid w:val="008E7086"/>
    <w:rsid w:val="008E7711"/>
    <w:rsid w:val="008F16B8"/>
    <w:rsid w:val="008F1FE0"/>
    <w:rsid w:val="008F295E"/>
    <w:rsid w:val="008F3046"/>
    <w:rsid w:val="008F3889"/>
    <w:rsid w:val="008F4046"/>
    <w:rsid w:val="008F4F65"/>
    <w:rsid w:val="009000A4"/>
    <w:rsid w:val="0090092D"/>
    <w:rsid w:val="00900DA7"/>
    <w:rsid w:val="00901BD2"/>
    <w:rsid w:val="009021B5"/>
    <w:rsid w:val="00903FE9"/>
    <w:rsid w:val="009040D0"/>
    <w:rsid w:val="00904349"/>
    <w:rsid w:val="00904B9B"/>
    <w:rsid w:val="00904DE6"/>
    <w:rsid w:val="00905692"/>
    <w:rsid w:val="009057BE"/>
    <w:rsid w:val="00906A89"/>
    <w:rsid w:val="00906C54"/>
    <w:rsid w:val="00906C90"/>
    <w:rsid w:val="00906D23"/>
    <w:rsid w:val="009078CC"/>
    <w:rsid w:val="009105C8"/>
    <w:rsid w:val="00910BE0"/>
    <w:rsid w:val="00911B5C"/>
    <w:rsid w:val="009121D8"/>
    <w:rsid w:val="00913960"/>
    <w:rsid w:val="00914578"/>
    <w:rsid w:val="00915889"/>
    <w:rsid w:val="00917E6E"/>
    <w:rsid w:val="00921928"/>
    <w:rsid w:val="00922FCA"/>
    <w:rsid w:val="0092372B"/>
    <w:rsid w:val="00925220"/>
    <w:rsid w:val="009270B1"/>
    <w:rsid w:val="009276B4"/>
    <w:rsid w:val="00931B0D"/>
    <w:rsid w:val="00933B8A"/>
    <w:rsid w:val="00935387"/>
    <w:rsid w:val="009360D3"/>
    <w:rsid w:val="00936619"/>
    <w:rsid w:val="0093702C"/>
    <w:rsid w:val="009370DB"/>
    <w:rsid w:val="0093738C"/>
    <w:rsid w:val="0093784E"/>
    <w:rsid w:val="0094041E"/>
    <w:rsid w:val="00940CEA"/>
    <w:rsid w:val="00942560"/>
    <w:rsid w:val="00942C1D"/>
    <w:rsid w:val="00942C31"/>
    <w:rsid w:val="009430E8"/>
    <w:rsid w:val="00944265"/>
    <w:rsid w:val="00944750"/>
    <w:rsid w:val="00944ED5"/>
    <w:rsid w:val="00946626"/>
    <w:rsid w:val="00946A83"/>
    <w:rsid w:val="0094735C"/>
    <w:rsid w:val="00950BAE"/>
    <w:rsid w:val="009516E6"/>
    <w:rsid w:val="00951D7A"/>
    <w:rsid w:val="00951E17"/>
    <w:rsid w:val="00952136"/>
    <w:rsid w:val="00952910"/>
    <w:rsid w:val="00953CD0"/>
    <w:rsid w:val="00954586"/>
    <w:rsid w:val="00954661"/>
    <w:rsid w:val="00954D8E"/>
    <w:rsid w:val="009554F2"/>
    <w:rsid w:val="00956D08"/>
    <w:rsid w:val="00957169"/>
    <w:rsid w:val="00957229"/>
    <w:rsid w:val="0095794E"/>
    <w:rsid w:val="00961554"/>
    <w:rsid w:val="009621C3"/>
    <w:rsid w:val="00962AD4"/>
    <w:rsid w:val="00962D31"/>
    <w:rsid w:val="009644D1"/>
    <w:rsid w:val="00964E74"/>
    <w:rsid w:val="00965075"/>
    <w:rsid w:val="00965EFE"/>
    <w:rsid w:val="00967326"/>
    <w:rsid w:val="009679E1"/>
    <w:rsid w:val="00970736"/>
    <w:rsid w:val="00970A25"/>
    <w:rsid w:val="00971B56"/>
    <w:rsid w:val="009720BE"/>
    <w:rsid w:val="009738BB"/>
    <w:rsid w:val="00975202"/>
    <w:rsid w:val="00977727"/>
    <w:rsid w:val="00981A1B"/>
    <w:rsid w:val="009833DD"/>
    <w:rsid w:val="0098395C"/>
    <w:rsid w:val="00983F62"/>
    <w:rsid w:val="00984E6A"/>
    <w:rsid w:val="00985218"/>
    <w:rsid w:val="00985E89"/>
    <w:rsid w:val="00985EE7"/>
    <w:rsid w:val="00987260"/>
    <w:rsid w:val="009874F8"/>
    <w:rsid w:val="009875EE"/>
    <w:rsid w:val="0098796C"/>
    <w:rsid w:val="0099118A"/>
    <w:rsid w:val="00992169"/>
    <w:rsid w:val="00992D8A"/>
    <w:rsid w:val="009950EC"/>
    <w:rsid w:val="009956F9"/>
    <w:rsid w:val="00995A97"/>
    <w:rsid w:val="00996178"/>
    <w:rsid w:val="00997646"/>
    <w:rsid w:val="009A101D"/>
    <w:rsid w:val="009A479E"/>
    <w:rsid w:val="009A5CEE"/>
    <w:rsid w:val="009A6ABE"/>
    <w:rsid w:val="009A728D"/>
    <w:rsid w:val="009B0481"/>
    <w:rsid w:val="009B0C88"/>
    <w:rsid w:val="009B0D97"/>
    <w:rsid w:val="009B15DE"/>
    <w:rsid w:val="009B1C93"/>
    <w:rsid w:val="009B2369"/>
    <w:rsid w:val="009B32D5"/>
    <w:rsid w:val="009B3F2C"/>
    <w:rsid w:val="009B4F9F"/>
    <w:rsid w:val="009B5A6D"/>
    <w:rsid w:val="009B7A48"/>
    <w:rsid w:val="009C2CCD"/>
    <w:rsid w:val="009C30A5"/>
    <w:rsid w:val="009C39CB"/>
    <w:rsid w:val="009C4A17"/>
    <w:rsid w:val="009C72FE"/>
    <w:rsid w:val="009C7D43"/>
    <w:rsid w:val="009C7DA9"/>
    <w:rsid w:val="009C7E83"/>
    <w:rsid w:val="009D0352"/>
    <w:rsid w:val="009D0EDA"/>
    <w:rsid w:val="009D252A"/>
    <w:rsid w:val="009D26D2"/>
    <w:rsid w:val="009D450C"/>
    <w:rsid w:val="009D4870"/>
    <w:rsid w:val="009D517F"/>
    <w:rsid w:val="009D565E"/>
    <w:rsid w:val="009D5ECF"/>
    <w:rsid w:val="009D6A3E"/>
    <w:rsid w:val="009E2B0B"/>
    <w:rsid w:val="009E4109"/>
    <w:rsid w:val="009E45E8"/>
    <w:rsid w:val="009E5C70"/>
    <w:rsid w:val="009E6EA1"/>
    <w:rsid w:val="009E7274"/>
    <w:rsid w:val="009F08F2"/>
    <w:rsid w:val="009F29C2"/>
    <w:rsid w:val="009F36F4"/>
    <w:rsid w:val="009F5052"/>
    <w:rsid w:val="009F5235"/>
    <w:rsid w:val="009F5B08"/>
    <w:rsid w:val="009F5BDD"/>
    <w:rsid w:val="009F5CD2"/>
    <w:rsid w:val="00A007AB"/>
    <w:rsid w:val="00A008DD"/>
    <w:rsid w:val="00A00C32"/>
    <w:rsid w:val="00A01C78"/>
    <w:rsid w:val="00A021FC"/>
    <w:rsid w:val="00A02C8B"/>
    <w:rsid w:val="00A0326F"/>
    <w:rsid w:val="00A075C4"/>
    <w:rsid w:val="00A07C5E"/>
    <w:rsid w:val="00A1134C"/>
    <w:rsid w:val="00A127FC"/>
    <w:rsid w:val="00A12E5F"/>
    <w:rsid w:val="00A13338"/>
    <w:rsid w:val="00A134C0"/>
    <w:rsid w:val="00A14009"/>
    <w:rsid w:val="00A17491"/>
    <w:rsid w:val="00A17A0A"/>
    <w:rsid w:val="00A20494"/>
    <w:rsid w:val="00A2187F"/>
    <w:rsid w:val="00A21C96"/>
    <w:rsid w:val="00A22216"/>
    <w:rsid w:val="00A2278E"/>
    <w:rsid w:val="00A24646"/>
    <w:rsid w:val="00A24DBB"/>
    <w:rsid w:val="00A254B6"/>
    <w:rsid w:val="00A25F52"/>
    <w:rsid w:val="00A301CA"/>
    <w:rsid w:val="00A30B66"/>
    <w:rsid w:val="00A31415"/>
    <w:rsid w:val="00A31A0C"/>
    <w:rsid w:val="00A34DC0"/>
    <w:rsid w:val="00A3548B"/>
    <w:rsid w:val="00A35BA3"/>
    <w:rsid w:val="00A40E93"/>
    <w:rsid w:val="00A41DAD"/>
    <w:rsid w:val="00A4271A"/>
    <w:rsid w:val="00A44CE8"/>
    <w:rsid w:val="00A452CB"/>
    <w:rsid w:val="00A45379"/>
    <w:rsid w:val="00A4584C"/>
    <w:rsid w:val="00A46104"/>
    <w:rsid w:val="00A46253"/>
    <w:rsid w:val="00A4652F"/>
    <w:rsid w:val="00A47074"/>
    <w:rsid w:val="00A4723E"/>
    <w:rsid w:val="00A47798"/>
    <w:rsid w:val="00A50891"/>
    <w:rsid w:val="00A51A7B"/>
    <w:rsid w:val="00A52382"/>
    <w:rsid w:val="00A5337B"/>
    <w:rsid w:val="00A53B5B"/>
    <w:rsid w:val="00A54F0F"/>
    <w:rsid w:val="00A55126"/>
    <w:rsid w:val="00A56276"/>
    <w:rsid w:val="00A612D6"/>
    <w:rsid w:val="00A63355"/>
    <w:rsid w:val="00A646C9"/>
    <w:rsid w:val="00A64AFC"/>
    <w:rsid w:val="00A65E86"/>
    <w:rsid w:val="00A67E8A"/>
    <w:rsid w:val="00A7013A"/>
    <w:rsid w:val="00A70EA4"/>
    <w:rsid w:val="00A71362"/>
    <w:rsid w:val="00A71B18"/>
    <w:rsid w:val="00A73FDE"/>
    <w:rsid w:val="00A75253"/>
    <w:rsid w:val="00A75C97"/>
    <w:rsid w:val="00A76ECC"/>
    <w:rsid w:val="00A76FF7"/>
    <w:rsid w:val="00A77781"/>
    <w:rsid w:val="00A818C5"/>
    <w:rsid w:val="00A81C62"/>
    <w:rsid w:val="00A83178"/>
    <w:rsid w:val="00A831AC"/>
    <w:rsid w:val="00A83564"/>
    <w:rsid w:val="00A83BB0"/>
    <w:rsid w:val="00A84987"/>
    <w:rsid w:val="00A84E0D"/>
    <w:rsid w:val="00A86075"/>
    <w:rsid w:val="00A86926"/>
    <w:rsid w:val="00A901DE"/>
    <w:rsid w:val="00A90770"/>
    <w:rsid w:val="00A91183"/>
    <w:rsid w:val="00A92267"/>
    <w:rsid w:val="00A92991"/>
    <w:rsid w:val="00A92C2E"/>
    <w:rsid w:val="00A93655"/>
    <w:rsid w:val="00A9382D"/>
    <w:rsid w:val="00A93838"/>
    <w:rsid w:val="00A94EA7"/>
    <w:rsid w:val="00A96CDE"/>
    <w:rsid w:val="00AA0D2B"/>
    <w:rsid w:val="00AA0F0B"/>
    <w:rsid w:val="00AA319B"/>
    <w:rsid w:val="00AA3B8C"/>
    <w:rsid w:val="00AA47BA"/>
    <w:rsid w:val="00AA594B"/>
    <w:rsid w:val="00AA5C49"/>
    <w:rsid w:val="00AA64F5"/>
    <w:rsid w:val="00AA6DB0"/>
    <w:rsid w:val="00AB0BE0"/>
    <w:rsid w:val="00AB0EB9"/>
    <w:rsid w:val="00AB262E"/>
    <w:rsid w:val="00AB4DFB"/>
    <w:rsid w:val="00AB74E3"/>
    <w:rsid w:val="00AC17D4"/>
    <w:rsid w:val="00AC1C8E"/>
    <w:rsid w:val="00AC2533"/>
    <w:rsid w:val="00AC5915"/>
    <w:rsid w:val="00AC5FBD"/>
    <w:rsid w:val="00AC75A2"/>
    <w:rsid w:val="00AC7844"/>
    <w:rsid w:val="00AD085D"/>
    <w:rsid w:val="00AD16C5"/>
    <w:rsid w:val="00AD1BF0"/>
    <w:rsid w:val="00AD1F2E"/>
    <w:rsid w:val="00AD2C5D"/>
    <w:rsid w:val="00AD3FB0"/>
    <w:rsid w:val="00AD47C7"/>
    <w:rsid w:val="00AD5609"/>
    <w:rsid w:val="00AE024C"/>
    <w:rsid w:val="00AE0779"/>
    <w:rsid w:val="00AE13B3"/>
    <w:rsid w:val="00AE29FF"/>
    <w:rsid w:val="00AE3AE1"/>
    <w:rsid w:val="00AE3D82"/>
    <w:rsid w:val="00AE3FEC"/>
    <w:rsid w:val="00AE56FC"/>
    <w:rsid w:val="00AE6974"/>
    <w:rsid w:val="00AE745D"/>
    <w:rsid w:val="00AF0059"/>
    <w:rsid w:val="00AF122C"/>
    <w:rsid w:val="00AF20FC"/>
    <w:rsid w:val="00AF33CC"/>
    <w:rsid w:val="00AF3524"/>
    <w:rsid w:val="00AF37E3"/>
    <w:rsid w:val="00AF3C2A"/>
    <w:rsid w:val="00AF3CA6"/>
    <w:rsid w:val="00AF5486"/>
    <w:rsid w:val="00AF54F8"/>
    <w:rsid w:val="00AF66AC"/>
    <w:rsid w:val="00AF6A19"/>
    <w:rsid w:val="00AF72C8"/>
    <w:rsid w:val="00AF7305"/>
    <w:rsid w:val="00AF78D9"/>
    <w:rsid w:val="00B01CF6"/>
    <w:rsid w:val="00B01E3A"/>
    <w:rsid w:val="00B024D3"/>
    <w:rsid w:val="00B0449E"/>
    <w:rsid w:val="00B048B0"/>
    <w:rsid w:val="00B04AB0"/>
    <w:rsid w:val="00B05903"/>
    <w:rsid w:val="00B0618D"/>
    <w:rsid w:val="00B0642A"/>
    <w:rsid w:val="00B066D3"/>
    <w:rsid w:val="00B072A4"/>
    <w:rsid w:val="00B07F6E"/>
    <w:rsid w:val="00B10528"/>
    <w:rsid w:val="00B10D22"/>
    <w:rsid w:val="00B11A12"/>
    <w:rsid w:val="00B1346B"/>
    <w:rsid w:val="00B1543E"/>
    <w:rsid w:val="00B16CFA"/>
    <w:rsid w:val="00B17D78"/>
    <w:rsid w:val="00B20301"/>
    <w:rsid w:val="00B2053F"/>
    <w:rsid w:val="00B21071"/>
    <w:rsid w:val="00B22071"/>
    <w:rsid w:val="00B221F3"/>
    <w:rsid w:val="00B223DA"/>
    <w:rsid w:val="00B22CC7"/>
    <w:rsid w:val="00B24269"/>
    <w:rsid w:val="00B248E6"/>
    <w:rsid w:val="00B25E05"/>
    <w:rsid w:val="00B26ACA"/>
    <w:rsid w:val="00B26B47"/>
    <w:rsid w:val="00B275F3"/>
    <w:rsid w:val="00B30A4B"/>
    <w:rsid w:val="00B30E4B"/>
    <w:rsid w:val="00B32D42"/>
    <w:rsid w:val="00B33D08"/>
    <w:rsid w:val="00B34DA0"/>
    <w:rsid w:val="00B353C8"/>
    <w:rsid w:val="00B35F33"/>
    <w:rsid w:val="00B36B7B"/>
    <w:rsid w:val="00B36C6A"/>
    <w:rsid w:val="00B36D5C"/>
    <w:rsid w:val="00B41054"/>
    <w:rsid w:val="00B41431"/>
    <w:rsid w:val="00B44A9A"/>
    <w:rsid w:val="00B44CA3"/>
    <w:rsid w:val="00B4581B"/>
    <w:rsid w:val="00B46040"/>
    <w:rsid w:val="00B50CC1"/>
    <w:rsid w:val="00B52A73"/>
    <w:rsid w:val="00B5364F"/>
    <w:rsid w:val="00B53871"/>
    <w:rsid w:val="00B53BFE"/>
    <w:rsid w:val="00B547DF"/>
    <w:rsid w:val="00B54C10"/>
    <w:rsid w:val="00B54C40"/>
    <w:rsid w:val="00B55912"/>
    <w:rsid w:val="00B608D1"/>
    <w:rsid w:val="00B64398"/>
    <w:rsid w:val="00B64439"/>
    <w:rsid w:val="00B649A0"/>
    <w:rsid w:val="00B64CC2"/>
    <w:rsid w:val="00B64D77"/>
    <w:rsid w:val="00B66C95"/>
    <w:rsid w:val="00B726DE"/>
    <w:rsid w:val="00B72983"/>
    <w:rsid w:val="00B73172"/>
    <w:rsid w:val="00B75EB0"/>
    <w:rsid w:val="00B7637F"/>
    <w:rsid w:val="00B76661"/>
    <w:rsid w:val="00B76E2A"/>
    <w:rsid w:val="00B77A6C"/>
    <w:rsid w:val="00B77C0D"/>
    <w:rsid w:val="00B800C5"/>
    <w:rsid w:val="00B8126C"/>
    <w:rsid w:val="00B83364"/>
    <w:rsid w:val="00B859B7"/>
    <w:rsid w:val="00B86508"/>
    <w:rsid w:val="00B867F0"/>
    <w:rsid w:val="00B86A3D"/>
    <w:rsid w:val="00B86B0E"/>
    <w:rsid w:val="00B8705B"/>
    <w:rsid w:val="00B878A5"/>
    <w:rsid w:val="00B904C9"/>
    <w:rsid w:val="00B91AEF"/>
    <w:rsid w:val="00B930FA"/>
    <w:rsid w:val="00B95F99"/>
    <w:rsid w:val="00B961ED"/>
    <w:rsid w:val="00B96929"/>
    <w:rsid w:val="00BA03F1"/>
    <w:rsid w:val="00BA0F94"/>
    <w:rsid w:val="00BA11BE"/>
    <w:rsid w:val="00BA5E8A"/>
    <w:rsid w:val="00BA63E4"/>
    <w:rsid w:val="00BA65F7"/>
    <w:rsid w:val="00BA677E"/>
    <w:rsid w:val="00BB0967"/>
    <w:rsid w:val="00BB09DD"/>
    <w:rsid w:val="00BB0BAB"/>
    <w:rsid w:val="00BB26B8"/>
    <w:rsid w:val="00BB2AE8"/>
    <w:rsid w:val="00BB2EE1"/>
    <w:rsid w:val="00BB4605"/>
    <w:rsid w:val="00BB48D6"/>
    <w:rsid w:val="00BB4D12"/>
    <w:rsid w:val="00BB5029"/>
    <w:rsid w:val="00BB5912"/>
    <w:rsid w:val="00BB718C"/>
    <w:rsid w:val="00BC0500"/>
    <w:rsid w:val="00BC18BF"/>
    <w:rsid w:val="00BC3846"/>
    <w:rsid w:val="00BC5C83"/>
    <w:rsid w:val="00BC6076"/>
    <w:rsid w:val="00BD419A"/>
    <w:rsid w:val="00BD4629"/>
    <w:rsid w:val="00BD7572"/>
    <w:rsid w:val="00BE0576"/>
    <w:rsid w:val="00BE1175"/>
    <w:rsid w:val="00BE3456"/>
    <w:rsid w:val="00BE790A"/>
    <w:rsid w:val="00BF100A"/>
    <w:rsid w:val="00BF16F2"/>
    <w:rsid w:val="00BF1FFB"/>
    <w:rsid w:val="00BF2230"/>
    <w:rsid w:val="00BF289B"/>
    <w:rsid w:val="00BF28FE"/>
    <w:rsid w:val="00BF3BBA"/>
    <w:rsid w:val="00BF458E"/>
    <w:rsid w:val="00BF4F01"/>
    <w:rsid w:val="00BF5C11"/>
    <w:rsid w:val="00BF6603"/>
    <w:rsid w:val="00BF68A2"/>
    <w:rsid w:val="00C00A39"/>
    <w:rsid w:val="00C01A1B"/>
    <w:rsid w:val="00C022C1"/>
    <w:rsid w:val="00C02677"/>
    <w:rsid w:val="00C02C1F"/>
    <w:rsid w:val="00C03BC4"/>
    <w:rsid w:val="00C03D36"/>
    <w:rsid w:val="00C041D6"/>
    <w:rsid w:val="00C0428A"/>
    <w:rsid w:val="00C0480A"/>
    <w:rsid w:val="00C048C7"/>
    <w:rsid w:val="00C05939"/>
    <w:rsid w:val="00C06970"/>
    <w:rsid w:val="00C06A1C"/>
    <w:rsid w:val="00C07269"/>
    <w:rsid w:val="00C10115"/>
    <w:rsid w:val="00C1136B"/>
    <w:rsid w:val="00C127BF"/>
    <w:rsid w:val="00C13DB2"/>
    <w:rsid w:val="00C163F8"/>
    <w:rsid w:val="00C1722D"/>
    <w:rsid w:val="00C17512"/>
    <w:rsid w:val="00C175FB"/>
    <w:rsid w:val="00C1776E"/>
    <w:rsid w:val="00C17E20"/>
    <w:rsid w:val="00C2201F"/>
    <w:rsid w:val="00C25BD0"/>
    <w:rsid w:val="00C27169"/>
    <w:rsid w:val="00C30106"/>
    <w:rsid w:val="00C33A52"/>
    <w:rsid w:val="00C34124"/>
    <w:rsid w:val="00C36BBF"/>
    <w:rsid w:val="00C40133"/>
    <w:rsid w:val="00C405B6"/>
    <w:rsid w:val="00C40836"/>
    <w:rsid w:val="00C42FA5"/>
    <w:rsid w:val="00C44A26"/>
    <w:rsid w:val="00C4507D"/>
    <w:rsid w:val="00C45D96"/>
    <w:rsid w:val="00C47910"/>
    <w:rsid w:val="00C501F1"/>
    <w:rsid w:val="00C5176B"/>
    <w:rsid w:val="00C53B68"/>
    <w:rsid w:val="00C54A0B"/>
    <w:rsid w:val="00C54AD4"/>
    <w:rsid w:val="00C559D2"/>
    <w:rsid w:val="00C56BCA"/>
    <w:rsid w:val="00C57BC8"/>
    <w:rsid w:val="00C608D7"/>
    <w:rsid w:val="00C611A2"/>
    <w:rsid w:val="00C636D5"/>
    <w:rsid w:val="00C637D7"/>
    <w:rsid w:val="00C63A21"/>
    <w:rsid w:val="00C66D76"/>
    <w:rsid w:val="00C67B74"/>
    <w:rsid w:val="00C67F2A"/>
    <w:rsid w:val="00C709CB"/>
    <w:rsid w:val="00C70D53"/>
    <w:rsid w:val="00C71D23"/>
    <w:rsid w:val="00C71DF8"/>
    <w:rsid w:val="00C72B88"/>
    <w:rsid w:val="00C737E4"/>
    <w:rsid w:val="00C7399F"/>
    <w:rsid w:val="00C76AA8"/>
    <w:rsid w:val="00C770F1"/>
    <w:rsid w:val="00C82706"/>
    <w:rsid w:val="00C8279C"/>
    <w:rsid w:val="00C82D1B"/>
    <w:rsid w:val="00C86070"/>
    <w:rsid w:val="00C86E1C"/>
    <w:rsid w:val="00C909C4"/>
    <w:rsid w:val="00C91B01"/>
    <w:rsid w:val="00C92CA5"/>
    <w:rsid w:val="00C9389B"/>
    <w:rsid w:val="00C93A40"/>
    <w:rsid w:val="00C9665E"/>
    <w:rsid w:val="00C97235"/>
    <w:rsid w:val="00C9730A"/>
    <w:rsid w:val="00CA16EC"/>
    <w:rsid w:val="00CA1E14"/>
    <w:rsid w:val="00CA2769"/>
    <w:rsid w:val="00CA2BE4"/>
    <w:rsid w:val="00CA2F09"/>
    <w:rsid w:val="00CA3D9E"/>
    <w:rsid w:val="00CA41CC"/>
    <w:rsid w:val="00CA5F4F"/>
    <w:rsid w:val="00CA78E7"/>
    <w:rsid w:val="00CB12E0"/>
    <w:rsid w:val="00CB1859"/>
    <w:rsid w:val="00CB2072"/>
    <w:rsid w:val="00CB2332"/>
    <w:rsid w:val="00CB30D5"/>
    <w:rsid w:val="00CB398E"/>
    <w:rsid w:val="00CB3B5C"/>
    <w:rsid w:val="00CB43DA"/>
    <w:rsid w:val="00CB5A7A"/>
    <w:rsid w:val="00CB6953"/>
    <w:rsid w:val="00CB6F06"/>
    <w:rsid w:val="00CC0262"/>
    <w:rsid w:val="00CC0408"/>
    <w:rsid w:val="00CC25DB"/>
    <w:rsid w:val="00CC3687"/>
    <w:rsid w:val="00CC37E5"/>
    <w:rsid w:val="00CC39D5"/>
    <w:rsid w:val="00CC5006"/>
    <w:rsid w:val="00CC5ECF"/>
    <w:rsid w:val="00CC6DED"/>
    <w:rsid w:val="00CC761A"/>
    <w:rsid w:val="00CC7F5E"/>
    <w:rsid w:val="00CD03EC"/>
    <w:rsid w:val="00CD0AA4"/>
    <w:rsid w:val="00CD0EAE"/>
    <w:rsid w:val="00CD126E"/>
    <w:rsid w:val="00CD13D0"/>
    <w:rsid w:val="00CD14BC"/>
    <w:rsid w:val="00CD280A"/>
    <w:rsid w:val="00CD2AA9"/>
    <w:rsid w:val="00CD3101"/>
    <w:rsid w:val="00CD35D3"/>
    <w:rsid w:val="00CD43BA"/>
    <w:rsid w:val="00CD4676"/>
    <w:rsid w:val="00CD483C"/>
    <w:rsid w:val="00CD521D"/>
    <w:rsid w:val="00CD5504"/>
    <w:rsid w:val="00CD571E"/>
    <w:rsid w:val="00CD68D8"/>
    <w:rsid w:val="00CD6A87"/>
    <w:rsid w:val="00CD6C10"/>
    <w:rsid w:val="00CD765B"/>
    <w:rsid w:val="00CE132E"/>
    <w:rsid w:val="00CE3991"/>
    <w:rsid w:val="00CE488E"/>
    <w:rsid w:val="00CE4DA8"/>
    <w:rsid w:val="00CF0ABE"/>
    <w:rsid w:val="00CF1F96"/>
    <w:rsid w:val="00CF358F"/>
    <w:rsid w:val="00CF3797"/>
    <w:rsid w:val="00CF3FBD"/>
    <w:rsid w:val="00CF4014"/>
    <w:rsid w:val="00CF5871"/>
    <w:rsid w:val="00CF7C8D"/>
    <w:rsid w:val="00D00715"/>
    <w:rsid w:val="00D00B40"/>
    <w:rsid w:val="00D03716"/>
    <w:rsid w:val="00D05869"/>
    <w:rsid w:val="00D063F4"/>
    <w:rsid w:val="00D07634"/>
    <w:rsid w:val="00D07EE4"/>
    <w:rsid w:val="00D1010A"/>
    <w:rsid w:val="00D1180F"/>
    <w:rsid w:val="00D11B9C"/>
    <w:rsid w:val="00D11C18"/>
    <w:rsid w:val="00D14036"/>
    <w:rsid w:val="00D1475B"/>
    <w:rsid w:val="00D15556"/>
    <w:rsid w:val="00D15B1F"/>
    <w:rsid w:val="00D213A9"/>
    <w:rsid w:val="00D223C9"/>
    <w:rsid w:val="00D23B9F"/>
    <w:rsid w:val="00D2586A"/>
    <w:rsid w:val="00D258E8"/>
    <w:rsid w:val="00D25ECD"/>
    <w:rsid w:val="00D26989"/>
    <w:rsid w:val="00D27DCC"/>
    <w:rsid w:val="00D30763"/>
    <w:rsid w:val="00D31433"/>
    <w:rsid w:val="00D33344"/>
    <w:rsid w:val="00D338FB"/>
    <w:rsid w:val="00D34157"/>
    <w:rsid w:val="00D34E51"/>
    <w:rsid w:val="00D350AD"/>
    <w:rsid w:val="00D353C2"/>
    <w:rsid w:val="00D3583C"/>
    <w:rsid w:val="00D35BD2"/>
    <w:rsid w:val="00D40EC6"/>
    <w:rsid w:val="00D42C62"/>
    <w:rsid w:val="00D431CD"/>
    <w:rsid w:val="00D4343B"/>
    <w:rsid w:val="00D43856"/>
    <w:rsid w:val="00D44430"/>
    <w:rsid w:val="00D4565C"/>
    <w:rsid w:val="00D45A42"/>
    <w:rsid w:val="00D46807"/>
    <w:rsid w:val="00D4695C"/>
    <w:rsid w:val="00D46BEA"/>
    <w:rsid w:val="00D46EB6"/>
    <w:rsid w:val="00D50CD1"/>
    <w:rsid w:val="00D52D61"/>
    <w:rsid w:val="00D5332E"/>
    <w:rsid w:val="00D56981"/>
    <w:rsid w:val="00D56BB6"/>
    <w:rsid w:val="00D574A7"/>
    <w:rsid w:val="00D5759D"/>
    <w:rsid w:val="00D57829"/>
    <w:rsid w:val="00D617C1"/>
    <w:rsid w:val="00D619A5"/>
    <w:rsid w:val="00D63648"/>
    <w:rsid w:val="00D64768"/>
    <w:rsid w:val="00D722A0"/>
    <w:rsid w:val="00D72CB7"/>
    <w:rsid w:val="00D734A4"/>
    <w:rsid w:val="00D74B41"/>
    <w:rsid w:val="00D7517A"/>
    <w:rsid w:val="00D7548F"/>
    <w:rsid w:val="00D75B58"/>
    <w:rsid w:val="00D75EC5"/>
    <w:rsid w:val="00D762CA"/>
    <w:rsid w:val="00D76F4A"/>
    <w:rsid w:val="00D77798"/>
    <w:rsid w:val="00D77C6D"/>
    <w:rsid w:val="00D8444D"/>
    <w:rsid w:val="00D8574D"/>
    <w:rsid w:val="00D8669A"/>
    <w:rsid w:val="00D8751A"/>
    <w:rsid w:val="00D90495"/>
    <w:rsid w:val="00D9068F"/>
    <w:rsid w:val="00D91044"/>
    <w:rsid w:val="00D93021"/>
    <w:rsid w:val="00D941C4"/>
    <w:rsid w:val="00D94ECB"/>
    <w:rsid w:val="00D94ED0"/>
    <w:rsid w:val="00D959C4"/>
    <w:rsid w:val="00D972C3"/>
    <w:rsid w:val="00D974DB"/>
    <w:rsid w:val="00DA14A1"/>
    <w:rsid w:val="00DA2733"/>
    <w:rsid w:val="00DA35C1"/>
    <w:rsid w:val="00DA3B18"/>
    <w:rsid w:val="00DA5E05"/>
    <w:rsid w:val="00DA7E54"/>
    <w:rsid w:val="00DB0A77"/>
    <w:rsid w:val="00DB143E"/>
    <w:rsid w:val="00DB1E13"/>
    <w:rsid w:val="00DB1E38"/>
    <w:rsid w:val="00DB2607"/>
    <w:rsid w:val="00DB2A74"/>
    <w:rsid w:val="00DB41AB"/>
    <w:rsid w:val="00DB5638"/>
    <w:rsid w:val="00DB7136"/>
    <w:rsid w:val="00DC3960"/>
    <w:rsid w:val="00DC563E"/>
    <w:rsid w:val="00DC58DD"/>
    <w:rsid w:val="00DC5CC6"/>
    <w:rsid w:val="00DC6238"/>
    <w:rsid w:val="00DC64C9"/>
    <w:rsid w:val="00DD0477"/>
    <w:rsid w:val="00DD073C"/>
    <w:rsid w:val="00DD15D7"/>
    <w:rsid w:val="00DD264A"/>
    <w:rsid w:val="00DD3FC1"/>
    <w:rsid w:val="00DD51C7"/>
    <w:rsid w:val="00DE0D3A"/>
    <w:rsid w:val="00DE2AFF"/>
    <w:rsid w:val="00DE35FA"/>
    <w:rsid w:val="00DE3E71"/>
    <w:rsid w:val="00DE56A3"/>
    <w:rsid w:val="00DE5960"/>
    <w:rsid w:val="00DE5D0C"/>
    <w:rsid w:val="00DE6FED"/>
    <w:rsid w:val="00DE7CC3"/>
    <w:rsid w:val="00DF10E5"/>
    <w:rsid w:val="00DF1310"/>
    <w:rsid w:val="00DF1DD7"/>
    <w:rsid w:val="00DF1DF1"/>
    <w:rsid w:val="00DF21F8"/>
    <w:rsid w:val="00DF2637"/>
    <w:rsid w:val="00DF3B41"/>
    <w:rsid w:val="00DF45DD"/>
    <w:rsid w:val="00DF6174"/>
    <w:rsid w:val="00E00998"/>
    <w:rsid w:val="00E00B42"/>
    <w:rsid w:val="00E01057"/>
    <w:rsid w:val="00E01191"/>
    <w:rsid w:val="00E014B4"/>
    <w:rsid w:val="00E01F66"/>
    <w:rsid w:val="00E04E3A"/>
    <w:rsid w:val="00E05E8F"/>
    <w:rsid w:val="00E067BB"/>
    <w:rsid w:val="00E06C52"/>
    <w:rsid w:val="00E11A2F"/>
    <w:rsid w:val="00E11D86"/>
    <w:rsid w:val="00E1315D"/>
    <w:rsid w:val="00E13D81"/>
    <w:rsid w:val="00E14955"/>
    <w:rsid w:val="00E15C18"/>
    <w:rsid w:val="00E165B1"/>
    <w:rsid w:val="00E17B3E"/>
    <w:rsid w:val="00E17F94"/>
    <w:rsid w:val="00E201EF"/>
    <w:rsid w:val="00E203F6"/>
    <w:rsid w:val="00E2143C"/>
    <w:rsid w:val="00E2203D"/>
    <w:rsid w:val="00E24956"/>
    <w:rsid w:val="00E26785"/>
    <w:rsid w:val="00E27F8D"/>
    <w:rsid w:val="00E31795"/>
    <w:rsid w:val="00E379B7"/>
    <w:rsid w:val="00E37F48"/>
    <w:rsid w:val="00E40CDA"/>
    <w:rsid w:val="00E4177C"/>
    <w:rsid w:val="00E41CC5"/>
    <w:rsid w:val="00E41CDE"/>
    <w:rsid w:val="00E423D6"/>
    <w:rsid w:val="00E4380D"/>
    <w:rsid w:val="00E44D8D"/>
    <w:rsid w:val="00E457F8"/>
    <w:rsid w:val="00E47B4F"/>
    <w:rsid w:val="00E47EAC"/>
    <w:rsid w:val="00E50931"/>
    <w:rsid w:val="00E5096D"/>
    <w:rsid w:val="00E50D0E"/>
    <w:rsid w:val="00E5447E"/>
    <w:rsid w:val="00E55A54"/>
    <w:rsid w:val="00E55DDD"/>
    <w:rsid w:val="00E561F9"/>
    <w:rsid w:val="00E5671E"/>
    <w:rsid w:val="00E575B5"/>
    <w:rsid w:val="00E60059"/>
    <w:rsid w:val="00E6183E"/>
    <w:rsid w:val="00E62658"/>
    <w:rsid w:val="00E6333E"/>
    <w:rsid w:val="00E63707"/>
    <w:rsid w:val="00E63AAA"/>
    <w:rsid w:val="00E643DA"/>
    <w:rsid w:val="00E646F8"/>
    <w:rsid w:val="00E65ED0"/>
    <w:rsid w:val="00E70010"/>
    <w:rsid w:val="00E71389"/>
    <w:rsid w:val="00E71902"/>
    <w:rsid w:val="00E728FC"/>
    <w:rsid w:val="00E72A7B"/>
    <w:rsid w:val="00E743E5"/>
    <w:rsid w:val="00E761AF"/>
    <w:rsid w:val="00E84069"/>
    <w:rsid w:val="00E84E21"/>
    <w:rsid w:val="00E85CEA"/>
    <w:rsid w:val="00E862DD"/>
    <w:rsid w:val="00E86ADA"/>
    <w:rsid w:val="00E86FBB"/>
    <w:rsid w:val="00E87186"/>
    <w:rsid w:val="00E90B8E"/>
    <w:rsid w:val="00E90ED6"/>
    <w:rsid w:val="00E91125"/>
    <w:rsid w:val="00E916E0"/>
    <w:rsid w:val="00E9182F"/>
    <w:rsid w:val="00E91919"/>
    <w:rsid w:val="00E928C8"/>
    <w:rsid w:val="00E931EE"/>
    <w:rsid w:val="00E93677"/>
    <w:rsid w:val="00E945E0"/>
    <w:rsid w:val="00E95346"/>
    <w:rsid w:val="00E95A80"/>
    <w:rsid w:val="00E96478"/>
    <w:rsid w:val="00E97CE1"/>
    <w:rsid w:val="00EA0B6A"/>
    <w:rsid w:val="00EA1264"/>
    <w:rsid w:val="00EA1F26"/>
    <w:rsid w:val="00EA2863"/>
    <w:rsid w:val="00EA4F94"/>
    <w:rsid w:val="00EA6570"/>
    <w:rsid w:val="00EA6C74"/>
    <w:rsid w:val="00EA7592"/>
    <w:rsid w:val="00EA76A8"/>
    <w:rsid w:val="00EB0009"/>
    <w:rsid w:val="00EB05B8"/>
    <w:rsid w:val="00EB0B5D"/>
    <w:rsid w:val="00EB2627"/>
    <w:rsid w:val="00EB3425"/>
    <w:rsid w:val="00EB343A"/>
    <w:rsid w:val="00EB46EF"/>
    <w:rsid w:val="00EB5901"/>
    <w:rsid w:val="00EB6444"/>
    <w:rsid w:val="00EB79D9"/>
    <w:rsid w:val="00EC0C20"/>
    <w:rsid w:val="00EC1E99"/>
    <w:rsid w:val="00EC2EA7"/>
    <w:rsid w:val="00EC3A4A"/>
    <w:rsid w:val="00EC3ECB"/>
    <w:rsid w:val="00EC4565"/>
    <w:rsid w:val="00EC59AF"/>
    <w:rsid w:val="00EC691D"/>
    <w:rsid w:val="00EC763C"/>
    <w:rsid w:val="00ED027B"/>
    <w:rsid w:val="00ED02FC"/>
    <w:rsid w:val="00ED0D16"/>
    <w:rsid w:val="00ED17C3"/>
    <w:rsid w:val="00ED1D51"/>
    <w:rsid w:val="00ED4D62"/>
    <w:rsid w:val="00ED5979"/>
    <w:rsid w:val="00ED5B5B"/>
    <w:rsid w:val="00ED66F1"/>
    <w:rsid w:val="00ED6A37"/>
    <w:rsid w:val="00ED71A1"/>
    <w:rsid w:val="00ED7813"/>
    <w:rsid w:val="00EE0987"/>
    <w:rsid w:val="00EE0FC5"/>
    <w:rsid w:val="00EE1136"/>
    <w:rsid w:val="00EE4812"/>
    <w:rsid w:val="00EE4A53"/>
    <w:rsid w:val="00EE5B8A"/>
    <w:rsid w:val="00EE64EC"/>
    <w:rsid w:val="00EE6951"/>
    <w:rsid w:val="00EE798C"/>
    <w:rsid w:val="00EF0126"/>
    <w:rsid w:val="00EF04EC"/>
    <w:rsid w:val="00EF2188"/>
    <w:rsid w:val="00EF2E5E"/>
    <w:rsid w:val="00EF30F0"/>
    <w:rsid w:val="00EF3878"/>
    <w:rsid w:val="00EF5B2A"/>
    <w:rsid w:val="00EF5E40"/>
    <w:rsid w:val="00EF67D4"/>
    <w:rsid w:val="00EF7107"/>
    <w:rsid w:val="00EF78D1"/>
    <w:rsid w:val="00F0005D"/>
    <w:rsid w:val="00F03D1C"/>
    <w:rsid w:val="00F0429B"/>
    <w:rsid w:val="00F0438B"/>
    <w:rsid w:val="00F04671"/>
    <w:rsid w:val="00F05862"/>
    <w:rsid w:val="00F05F74"/>
    <w:rsid w:val="00F11F98"/>
    <w:rsid w:val="00F11FF4"/>
    <w:rsid w:val="00F1211F"/>
    <w:rsid w:val="00F1212A"/>
    <w:rsid w:val="00F13634"/>
    <w:rsid w:val="00F13B15"/>
    <w:rsid w:val="00F13DFC"/>
    <w:rsid w:val="00F17EB0"/>
    <w:rsid w:val="00F17F4D"/>
    <w:rsid w:val="00F218A5"/>
    <w:rsid w:val="00F23342"/>
    <w:rsid w:val="00F23A9C"/>
    <w:rsid w:val="00F23F4D"/>
    <w:rsid w:val="00F246A9"/>
    <w:rsid w:val="00F24904"/>
    <w:rsid w:val="00F24A69"/>
    <w:rsid w:val="00F260F5"/>
    <w:rsid w:val="00F2693E"/>
    <w:rsid w:val="00F31939"/>
    <w:rsid w:val="00F31A13"/>
    <w:rsid w:val="00F31BF3"/>
    <w:rsid w:val="00F32383"/>
    <w:rsid w:val="00F32865"/>
    <w:rsid w:val="00F34729"/>
    <w:rsid w:val="00F366BA"/>
    <w:rsid w:val="00F3674C"/>
    <w:rsid w:val="00F37742"/>
    <w:rsid w:val="00F40F1E"/>
    <w:rsid w:val="00F4271E"/>
    <w:rsid w:val="00F43B37"/>
    <w:rsid w:val="00F4592C"/>
    <w:rsid w:val="00F466C0"/>
    <w:rsid w:val="00F52867"/>
    <w:rsid w:val="00F53852"/>
    <w:rsid w:val="00F54403"/>
    <w:rsid w:val="00F54576"/>
    <w:rsid w:val="00F55C50"/>
    <w:rsid w:val="00F56608"/>
    <w:rsid w:val="00F56C7F"/>
    <w:rsid w:val="00F5714C"/>
    <w:rsid w:val="00F61938"/>
    <w:rsid w:val="00F63FC9"/>
    <w:rsid w:val="00F64033"/>
    <w:rsid w:val="00F707D8"/>
    <w:rsid w:val="00F70ADC"/>
    <w:rsid w:val="00F7182E"/>
    <w:rsid w:val="00F74230"/>
    <w:rsid w:val="00F75652"/>
    <w:rsid w:val="00F76452"/>
    <w:rsid w:val="00F76B8F"/>
    <w:rsid w:val="00F7722D"/>
    <w:rsid w:val="00F80217"/>
    <w:rsid w:val="00F80EBB"/>
    <w:rsid w:val="00F817E4"/>
    <w:rsid w:val="00F81CE0"/>
    <w:rsid w:val="00F836BA"/>
    <w:rsid w:val="00F850B3"/>
    <w:rsid w:val="00F87031"/>
    <w:rsid w:val="00F87D6B"/>
    <w:rsid w:val="00F90195"/>
    <w:rsid w:val="00F9093D"/>
    <w:rsid w:val="00F91594"/>
    <w:rsid w:val="00F91AB6"/>
    <w:rsid w:val="00F937FF"/>
    <w:rsid w:val="00F9385A"/>
    <w:rsid w:val="00F93D4A"/>
    <w:rsid w:val="00F94EF3"/>
    <w:rsid w:val="00F96E8C"/>
    <w:rsid w:val="00F97571"/>
    <w:rsid w:val="00FA1636"/>
    <w:rsid w:val="00FA19BB"/>
    <w:rsid w:val="00FA213F"/>
    <w:rsid w:val="00FA2BE3"/>
    <w:rsid w:val="00FA2D42"/>
    <w:rsid w:val="00FA31EA"/>
    <w:rsid w:val="00FA345A"/>
    <w:rsid w:val="00FA61E4"/>
    <w:rsid w:val="00FA69F5"/>
    <w:rsid w:val="00FA6D59"/>
    <w:rsid w:val="00FA70B7"/>
    <w:rsid w:val="00FA7F51"/>
    <w:rsid w:val="00FB16CB"/>
    <w:rsid w:val="00FB54E4"/>
    <w:rsid w:val="00FB5CD8"/>
    <w:rsid w:val="00FB6963"/>
    <w:rsid w:val="00FB7069"/>
    <w:rsid w:val="00FC1010"/>
    <w:rsid w:val="00FC1B9A"/>
    <w:rsid w:val="00FC283A"/>
    <w:rsid w:val="00FC53FF"/>
    <w:rsid w:val="00FC5A20"/>
    <w:rsid w:val="00FC75E4"/>
    <w:rsid w:val="00FC78D8"/>
    <w:rsid w:val="00FC7918"/>
    <w:rsid w:val="00FD4FA8"/>
    <w:rsid w:val="00FD500C"/>
    <w:rsid w:val="00FD5385"/>
    <w:rsid w:val="00FD72D4"/>
    <w:rsid w:val="00FE0A8A"/>
    <w:rsid w:val="00FE19FB"/>
    <w:rsid w:val="00FE1B11"/>
    <w:rsid w:val="00FE28E9"/>
    <w:rsid w:val="00FE2BF8"/>
    <w:rsid w:val="00FE3A29"/>
    <w:rsid w:val="00FE4A6F"/>
    <w:rsid w:val="00FE50AF"/>
    <w:rsid w:val="00FE5B6D"/>
    <w:rsid w:val="00FF0369"/>
    <w:rsid w:val="00FF0B37"/>
    <w:rsid w:val="00FF1A0C"/>
    <w:rsid w:val="00FF2966"/>
    <w:rsid w:val="00FF3CBD"/>
    <w:rsid w:val="00FF44DF"/>
    <w:rsid w:val="00FF4818"/>
    <w:rsid w:val="00FF4BAA"/>
    <w:rsid w:val="00FF52F5"/>
    <w:rsid w:val="00FF53A4"/>
    <w:rsid w:val="00FF5600"/>
    <w:rsid w:val="00FF5C4B"/>
    <w:rsid w:val="00FF610D"/>
    <w:rsid w:val="00FF70CF"/>
    <w:rsid w:val="00FF7FA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D0"/>
    <w:pPr>
      <w:spacing w:line="276" w:lineRule="auto"/>
      <w:jc w:val="left"/>
    </w:pPr>
    <w:rPr>
      <w:rFonts w:ascii="Calibri" w:eastAsia="Calibri" w:hAnsi="Calibri" w:cs="Times New Roman"/>
      <w:lang w:val="fr-FR"/>
    </w:rPr>
  </w:style>
  <w:style w:type="paragraph" w:styleId="Titre1">
    <w:name w:val="heading 1"/>
    <w:basedOn w:val="Normal"/>
    <w:next w:val="Normal"/>
    <w:link w:val="Titre1Car"/>
    <w:qFormat/>
    <w:rsid w:val="00953CD0"/>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qFormat/>
    <w:rsid w:val="00953CD0"/>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qFormat/>
    <w:rsid w:val="00953CD0"/>
    <w:pPr>
      <w:keepNext/>
      <w:spacing w:before="240" w:after="60"/>
      <w:outlineLvl w:val="2"/>
    </w:pPr>
    <w:rPr>
      <w:rFonts w:ascii="Cambria" w:eastAsia="Times New Roman"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241F2"/>
    <w:pPr>
      <w:framePr w:w="7938" w:h="1985" w:hRule="exact" w:hSpace="141" w:wrap="auto" w:hAnchor="page" w:xAlign="center" w:yAlign="bottom"/>
      <w:spacing w:after="0"/>
      <w:ind w:left="2835"/>
    </w:pPr>
    <w:rPr>
      <w:rFonts w:ascii="Times New Roman" w:eastAsiaTheme="majorEastAsia" w:hAnsi="Times New Roman" w:cstheme="majorBidi"/>
      <w:sz w:val="28"/>
      <w:szCs w:val="24"/>
    </w:rPr>
  </w:style>
  <w:style w:type="paragraph" w:styleId="Sansinterligne">
    <w:name w:val="No Spacing"/>
    <w:basedOn w:val="Normal"/>
    <w:link w:val="SansinterligneCar"/>
    <w:uiPriority w:val="1"/>
    <w:qFormat/>
    <w:rsid w:val="00515E1C"/>
    <w:pPr>
      <w:spacing w:after="0" w:line="240" w:lineRule="auto"/>
    </w:pPr>
  </w:style>
  <w:style w:type="character" w:customStyle="1" w:styleId="SansinterligneCar">
    <w:name w:val="Sans interligne Car"/>
    <w:basedOn w:val="Policepardfaut"/>
    <w:link w:val="Sansinterligne"/>
    <w:uiPriority w:val="1"/>
    <w:rsid w:val="00515E1C"/>
    <w:rPr>
      <w:rFonts w:eastAsiaTheme="minorEastAsia"/>
      <w:sz w:val="20"/>
      <w:szCs w:val="20"/>
      <w:lang w:val="fr-FR" w:bidi="en-US"/>
    </w:rPr>
  </w:style>
  <w:style w:type="paragraph" w:styleId="Paragraphedeliste">
    <w:name w:val="List Paragraph"/>
    <w:basedOn w:val="Normal"/>
    <w:uiPriority w:val="34"/>
    <w:qFormat/>
    <w:rsid w:val="00515E1C"/>
    <w:pPr>
      <w:ind w:left="720"/>
      <w:contextualSpacing/>
    </w:pPr>
  </w:style>
  <w:style w:type="character" w:customStyle="1" w:styleId="Titre1Car">
    <w:name w:val="Titre 1 Car"/>
    <w:basedOn w:val="Policepardfaut"/>
    <w:link w:val="Titre1"/>
    <w:rsid w:val="00953CD0"/>
    <w:rPr>
      <w:rFonts w:ascii="Cambria" w:eastAsia="Times New Roman" w:hAnsi="Cambria" w:cs="Times New Roman"/>
      <w:b/>
      <w:bCs/>
      <w:kern w:val="32"/>
      <w:sz w:val="32"/>
      <w:szCs w:val="32"/>
      <w:lang w:val="fr-FR"/>
    </w:rPr>
  </w:style>
  <w:style w:type="character" w:customStyle="1" w:styleId="Titre2Car">
    <w:name w:val="Titre 2 Car"/>
    <w:basedOn w:val="Policepardfaut"/>
    <w:link w:val="Titre2"/>
    <w:rsid w:val="00953CD0"/>
    <w:rPr>
      <w:rFonts w:ascii="Cambria" w:eastAsia="Times New Roman" w:hAnsi="Cambria" w:cs="Times New Roman"/>
      <w:b/>
      <w:bCs/>
      <w:i/>
      <w:iCs/>
      <w:sz w:val="28"/>
      <w:szCs w:val="28"/>
      <w:lang w:val="fr-FR"/>
    </w:rPr>
  </w:style>
  <w:style w:type="character" w:customStyle="1" w:styleId="Titre3Car">
    <w:name w:val="Titre 3 Car"/>
    <w:basedOn w:val="Policepardfaut"/>
    <w:link w:val="Titre3"/>
    <w:rsid w:val="00953CD0"/>
    <w:rPr>
      <w:rFonts w:ascii="Cambria" w:eastAsia="Times New Roman" w:hAnsi="Cambria" w:cs="Times New Roman"/>
      <w:b/>
      <w:bCs/>
      <w:sz w:val="26"/>
      <w:szCs w:val="26"/>
      <w:lang w:val="fr-FR"/>
    </w:rPr>
  </w:style>
  <w:style w:type="paragraph" w:customStyle="1" w:styleId="ListParagraph1">
    <w:name w:val="List Paragraph1"/>
    <w:basedOn w:val="Normal"/>
    <w:qFormat/>
    <w:rsid w:val="00953CD0"/>
    <w:pPr>
      <w:ind w:left="720"/>
      <w:contextualSpacing/>
    </w:pPr>
    <w:rPr>
      <w:rFonts w:eastAsia="MS Mincho"/>
    </w:rPr>
  </w:style>
  <w:style w:type="paragraph" w:styleId="Notedebasdepage">
    <w:name w:val="footnote text"/>
    <w:basedOn w:val="Normal"/>
    <w:link w:val="NotedebasdepageCar"/>
    <w:semiHidden/>
    <w:unhideWhenUsed/>
    <w:rsid w:val="00953CD0"/>
    <w:rPr>
      <w:sz w:val="20"/>
      <w:szCs w:val="20"/>
      <w:lang/>
    </w:rPr>
  </w:style>
  <w:style w:type="character" w:customStyle="1" w:styleId="NotedebasdepageCar">
    <w:name w:val="Note de bas de page Car"/>
    <w:basedOn w:val="Policepardfaut"/>
    <w:link w:val="Notedebasdepage"/>
    <w:semiHidden/>
    <w:rsid w:val="00953CD0"/>
    <w:rPr>
      <w:rFonts w:ascii="Calibri" w:eastAsia="Calibri" w:hAnsi="Calibri" w:cs="Times New Roman"/>
      <w:sz w:val="20"/>
      <w:szCs w:val="20"/>
      <w:lang w:val="fr-FR"/>
    </w:rPr>
  </w:style>
  <w:style w:type="character" w:styleId="Appelnotedebasdep">
    <w:name w:val="footnote reference"/>
    <w:semiHidden/>
    <w:unhideWhenUsed/>
    <w:rsid w:val="00953CD0"/>
    <w:rPr>
      <w:vertAlign w:val="superscript"/>
    </w:rPr>
  </w:style>
  <w:style w:type="paragraph" w:styleId="TM1">
    <w:name w:val="toc 1"/>
    <w:basedOn w:val="Normal"/>
    <w:next w:val="Normal"/>
    <w:autoRedefine/>
    <w:semiHidden/>
    <w:unhideWhenUsed/>
    <w:rsid w:val="00953CD0"/>
  </w:style>
  <w:style w:type="paragraph" w:styleId="TM2">
    <w:name w:val="toc 2"/>
    <w:basedOn w:val="Normal"/>
    <w:next w:val="Normal"/>
    <w:autoRedefine/>
    <w:semiHidden/>
    <w:unhideWhenUsed/>
    <w:rsid w:val="00953CD0"/>
    <w:pPr>
      <w:tabs>
        <w:tab w:val="right" w:leader="dot" w:pos="9350"/>
      </w:tabs>
      <w:ind w:left="220"/>
    </w:pPr>
    <w:rPr>
      <w:noProof/>
      <w:color w:val="000000"/>
    </w:rPr>
  </w:style>
  <w:style w:type="paragraph" w:styleId="TM3">
    <w:name w:val="toc 3"/>
    <w:basedOn w:val="Normal"/>
    <w:next w:val="Normal"/>
    <w:autoRedefine/>
    <w:semiHidden/>
    <w:unhideWhenUsed/>
    <w:rsid w:val="00953CD0"/>
    <w:pPr>
      <w:ind w:left="440"/>
    </w:pPr>
  </w:style>
  <w:style w:type="character" w:styleId="Lienhypertexte">
    <w:name w:val="Hyperlink"/>
    <w:semiHidden/>
    <w:unhideWhenUsed/>
    <w:rsid w:val="00953CD0"/>
    <w:rPr>
      <w:color w:val="0000FF"/>
      <w:u w:val="single"/>
    </w:rPr>
  </w:style>
  <w:style w:type="paragraph" w:styleId="Textedebulles">
    <w:name w:val="Balloon Text"/>
    <w:basedOn w:val="Normal"/>
    <w:link w:val="TextedebullesCar"/>
    <w:uiPriority w:val="99"/>
    <w:semiHidden/>
    <w:unhideWhenUsed/>
    <w:rsid w:val="00953C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CD0"/>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EF0E4-2413-4C40-9AFF-AEF785C5D310}"/>
</file>

<file path=customXml/itemProps2.xml><?xml version="1.0" encoding="utf-8"?>
<ds:datastoreItem xmlns:ds="http://schemas.openxmlformats.org/officeDocument/2006/customXml" ds:itemID="{BD3D54DF-1E94-457E-ABEB-3C9F15506869}"/>
</file>

<file path=customXml/itemProps3.xml><?xml version="1.0" encoding="utf-8"?>
<ds:datastoreItem xmlns:ds="http://schemas.openxmlformats.org/officeDocument/2006/customXml" ds:itemID="{D0EEAFAE-318E-46D3-8FEF-4B4CC467621B}"/>
</file>

<file path=docProps/app.xml><?xml version="1.0" encoding="utf-8"?>
<Properties xmlns="http://schemas.openxmlformats.org/officeDocument/2006/extended-properties" xmlns:vt="http://schemas.openxmlformats.org/officeDocument/2006/docPropsVTypes">
  <Template>Normal.dotm</Template>
  <TotalTime>2</TotalTime>
  <Pages>20</Pages>
  <Words>7883</Words>
  <Characters>43359</Characters>
  <Application>Microsoft Office Word</Application>
  <DocSecurity>0</DocSecurity>
  <Lines>361</Lines>
  <Paragraphs>102</Paragraphs>
  <ScaleCrop>false</ScaleCrop>
  <Company>Hewlett-Packard Company</Company>
  <LinksUpToDate>false</LinksUpToDate>
  <CharactersWithSpaces>51140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 Haiti</dc:creator>
  <cp:lastModifiedBy>Mission Haiti</cp:lastModifiedBy>
  <cp:revision>1</cp:revision>
  <dcterms:created xsi:type="dcterms:W3CDTF">2014-07-22T12:17:00Z</dcterms:created>
  <dcterms:modified xsi:type="dcterms:W3CDTF">2014-07-22T12:19:00Z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