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C5" w:rsidRDefault="005477C5" w:rsidP="00184A39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5477C5" w:rsidRDefault="005477C5" w:rsidP="005477C5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5477C5" w:rsidRDefault="005477C5" w:rsidP="005477C5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5477C5" w:rsidRDefault="005477C5" w:rsidP="005477C5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5477C5" w:rsidRDefault="005477C5" w:rsidP="005477C5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5477C5" w:rsidRDefault="005477C5" w:rsidP="005477C5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184A39" w:rsidRPr="00331B63" w:rsidRDefault="00184A39" w:rsidP="005477C5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</w:pPr>
      <w:bookmarkStart w:id="0" w:name="_GoBack"/>
      <w:bookmarkEnd w:id="0"/>
      <w:r w:rsidRPr="00184A3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المرفق رقم</w:t>
      </w:r>
      <w:r w:rsidR="006D3AE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٦</w:t>
      </w:r>
    </w:p>
    <w:p w:rsidR="00184A39" w:rsidRDefault="00184A39" w:rsidP="00184A39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5477C5" w:rsidRPr="00184A39" w:rsidRDefault="005477C5" w:rsidP="005477C5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660F4C" w:rsidRDefault="00184A39" w:rsidP="00184A39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184A3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لائحة بالدورات التدريبية التي نظم</w:t>
      </w:r>
      <w:r w:rsidR="00660F4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ت</w:t>
      </w:r>
      <w:r w:rsidRPr="00184A3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ها وزارة الشؤون الاجتماعية </w:t>
      </w:r>
    </w:p>
    <w:p w:rsidR="005477C5" w:rsidRPr="00184A39" w:rsidRDefault="00184A39" w:rsidP="00660F4C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184A3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لتعزيز قدرات العاملين الاجتماعيين </w:t>
      </w:r>
    </w:p>
    <w:p w:rsidR="00184A39" w:rsidRDefault="00184A39" w:rsidP="00184A39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184A3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حول</w:t>
      </w:r>
      <w:r w:rsidR="00660F4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مواضيع </w:t>
      </w:r>
      <w:r w:rsidRPr="00184A3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حقوق الانسان</w:t>
      </w:r>
    </w:p>
    <w:p w:rsidR="00BA37D7" w:rsidRDefault="00BA37D7" w:rsidP="00BA37D7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5477C5" w:rsidRDefault="005477C5" w:rsidP="005477C5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885"/>
        <w:gridCol w:w="5490"/>
        <w:gridCol w:w="1710"/>
      </w:tblGrid>
      <w:tr w:rsidR="00BA37D7" w:rsidTr="00BA37D7">
        <w:tc>
          <w:tcPr>
            <w:tcW w:w="1885" w:type="dxa"/>
          </w:tcPr>
          <w:p w:rsidR="00BA37D7" w:rsidRPr="00BA37D7" w:rsidRDefault="00BA37D7" w:rsidP="00BA37D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BA37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عدد العاملين الاجتماعيين المستفيدين</w:t>
            </w:r>
            <w:r w:rsidR="00CF624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 xml:space="preserve"> من الدورة</w:t>
            </w:r>
          </w:p>
        </w:tc>
        <w:tc>
          <w:tcPr>
            <w:tcW w:w="5490" w:type="dxa"/>
          </w:tcPr>
          <w:p w:rsidR="00BA37D7" w:rsidRPr="00BA37D7" w:rsidRDefault="00BA37D7" w:rsidP="00BA37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BA37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 xml:space="preserve">موضوع الدورة </w:t>
            </w:r>
          </w:p>
        </w:tc>
        <w:tc>
          <w:tcPr>
            <w:tcW w:w="1710" w:type="dxa"/>
          </w:tcPr>
          <w:p w:rsidR="00BA37D7" w:rsidRPr="00BA37D7" w:rsidRDefault="00BA37D7" w:rsidP="00BA37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 w:rsidRPr="00BA37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ال</w:t>
            </w:r>
            <w:r w:rsidR="00CF624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أعوام</w:t>
            </w:r>
          </w:p>
        </w:tc>
      </w:tr>
      <w:tr w:rsidR="00BA37D7" w:rsidTr="00BA37D7">
        <w:tc>
          <w:tcPr>
            <w:tcW w:w="1885" w:type="dxa"/>
          </w:tcPr>
          <w:p w:rsidR="00BA37D7" w:rsidRPr="00BA37D7" w:rsidRDefault="00BA37D7" w:rsidP="00BA37D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BA37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٧٠</w:t>
            </w:r>
          </w:p>
        </w:tc>
        <w:tc>
          <w:tcPr>
            <w:tcW w:w="5490" w:type="dxa"/>
          </w:tcPr>
          <w:p w:rsidR="00BA37D7" w:rsidRPr="00BA37D7" w:rsidRDefault="00BA37D7" w:rsidP="00BA37D7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BA37D7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مناهضة العنف القائم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 xml:space="preserve"> على النوع الاجتماعي، ولا سيما العنف الأسري</w:t>
            </w:r>
            <w:r w:rsidRPr="00BA37D7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:rsidR="00BA37D7" w:rsidRPr="00BA37D7" w:rsidRDefault="00BA37D7" w:rsidP="00BA37D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٢٠١٦</w:t>
            </w:r>
          </w:p>
        </w:tc>
      </w:tr>
      <w:tr w:rsidR="00BA37D7" w:rsidTr="00BA37D7">
        <w:tc>
          <w:tcPr>
            <w:tcW w:w="1885" w:type="dxa"/>
          </w:tcPr>
          <w:p w:rsidR="00BA37D7" w:rsidRPr="00BA37D7" w:rsidRDefault="00BA37D7" w:rsidP="00BA37D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BA37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٣٠</w:t>
            </w:r>
          </w:p>
        </w:tc>
        <w:tc>
          <w:tcPr>
            <w:tcW w:w="5490" w:type="dxa"/>
          </w:tcPr>
          <w:p w:rsidR="00BA37D7" w:rsidRPr="00BA37D7" w:rsidRDefault="00BA37D7" w:rsidP="00BA37D7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مواكبة النساء الناجيات من العنف والتدّخل معهن عند التقدّم بشكوى قضائية</w:t>
            </w:r>
          </w:p>
        </w:tc>
        <w:tc>
          <w:tcPr>
            <w:tcW w:w="1710" w:type="dxa"/>
          </w:tcPr>
          <w:p w:rsidR="00BA37D7" w:rsidRDefault="00BA37D7" w:rsidP="00BA37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٢٠١٧</w:t>
            </w:r>
          </w:p>
        </w:tc>
      </w:tr>
      <w:tr w:rsidR="00BA37D7" w:rsidTr="00BA37D7">
        <w:tc>
          <w:tcPr>
            <w:tcW w:w="1885" w:type="dxa"/>
          </w:tcPr>
          <w:p w:rsidR="00BA37D7" w:rsidRPr="00BA37D7" w:rsidRDefault="00BA37D7" w:rsidP="00BA37D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BA37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٦٠</w:t>
            </w:r>
          </w:p>
        </w:tc>
        <w:tc>
          <w:tcPr>
            <w:tcW w:w="5490" w:type="dxa"/>
          </w:tcPr>
          <w:p w:rsidR="00CF624E" w:rsidRDefault="00BA37D7" w:rsidP="00BA37D7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تقنيات ومهارات وإدارة حالات الأطفال المعرّضين للخطر</w:t>
            </w:r>
          </w:p>
          <w:p w:rsidR="00BA37D7" w:rsidRPr="00BA37D7" w:rsidRDefault="00BA37D7" w:rsidP="00CF624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:rsidR="00BA37D7" w:rsidRDefault="00BA37D7" w:rsidP="00BA37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٢٠١٨</w:t>
            </w:r>
          </w:p>
        </w:tc>
      </w:tr>
      <w:tr w:rsidR="00BA37D7" w:rsidTr="00BA37D7">
        <w:tc>
          <w:tcPr>
            <w:tcW w:w="1885" w:type="dxa"/>
          </w:tcPr>
          <w:p w:rsidR="00BA37D7" w:rsidRPr="00BA37D7" w:rsidRDefault="00BA37D7" w:rsidP="00BA37D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BA37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٦٠</w:t>
            </w:r>
          </w:p>
        </w:tc>
        <w:tc>
          <w:tcPr>
            <w:tcW w:w="5490" w:type="dxa"/>
          </w:tcPr>
          <w:p w:rsidR="00BA37D7" w:rsidRDefault="00BA37D7" w:rsidP="00BA37D7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المفاهيم والمبادئ العامة للجودة في مؤسسات كبار السنّ</w:t>
            </w:r>
          </w:p>
          <w:p w:rsidR="00CF624E" w:rsidRPr="00BA37D7" w:rsidRDefault="00CF624E" w:rsidP="00CF624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:rsidR="00BA37D7" w:rsidRDefault="00BA37D7" w:rsidP="00BA37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٢٠١٨</w:t>
            </w:r>
          </w:p>
        </w:tc>
      </w:tr>
      <w:tr w:rsidR="00BA37D7" w:rsidTr="00BA37D7">
        <w:tc>
          <w:tcPr>
            <w:tcW w:w="1885" w:type="dxa"/>
          </w:tcPr>
          <w:p w:rsidR="005477C5" w:rsidRDefault="005477C5" w:rsidP="00BA37D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 w:rsidRPr="005477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 xml:space="preserve">١١٨ </w:t>
            </w:r>
          </w:p>
          <w:p w:rsidR="005477C5" w:rsidRDefault="005477C5" w:rsidP="00BA37D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 w:rsidRPr="005477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 xml:space="preserve">موّظف </w:t>
            </w:r>
          </w:p>
          <w:p w:rsidR="00BA37D7" w:rsidRPr="005477C5" w:rsidRDefault="005477C5" w:rsidP="00BA37D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477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إداري وفنّي</w:t>
            </w:r>
          </w:p>
        </w:tc>
        <w:tc>
          <w:tcPr>
            <w:tcW w:w="5490" w:type="dxa"/>
          </w:tcPr>
          <w:p w:rsidR="00BA37D7" w:rsidRPr="00BA37D7" w:rsidRDefault="00BA37D7" w:rsidP="00BA37D7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 xml:space="preserve">مفاهيم النوع الاجتماعي وكيفية </w:t>
            </w:r>
            <w:r w:rsidR="005477C5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إدماج هذه المفاهيم في السياسات والأنشطة والبرامج</w:t>
            </w:r>
          </w:p>
        </w:tc>
        <w:tc>
          <w:tcPr>
            <w:tcW w:w="1710" w:type="dxa"/>
          </w:tcPr>
          <w:p w:rsidR="00BA37D7" w:rsidRDefault="00BA37D7" w:rsidP="00BA37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٢٠١٨-٢٠١٩</w:t>
            </w:r>
          </w:p>
        </w:tc>
      </w:tr>
    </w:tbl>
    <w:p w:rsidR="00BA37D7" w:rsidRDefault="00BA37D7" w:rsidP="00BA37D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</w:pPr>
    </w:p>
    <w:p w:rsidR="005477C5" w:rsidRPr="00BA37D7" w:rsidRDefault="005477C5" w:rsidP="00BA37D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184A39" w:rsidRPr="005477C5" w:rsidRDefault="005477C5" w:rsidP="005477C5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477C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تجدر الإشارة إلى أن معظم العاملين في وزارة الشؤون الاجتماعية، ولا سيّما </w:t>
      </w:r>
      <w:r w:rsidR="00CF624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من همّ </w:t>
      </w:r>
      <w:r w:rsidRPr="005477C5">
        <w:rPr>
          <w:rFonts w:asciiTheme="majorBidi" w:hAnsiTheme="majorBidi" w:cstheme="majorBidi" w:hint="cs"/>
          <w:b/>
          <w:bCs/>
          <w:sz w:val="28"/>
          <w:szCs w:val="28"/>
          <w:rtl/>
        </w:rPr>
        <w:t>في مراكز الخدمات الإنمائية</w:t>
      </w:r>
      <w:r w:rsidR="007D1E8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الموّزعة في كافة المناطق اللبنانية،</w:t>
      </w:r>
      <w:r w:rsidRPr="005477C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يخضعون لدورات تدريبية مكثفّة في مختلف مجالات العمل الاجتماعي والإنساني، بالشراكة مع هيئات المجتمع المدني</w:t>
      </w:r>
      <w:r w:rsidR="00CF624E">
        <w:rPr>
          <w:rFonts w:asciiTheme="majorBidi" w:hAnsiTheme="majorBidi" w:cstheme="majorBidi" w:hint="cs"/>
          <w:b/>
          <w:bCs/>
          <w:sz w:val="28"/>
          <w:szCs w:val="28"/>
          <w:rtl/>
        </w:rPr>
        <w:t>،</w:t>
      </w:r>
      <w:r w:rsidRPr="005477C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</w:t>
      </w:r>
      <w:r w:rsidR="00CF624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مع </w:t>
      </w:r>
      <w:r w:rsidRPr="005477C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المنظمات الدولية العاملة في لبنان. </w:t>
      </w:r>
    </w:p>
    <w:p w:rsidR="00184A39" w:rsidRPr="005477C5" w:rsidRDefault="00184A39" w:rsidP="00184A39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sectPr w:rsidR="00184A39" w:rsidRPr="005477C5" w:rsidSect="006151CA">
      <w:footerReference w:type="even" r:id="rId6"/>
      <w:footerReference w:type="default" r:id="rId7"/>
      <w:pgSz w:w="11900" w:h="16840"/>
      <w:pgMar w:top="1417" w:right="1417" w:bottom="1417" w:left="1417" w:header="720" w:footer="720" w:gutter="0"/>
      <w:pgNumType w:start="4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A4D" w:rsidRDefault="00F91A4D" w:rsidP="006D3AE6">
      <w:r>
        <w:separator/>
      </w:r>
    </w:p>
  </w:endnote>
  <w:endnote w:type="continuationSeparator" w:id="0">
    <w:p w:rsidR="00F91A4D" w:rsidRDefault="00F91A4D" w:rsidP="006D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266213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D3AE6" w:rsidRDefault="006D3AE6" w:rsidP="006151C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D3AE6" w:rsidRDefault="006D3A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083443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51CA" w:rsidRDefault="006151CA" w:rsidP="001C4EA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75F83">
          <w:rPr>
            <w:rStyle w:val="PageNumber"/>
            <w:noProof/>
          </w:rPr>
          <w:t>49</w:t>
        </w:r>
        <w:r>
          <w:rPr>
            <w:rStyle w:val="PageNumber"/>
          </w:rPr>
          <w:fldChar w:fldCharType="end"/>
        </w:r>
      </w:p>
    </w:sdtContent>
  </w:sdt>
  <w:p w:rsidR="006D3AE6" w:rsidRDefault="006D3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A4D" w:rsidRDefault="00F91A4D" w:rsidP="006D3AE6">
      <w:r>
        <w:separator/>
      </w:r>
    </w:p>
  </w:footnote>
  <w:footnote w:type="continuationSeparator" w:id="0">
    <w:p w:rsidR="00F91A4D" w:rsidRDefault="00F91A4D" w:rsidP="006D3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39"/>
    <w:rsid w:val="00075F83"/>
    <w:rsid w:val="00184A39"/>
    <w:rsid w:val="00331B63"/>
    <w:rsid w:val="004E1DBB"/>
    <w:rsid w:val="005477C5"/>
    <w:rsid w:val="006151CA"/>
    <w:rsid w:val="00660F4C"/>
    <w:rsid w:val="006D3AE6"/>
    <w:rsid w:val="007D1E8E"/>
    <w:rsid w:val="00AF723D"/>
    <w:rsid w:val="00BA37D7"/>
    <w:rsid w:val="00CF624E"/>
    <w:rsid w:val="00F9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09F64-624A-464D-8E95-39F14487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D3A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AE6"/>
  </w:style>
  <w:style w:type="character" w:styleId="PageNumber">
    <w:name w:val="page number"/>
    <w:basedOn w:val="DefaultParagraphFont"/>
    <w:uiPriority w:val="99"/>
    <w:semiHidden/>
    <w:unhideWhenUsed/>
    <w:rsid w:val="006D3AE6"/>
  </w:style>
  <w:style w:type="paragraph" w:styleId="Header">
    <w:name w:val="header"/>
    <w:basedOn w:val="Normal"/>
    <w:link w:val="HeaderChar"/>
    <w:uiPriority w:val="99"/>
    <w:unhideWhenUsed/>
    <w:rsid w:val="006151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B03E35-0E7D-4E27-BB14-C247E5CAAFE4}"/>
</file>

<file path=customXml/itemProps2.xml><?xml version="1.0" encoding="utf-8"?>
<ds:datastoreItem xmlns:ds="http://schemas.openxmlformats.org/officeDocument/2006/customXml" ds:itemID="{15126B57-9F98-46D7-9574-E17993E9816A}"/>
</file>

<file path=customXml/itemProps3.xml><?xml version="1.0" encoding="utf-8"?>
<ds:datastoreItem xmlns:ds="http://schemas.openxmlformats.org/officeDocument/2006/customXml" ds:itemID="{CCC0993F-543A-4C73-B0DC-BF8F16CF59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El Khoury</dc:creator>
  <cp:keywords/>
  <dc:description/>
  <cp:lastModifiedBy>IHARA Sumiko</cp:lastModifiedBy>
  <cp:revision>2</cp:revision>
  <cp:lastPrinted>2020-10-08T15:03:00Z</cp:lastPrinted>
  <dcterms:created xsi:type="dcterms:W3CDTF">2020-12-18T08:43:00Z</dcterms:created>
  <dcterms:modified xsi:type="dcterms:W3CDTF">2020-12-18T08:43:00Z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1502400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