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BF8D8" w14:textId="19AE5FAC" w:rsidR="00816067" w:rsidRPr="003A6023" w:rsidRDefault="00EB6272" w:rsidP="00816067">
      <w:pPr>
        <w:pStyle w:val="Textonotaalfinal"/>
        <w:jc w:val="both"/>
        <w:rPr>
          <w:lang w:val="en-GB"/>
        </w:rPr>
      </w:pPr>
      <w:r w:rsidRPr="003A6023">
        <w:rPr>
          <w:rStyle w:val="Refdenotaalfinal"/>
          <w:lang w:val="en-GB"/>
        </w:rPr>
        <w:footnoteRef/>
      </w:r>
      <w:r w:rsidR="004F2531">
        <w:t xml:space="preserve"> </w:t>
      </w:r>
      <w:hyperlink r:id="rId6" w:history="1">
        <w:r w:rsidR="004F2531" w:rsidRPr="001E12E2">
          <w:rPr>
            <w:rStyle w:val="Hipervnculo"/>
            <w:lang w:val="en-GB"/>
          </w:rPr>
          <w:t>https://lib.ohchr.org/HRBodies/UPR/Documents/Session21/ES/Report2ndCycle.PDF</w:t>
        </w:r>
      </w:hyperlink>
      <w:r w:rsidR="00816067" w:rsidRPr="003A6023">
        <w:rPr>
          <w:lang w:val="en-GB"/>
        </w:rPr>
        <w:t xml:space="preserve">  </w:t>
      </w:r>
    </w:p>
    <w:p w14:paraId="71563661" w14:textId="4C8B8747" w:rsidR="00816067" w:rsidRPr="003A6023" w:rsidRDefault="00B36837" w:rsidP="00816067">
      <w:pPr>
        <w:pStyle w:val="Textonotaalfinal"/>
        <w:jc w:val="both"/>
        <w:rPr>
          <w:lang w:val="en-GB"/>
        </w:rPr>
      </w:pPr>
      <w:r>
        <w:rPr>
          <w:rStyle w:val="Refdenotaalfinal"/>
          <w:lang w:val="en-GB"/>
        </w:rPr>
        <w:t>2</w:t>
      </w:r>
      <w:r w:rsidR="00675740">
        <w:rPr>
          <w:rStyle w:val="Refdenotaalfinal"/>
          <w:lang w:val="en-GB"/>
        </w:rPr>
        <w:t xml:space="preserve"> </w:t>
      </w:r>
      <w:hyperlink r:id="rId7" w:history="1">
        <w:r w:rsidR="004F2531" w:rsidRPr="001E12E2">
          <w:rPr>
            <w:rStyle w:val="Hipervnculo"/>
            <w:lang w:val="en-GB"/>
          </w:rPr>
          <w:t>https://www.ohchr.org/Documents/HRBodies/UPR/3rdCycle_GuidanceNotePreparationReports_EN.docx</w:t>
        </w:r>
      </w:hyperlink>
      <w:r w:rsidR="00816067" w:rsidRPr="003A6023">
        <w:rPr>
          <w:lang w:val="en-GB"/>
        </w:rPr>
        <w:t xml:space="preserve"> </w:t>
      </w:r>
    </w:p>
    <w:p w14:paraId="1371251F" w14:textId="1D663837" w:rsidR="00816067" w:rsidRPr="003A6023" w:rsidRDefault="00B36837" w:rsidP="00816067">
      <w:pPr>
        <w:pStyle w:val="Textonotaalfinal"/>
        <w:jc w:val="both"/>
        <w:rPr>
          <w:lang w:val="en-GB"/>
        </w:rPr>
      </w:pPr>
      <w:r>
        <w:rPr>
          <w:vertAlign w:val="superscript"/>
          <w:lang w:val="en-GB"/>
        </w:rPr>
        <w:t>3</w:t>
      </w:r>
      <w:r w:rsidR="004F2531">
        <w:rPr>
          <w:vertAlign w:val="superscript"/>
          <w:lang w:val="en-GB"/>
        </w:rPr>
        <w:t xml:space="preserve"> </w:t>
      </w:r>
      <w:r w:rsidR="00816067" w:rsidRPr="003A6023">
        <w:rPr>
          <w:lang w:val="en-GB"/>
        </w:rPr>
        <w:t>Regarding the 2030 Agenda see §§170-174 of the report.</w:t>
      </w:r>
    </w:p>
    <w:p w14:paraId="76A9CFBB" w14:textId="1FD18B68" w:rsidR="00816067" w:rsidRPr="003A6023" w:rsidRDefault="00B36837" w:rsidP="00816067">
      <w:pPr>
        <w:pStyle w:val="Textonotaalfinal"/>
        <w:jc w:val="both"/>
        <w:rPr>
          <w:lang w:val="en-GB"/>
        </w:rPr>
      </w:pPr>
      <w:r>
        <w:rPr>
          <w:vertAlign w:val="superscript"/>
          <w:lang w:val="en-GB"/>
        </w:rPr>
        <w:t>4</w:t>
      </w:r>
      <w:r w:rsidR="00816067" w:rsidRPr="003A6023">
        <w:rPr>
          <w:vertAlign w:val="superscript"/>
          <w:lang w:val="en-GB"/>
        </w:rPr>
        <w:t xml:space="preserve"> </w:t>
      </w:r>
      <w:r w:rsidR="00816067" w:rsidRPr="003A6023">
        <w:rPr>
          <w:lang w:val="en-GB"/>
        </w:rPr>
        <w:t>Ministry of the Presidency, Relations with Parliament and Equality; Ministry of Foreign Affairs, the European Union and Cooperation; Ministry of Justice; Ministry of Defence; Ministry of the Treasury</w:t>
      </w:r>
      <w:r w:rsidR="00675740">
        <w:rPr>
          <w:lang w:val="en-GB"/>
        </w:rPr>
        <w:t>;</w:t>
      </w:r>
      <w:r w:rsidR="00816067" w:rsidRPr="003A6023">
        <w:rPr>
          <w:lang w:val="en-GB"/>
        </w:rPr>
        <w:t xml:space="preserve"> Ministry of the Interior; Ministry of Infrastructure; Ministry of Education and Vocational Training; Ministry of Labour, Migration and Social Security; Ministry of Agriculture, Fisheries and Food</w:t>
      </w:r>
      <w:r w:rsidR="00826BC7">
        <w:rPr>
          <w:lang w:val="en-GB"/>
        </w:rPr>
        <w:t>;</w:t>
      </w:r>
      <w:r w:rsidR="00816067" w:rsidRPr="003A6023">
        <w:rPr>
          <w:lang w:val="en-GB"/>
        </w:rPr>
        <w:t xml:space="preserve"> Ministry </w:t>
      </w:r>
      <w:r w:rsidR="00826BC7">
        <w:rPr>
          <w:lang w:val="en-GB"/>
        </w:rPr>
        <w:t>o</w:t>
      </w:r>
      <w:r w:rsidR="00816067" w:rsidRPr="003A6023">
        <w:rPr>
          <w:lang w:val="en-GB"/>
        </w:rPr>
        <w:t>f Ecological Transition; Ministry of Economy and Business; Ministry of Health, Consumer Affairs and Social Welfare</w:t>
      </w:r>
      <w:r w:rsidR="00826BC7">
        <w:rPr>
          <w:lang w:val="en-GB"/>
        </w:rPr>
        <w:t>;</w:t>
      </w:r>
      <w:r w:rsidR="00816067" w:rsidRPr="003A6023">
        <w:rPr>
          <w:lang w:val="en-GB"/>
        </w:rPr>
        <w:t xml:space="preserve"> and Ministry of Science, Innovation and Universities.</w:t>
      </w:r>
    </w:p>
    <w:p w14:paraId="6B931EFC" w14:textId="4D861F87" w:rsidR="00816067" w:rsidRPr="003A6023" w:rsidRDefault="00B36837" w:rsidP="00816067">
      <w:pPr>
        <w:pStyle w:val="Textonotaalfinal"/>
        <w:jc w:val="both"/>
        <w:rPr>
          <w:lang w:val="en-GB"/>
        </w:rPr>
      </w:pPr>
      <w:r>
        <w:rPr>
          <w:vertAlign w:val="superscript"/>
          <w:lang w:val="en-GB"/>
        </w:rPr>
        <w:t>5</w:t>
      </w:r>
      <w:r w:rsidR="00816067" w:rsidRPr="003A6023">
        <w:rPr>
          <w:vertAlign w:val="superscript"/>
          <w:lang w:val="en-GB"/>
        </w:rPr>
        <w:t xml:space="preserve"> </w:t>
      </w:r>
      <w:r w:rsidR="00816067" w:rsidRPr="003A6023">
        <w:rPr>
          <w:lang w:val="en-GB"/>
        </w:rPr>
        <w:t xml:space="preserve">High Commissioner for </w:t>
      </w:r>
      <w:r w:rsidR="00826BC7">
        <w:rPr>
          <w:lang w:val="en-GB"/>
        </w:rPr>
        <w:t xml:space="preserve">Combatting </w:t>
      </w:r>
      <w:r w:rsidR="00816067" w:rsidRPr="003A6023">
        <w:rPr>
          <w:lang w:val="en-GB"/>
        </w:rPr>
        <w:t>Child Poverty</w:t>
      </w:r>
      <w:r w:rsidR="00826BC7">
        <w:rPr>
          <w:lang w:val="en-GB"/>
        </w:rPr>
        <w:t>;</w:t>
      </w:r>
      <w:r w:rsidR="00816067" w:rsidRPr="003A6023">
        <w:rPr>
          <w:lang w:val="en-GB"/>
        </w:rPr>
        <w:t xml:space="preserve"> and High Commissioner for the 2030 Agenda.</w:t>
      </w:r>
    </w:p>
    <w:p w14:paraId="061892AD" w14:textId="5A94BB3A" w:rsidR="00816067" w:rsidRPr="003A6023" w:rsidRDefault="00B36837" w:rsidP="00816067">
      <w:pPr>
        <w:pStyle w:val="Textonotaalfinal"/>
        <w:jc w:val="both"/>
        <w:rPr>
          <w:lang w:val="en-GB"/>
        </w:rPr>
      </w:pPr>
      <w:r>
        <w:rPr>
          <w:vertAlign w:val="superscript"/>
          <w:lang w:val="en-GB"/>
        </w:rPr>
        <w:t>6</w:t>
      </w:r>
      <w:r w:rsidR="00816067" w:rsidRPr="003A6023">
        <w:rPr>
          <w:vertAlign w:val="superscript"/>
          <w:lang w:val="en-GB"/>
        </w:rPr>
        <w:t xml:space="preserve"> </w:t>
      </w:r>
      <w:r w:rsidR="009072DC">
        <w:rPr>
          <w:lang w:val="en-GB"/>
        </w:rPr>
        <w:t>Technical Secretariat-</w:t>
      </w:r>
      <w:r w:rsidR="009072DC" w:rsidRPr="003A6023">
        <w:rPr>
          <w:lang w:val="en-GB"/>
        </w:rPr>
        <w:t xml:space="preserve">General </w:t>
      </w:r>
      <w:r w:rsidR="00816067" w:rsidRPr="003A6023">
        <w:rPr>
          <w:lang w:val="en-GB"/>
        </w:rPr>
        <w:t>of the General State Prosecution Service.</w:t>
      </w:r>
    </w:p>
    <w:p w14:paraId="77BFA453" w14:textId="556E8D93" w:rsidR="00816067" w:rsidRPr="003A6023" w:rsidRDefault="00B36837" w:rsidP="00816067">
      <w:pPr>
        <w:pStyle w:val="Textonotaalfinal"/>
        <w:jc w:val="both"/>
        <w:rPr>
          <w:lang w:val="en-GB"/>
        </w:rPr>
      </w:pPr>
      <w:r>
        <w:rPr>
          <w:vertAlign w:val="superscript"/>
          <w:lang w:val="en-GB"/>
        </w:rPr>
        <w:t>7</w:t>
      </w:r>
      <w:r w:rsidR="00816067" w:rsidRPr="003A6023">
        <w:rPr>
          <w:vertAlign w:val="superscript"/>
          <w:lang w:val="en-GB"/>
        </w:rPr>
        <w:t xml:space="preserve"> </w:t>
      </w:r>
      <w:r w:rsidR="00816067" w:rsidRPr="003A6023">
        <w:rPr>
          <w:lang w:val="en-GB"/>
        </w:rPr>
        <w:t>In Spain, the NHRI is the Ombudsperson’s Office.</w:t>
      </w:r>
    </w:p>
    <w:p w14:paraId="0E100E2C" w14:textId="6EB1888D" w:rsidR="00816067" w:rsidRPr="003A6023" w:rsidRDefault="00B36837" w:rsidP="00816067">
      <w:pPr>
        <w:pStyle w:val="Textonotaalfinal"/>
        <w:jc w:val="both"/>
        <w:rPr>
          <w:lang w:val="en-GB"/>
        </w:rPr>
      </w:pPr>
      <w:r>
        <w:rPr>
          <w:rStyle w:val="Refdenotaalfinal"/>
          <w:lang w:val="en-GB"/>
        </w:rPr>
        <w:t>8</w:t>
      </w:r>
      <w:r w:rsidR="004F2531">
        <w:rPr>
          <w:lang w:val="en-GB"/>
        </w:rPr>
        <w:t xml:space="preserve"> </w:t>
      </w:r>
      <w:hyperlink r:id="rId8" w:history="1">
        <w:r w:rsidR="004F2531" w:rsidRPr="001E12E2">
          <w:rPr>
            <w:rStyle w:val="Hipervnculo"/>
            <w:lang w:val="en-GB"/>
          </w:rPr>
          <w:t>http://www.exteriores.gob.es/Portal/es/PoliticaExteriorCooperacion/DerechosHumanos/Paginas/Examen-Peri%C3%B3dico-Universal.aspx</w:t>
        </w:r>
      </w:hyperlink>
      <w:r w:rsidR="00816067" w:rsidRPr="003A6023">
        <w:rPr>
          <w:lang w:val="en-GB"/>
        </w:rPr>
        <w:t xml:space="preserve">  </w:t>
      </w:r>
    </w:p>
    <w:p w14:paraId="18FC77F1" w14:textId="68F5890D" w:rsidR="00816067" w:rsidRPr="003A6023" w:rsidRDefault="00B36837" w:rsidP="00816067">
      <w:pPr>
        <w:pStyle w:val="Textonotaalfinal"/>
        <w:jc w:val="both"/>
        <w:rPr>
          <w:lang w:val="en-GB"/>
        </w:rPr>
      </w:pPr>
      <w:r>
        <w:rPr>
          <w:vertAlign w:val="superscript"/>
          <w:lang w:val="en-GB"/>
        </w:rPr>
        <w:t>9</w:t>
      </w:r>
      <w:r w:rsidR="00816067" w:rsidRPr="003A6023">
        <w:rPr>
          <w:vertAlign w:val="superscript"/>
          <w:lang w:val="en-GB"/>
        </w:rPr>
        <w:t xml:space="preserve"> </w:t>
      </w:r>
      <w:r w:rsidR="00816067" w:rsidRPr="003A6023">
        <w:rPr>
          <w:lang w:val="en-GB" w:eastAsia="en-US"/>
        </w:rPr>
        <w:t xml:space="preserve">In this consultation process, 14 </w:t>
      </w:r>
      <w:r w:rsidR="00826BC7">
        <w:rPr>
          <w:lang w:val="en-GB" w:eastAsia="en-US"/>
        </w:rPr>
        <w:t>submissions</w:t>
      </w:r>
      <w:r w:rsidR="00816067" w:rsidRPr="003A6023">
        <w:rPr>
          <w:lang w:val="en-GB" w:eastAsia="en-US"/>
        </w:rPr>
        <w:t xml:space="preserve"> were received.</w:t>
      </w:r>
    </w:p>
    <w:p w14:paraId="23EBE50D" w14:textId="4D60F316" w:rsidR="00B36837" w:rsidRDefault="00816067" w:rsidP="00816067">
      <w:pPr>
        <w:pStyle w:val="Textonotaalfinal"/>
        <w:jc w:val="both"/>
        <w:rPr>
          <w:lang w:val="en-GB"/>
        </w:rPr>
      </w:pPr>
      <w:r w:rsidRPr="003A6023">
        <w:rPr>
          <w:vertAlign w:val="superscript"/>
          <w:lang w:val="en-GB"/>
        </w:rPr>
        <w:footnoteRef/>
      </w:r>
      <w:r w:rsidR="00B36837">
        <w:rPr>
          <w:vertAlign w:val="superscript"/>
          <w:lang w:val="en-GB"/>
        </w:rPr>
        <w:t>0</w:t>
      </w:r>
      <w:r w:rsidRPr="003A6023">
        <w:rPr>
          <w:vertAlign w:val="superscript"/>
          <w:lang w:val="en-GB"/>
        </w:rPr>
        <w:t xml:space="preserve"> </w:t>
      </w:r>
      <w:r w:rsidR="00EB6272" w:rsidRPr="003A6023">
        <w:rPr>
          <w:lang w:val="en-GB"/>
        </w:rPr>
        <w:t xml:space="preserve">Human Rights Council </w:t>
      </w:r>
      <w:r w:rsidR="00EB6272">
        <w:rPr>
          <w:lang w:val="en-GB"/>
        </w:rPr>
        <w:t>r</w:t>
      </w:r>
      <w:r w:rsidR="008A6646">
        <w:rPr>
          <w:lang w:val="en-GB"/>
        </w:rPr>
        <w:t>esolution 35/29, “</w:t>
      </w:r>
      <w:r w:rsidRPr="003A6023">
        <w:rPr>
          <w:lang w:val="en-GB"/>
        </w:rPr>
        <w:t>Contribution of parliaments to the work of the Human Rights Council and its universal periodic review”, Doc. A/HRC/RES/35/29, of 13 July 2017.</w:t>
      </w:r>
    </w:p>
    <w:p w14:paraId="077F47BA" w14:textId="38D59C13" w:rsidR="00816067" w:rsidRPr="003A6023" w:rsidRDefault="00B36837" w:rsidP="00816067">
      <w:pPr>
        <w:pStyle w:val="Textonotaalfinal"/>
        <w:jc w:val="both"/>
        <w:rPr>
          <w:lang w:val="en-GB"/>
        </w:rPr>
      </w:pPr>
      <w:r w:rsidRPr="00B36837">
        <w:rPr>
          <w:vertAlign w:val="superscript"/>
          <w:lang w:val="en-GB"/>
        </w:rPr>
        <w:t>11</w:t>
      </w:r>
      <w:r w:rsidR="004F2531">
        <w:rPr>
          <w:vertAlign w:val="superscript"/>
          <w:lang w:val="en-GB"/>
        </w:rPr>
        <w:t xml:space="preserve"> </w:t>
      </w:r>
      <w:r w:rsidR="00816067" w:rsidRPr="003A6023">
        <w:rPr>
          <w:lang w:val="en-GB"/>
        </w:rPr>
        <w:t>Report of the O</w:t>
      </w:r>
      <w:r w:rsidR="00EB6272">
        <w:rPr>
          <w:lang w:val="en-GB"/>
        </w:rPr>
        <w:t>HCHR</w:t>
      </w:r>
      <w:r w:rsidR="008A6646">
        <w:rPr>
          <w:lang w:val="en-GB"/>
        </w:rPr>
        <w:t>, “</w:t>
      </w:r>
      <w:r w:rsidR="00816067" w:rsidRPr="003A6023">
        <w:rPr>
          <w:lang w:val="en-GB"/>
        </w:rPr>
        <w:t xml:space="preserve">Contribution of parliaments to the work of the Human Rights Council and its universal periodic review”, Doc. A/HRC/38/25, of 17 May 2018.  </w:t>
      </w:r>
    </w:p>
    <w:p w14:paraId="38EF4FBC" w14:textId="7572232D" w:rsidR="00816067" w:rsidRPr="003A6023" w:rsidRDefault="00816067" w:rsidP="00816067">
      <w:pPr>
        <w:pStyle w:val="Textonotaalfinal"/>
        <w:jc w:val="both"/>
        <w:rPr>
          <w:lang w:val="en-GB"/>
        </w:rPr>
      </w:pPr>
      <w:r w:rsidRPr="003A6023">
        <w:rPr>
          <w:vertAlign w:val="superscript"/>
          <w:lang w:val="en-GB"/>
        </w:rPr>
        <w:footnoteRef/>
      </w:r>
      <w:r w:rsidR="00B36837">
        <w:rPr>
          <w:vertAlign w:val="superscript"/>
          <w:lang w:val="en-GB"/>
        </w:rPr>
        <w:t>2</w:t>
      </w:r>
      <w:r w:rsidR="004F2531">
        <w:rPr>
          <w:vertAlign w:val="superscript"/>
          <w:lang w:val="en-GB"/>
        </w:rPr>
        <w:t xml:space="preserve"> </w:t>
      </w:r>
      <w:r w:rsidRPr="003A6023">
        <w:rPr>
          <w:lang w:val="en-GB"/>
        </w:rPr>
        <w:t xml:space="preserve">In addition to accepted recommendations, this document also </w:t>
      </w:r>
      <w:r w:rsidR="00EB6272">
        <w:rPr>
          <w:lang w:val="en-GB"/>
        </w:rPr>
        <w:t>follows up on</w:t>
      </w:r>
      <w:r w:rsidRPr="003A6023">
        <w:rPr>
          <w:lang w:val="en-GB"/>
        </w:rPr>
        <w:t xml:space="preserve"> noted recommendations on which progress has been made. </w:t>
      </w:r>
    </w:p>
    <w:p w14:paraId="4FD2BCBB" w14:textId="71ECB72C" w:rsidR="00816067" w:rsidRPr="003A6023" w:rsidRDefault="00816067" w:rsidP="00816067">
      <w:pPr>
        <w:pStyle w:val="Textonotaalfinal"/>
        <w:jc w:val="both"/>
        <w:rPr>
          <w:lang w:val="en-GB"/>
        </w:rPr>
      </w:pPr>
      <w:r w:rsidRPr="003A6023">
        <w:rPr>
          <w:vertAlign w:val="superscript"/>
          <w:lang w:val="en-GB"/>
        </w:rPr>
        <w:footnoteRef/>
      </w:r>
      <w:r w:rsidR="00B36837" w:rsidRPr="00B36837">
        <w:rPr>
          <w:vertAlign w:val="superscript"/>
          <w:lang w:val="en-GB"/>
        </w:rPr>
        <w:t>3</w:t>
      </w:r>
      <w:r w:rsidR="004F2531">
        <w:rPr>
          <w:vertAlign w:val="superscript"/>
          <w:lang w:val="en-GB"/>
        </w:rPr>
        <w:t xml:space="preserve"> </w:t>
      </w:r>
      <w:r w:rsidRPr="003A6023">
        <w:rPr>
          <w:lang w:val="en-GB"/>
        </w:rPr>
        <w:t xml:space="preserve">Report of the Working Group on the Universal Periodic Review – Spain, A/HRC/29/8 </w:t>
      </w:r>
      <w:r w:rsidR="00F027F9">
        <w:rPr>
          <w:lang w:val="en-GB"/>
        </w:rPr>
        <w:t>and</w:t>
      </w:r>
      <w:r w:rsidRPr="003A6023">
        <w:rPr>
          <w:lang w:val="en-GB"/>
        </w:rPr>
        <w:t xml:space="preserve"> A/HRC/29/8/Add.1.</w:t>
      </w:r>
    </w:p>
    <w:p w14:paraId="629F3F2D" w14:textId="00DE44E5" w:rsidR="00816067" w:rsidRPr="003A6023" w:rsidRDefault="00816067" w:rsidP="00816067">
      <w:pPr>
        <w:pStyle w:val="Textonotaalfinal"/>
        <w:jc w:val="both"/>
        <w:rPr>
          <w:lang w:val="en-GB"/>
        </w:rPr>
      </w:pPr>
      <w:r w:rsidRPr="003A6023">
        <w:rPr>
          <w:vertAlign w:val="superscript"/>
          <w:lang w:val="en-GB"/>
        </w:rPr>
        <w:footnoteRef/>
      </w:r>
      <w:r w:rsidR="00B36837">
        <w:rPr>
          <w:vertAlign w:val="superscript"/>
          <w:lang w:val="en-GB"/>
        </w:rPr>
        <w:t>4</w:t>
      </w:r>
      <w:r w:rsidRPr="003A6023">
        <w:rPr>
          <w:vertAlign w:val="superscript"/>
          <w:lang w:val="en-GB"/>
        </w:rPr>
        <w:t xml:space="preserve"> </w:t>
      </w:r>
      <w:r w:rsidRPr="003A6023">
        <w:rPr>
          <w:lang w:val="en-GB"/>
        </w:rPr>
        <w:t>UPR recommendations 131.1 (noted), 131.2 (noted), 131.3 (noted), 131.4 (noted), 131.5 (noted), 131.6 (noted), 131.7 (noted), 131.8 (noted) and 131.9 (noted).</w:t>
      </w:r>
    </w:p>
    <w:p w14:paraId="12479B1C" w14:textId="6A05A8B5" w:rsidR="00816067" w:rsidRPr="003A6023" w:rsidRDefault="00816067" w:rsidP="00816067">
      <w:pPr>
        <w:pStyle w:val="Textonotaalfinal"/>
        <w:jc w:val="both"/>
        <w:rPr>
          <w:lang w:val="en-GB"/>
        </w:rPr>
      </w:pPr>
      <w:r w:rsidRPr="003A6023">
        <w:rPr>
          <w:vertAlign w:val="superscript"/>
          <w:lang w:val="en-GB"/>
        </w:rPr>
        <w:footnoteRef/>
      </w:r>
      <w:r w:rsidR="00B36837">
        <w:rPr>
          <w:vertAlign w:val="superscript"/>
          <w:lang w:val="en-GB"/>
        </w:rPr>
        <w:t>5</w:t>
      </w:r>
      <w:r w:rsidRPr="003A6023">
        <w:rPr>
          <w:vertAlign w:val="superscript"/>
          <w:lang w:val="en-GB"/>
        </w:rPr>
        <w:t xml:space="preserve"> </w:t>
      </w:r>
      <w:r w:rsidRPr="003A6023">
        <w:rPr>
          <w:lang w:val="en-GB"/>
        </w:rPr>
        <w:t xml:space="preserve">UPR recommendations 131.13, 131.22, 131.23 and 131.24. </w:t>
      </w:r>
    </w:p>
    <w:p w14:paraId="60163B04" w14:textId="726D27B4" w:rsidR="00816067" w:rsidRPr="003A6023" w:rsidRDefault="00816067" w:rsidP="00816067">
      <w:pPr>
        <w:pStyle w:val="Textonotaalfinal"/>
        <w:jc w:val="both"/>
        <w:rPr>
          <w:lang w:val="en-GB"/>
        </w:rPr>
      </w:pPr>
      <w:r w:rsidRPr="003A6023">
        <w:rPr>
          <w:vertAlign w:val="superscript"/>
          <w:lang w:val="en-GB"/>
        </w:rPr>
        <w:footnoteRef/>
      </w:r>
      <w:r w:rsidR="00B36837">
        <w:rPr>
          <w:vertAlign w:val="superscript"/>
          <w:lang w:val="en-GB"/>
        </w:rPr>
        <w:t>6</w:t>
      </w:r>
      <w:r w:rsidRPr="003A6023">
        <w:rPr>
          <w:vertAlign w:val="superscript"/>
          <w:lang w:val="en-GB"/>
        </w:rPr>
        <w:t xml:space="preserve"> </w:t>
      </w:r>
      <w:r w:rsidRPr="003A6023">
        <w:rPr>
          <w:lang w:val="en-GB" w:eastAsia="en-US"/>
        </w:rPr>
        <w:t xml:space="preserve">In 2014 Spain presented its </w:t>
      </w:r>
      <w:r w:rsidR="00EB6272">
        <w:rPr>
          <w:lang w:val="en-GB" w:eastAsia="en-US"/>
        </w:rPr>
        <w:t>combined 21</w:t>
      </w:r>
      <w:r w:rsidR="00EB6272" w:rsidRPr="00EB6272">
        <w:rPr>
          <w:vertAlign w:val="superscript"/>
          <w:lang w:val="en-GB" w:eastAsia="en-US"/>
        </w:rPr>
        <w:t>st</w:t>
      </w:r>
      <w:r w:rsidR="00EB6272">
        <w:rPr>
          <w:lang w:val="en-GB" w:eastAsia="en-US"/>
        </w:rPr>
        <w:t>-23</w:t>
      </w:r>
      <w:r w:rsidR="00EB6272" w:rsidRPr="00EB6272">
        <w:rPr>
          <w:vertAlign w:val="superscript"/>
          <w:lang w:val="en-GB" w:eastAsia="en-US"/>
        </w:rPr>
        <w:t>rd</w:t>
      </w:r>
      <w:r w:rsidR="00EB6272">
        <w:rPr>
          <w:lang w:val="en-GB" w:eastAsia="en-US"/>
        </w:rPr>
        <w:t xml:space="preserve"> </w:t>
      </w:r>
      <w:r w:rsidRPr="003A6023">
        <w:rPr>
          <w:lang w:val="en-GB" w:eastAsia="en-US"/>
        </w:rPr>
        <w:t xml:space="preserve">Report to the Committee on the Elimination of Racial Discrimination. </w:t>
      </w:r>
      <w:r w:rsidRPr="003A6023">
        <w:rPr>
          <w:lang w:val="en-GB"/>
        </w:rPr>
        <w:t>This rep</w:t>
      </w:r>
      <w:r w:rsidR="00B36837">
        <w:rPr>
          <w:lang w:val="en-GB"/>
        </w:rPr>
        <w:t>ort</w:t>
      </w:r>
      <w:r w:rsidRPr="003A6023">
        <w:rPr>
          <w:lang w:val="en-GB"/>
        </w:rPr>
        <w:t>, although prior to 2015, provides a response to recommendation 131.23.</w:t>
      </w:r>
    </w:p>
    <w:p w14:paraId="4FE2EAFC" w14:textId="45EDE90A" w:rsidR="00816067" w:rsidRPr="003A6023" w:rsidRDefault="00816067" w:rsidP="00816067">
      <w:pPr>
        <w:pStyle w:val="Textonotaalfinal"/>
        <w:jc w:val="both"/>
        <w:rPr>
          <w:lang w:val="en-GB"/>
        </w:rPr>
      </w:pPr>
      <w:r w:rsidRPr="003A6023">
        <w:rPr>
          <w:vertAlign w:val="superscript"/>
          <w:lang w:val="en-GB"/>
        </w:rPr>
        <w:footnoteRef/>
      </w:r>
      <w:r w:rsidR="00B36837">
        <w:rPr>
          <w:vertAlign w:val="superscript"/>
          <w:lang w:val="en-GB"/>
        </w:rPr>
        <w:t>7</w:t>
      </w:r>
      <w:r w:rsidRPr="003A6023">
        <w:rPr>
          <w:vertAlign w:val="superscript"/>
          <w:lang w:val="en-GB"/>
        </w:rPr>
        <w:t xml:space="preserve"> </w:t>
      </w:r>
      <w:r w:rsidR="00B36837">
        <w:rPr>
          <w:lang w:val="en-GB" w:eastAsia="en-US"/>
        </w:rPr>
        <w:t>Combined 5</w:t>
      </w:r>
      <w:r w:rsidR="00B36837" w:rsidRPr="00B36837">
        <w:rPr>
          <w:vertAlign w:val="superscript"/>
          <w:lang w:val="en-GB" w:eastAsia="en-US"/>
        </w:rPr>
        <w:t>th</w:t>
      </w:r>
      <w:r w:rsidR="00B36837">
        <w:rPr>
          <w:vertAlign w:val="superscript"/>
          <w:lang w:val="en-GB" w:eastAsia="en-US"/>
        </w:rPr>
        <w:t>-</w:t>
      </w:r>
      <w:r w:rsidR="00B36837" w:rsidRPr="00B36837">
        <w:rPr>
          <w:lang w:val="en-GB" w:eastAsia="en-US"/>
        </w:rPr>
        <w:t>6</w:t>
      </w:r>
      <w:r w:rsidR="00B36837">
        <w:rPr>
          <w:vertAlign w:val="superscript"/>
          <w:lang w:val="en-GB" w:eastAsia="en-US"/>
        </w:rPr>
        <w:t>th</w:t>
      </w:r>
      <w:r w:rsidR="00B36837">
        <w:rPr>
          <w:lang w:val="en-GB" w:eastAsia="en-US"/>
        </w:rPr>
        <w:t xml:space="preserve">  R</w:t>
      </w:r>
      <w:r w:rsidRPr="003A6023">
        <w:rPr>
          <w:lang w:val="en-GB" w:eastAsia="en-US"/>
        </w:rPr>
        <w:t>eport to the Committee on the Rights of the Child (CRC) (2016)</w:t>
      </w:r>
      <w:r w:rsidR="00B36837">
        <w:rPr>
          <w:lang w:val="en-GB" w:eastAsia="en-US"/>
        </w:rPr>
        <w:t>;</w:t>
      </w:r>
      <w:r w:rsidRPr="003A6023">
        <w:rPr>
          <w:lang w:val="en-GB" w:eastAsia="en-US"/>
        </w:rPr>
        <w:t xml:space="preserve"> </w:t>
      </w:r>
      <w:r w:rsidR="00B36837">
        <w:rPr>
          <w:lang w:val="en-GB" w:eastAsia="en-US"/>
        </w:rPr>
        <w:t>6</w:t>
      </w:r>
      <w:r w:rsidR="00B36837" w:rsidRPr="00B36837">
        <w:rPr>
          <w:vertAlign w:val="superscript"/>
          <w:lang w:val="en-GB" w:eastAsia="en-US"/>
        </w:rPr>
        <w:t>th</w:t>
      </w:r>
      <w:r w:rsidR="00B36837">
        <w:rPr>
          <w:lang w:val="en-GB" w:eastAsia="en-US"/>
        </w:rPr>
        <w:t xml:space="preserve"> </w:t>
      </w:r>
      <w:r w:rsidRPr="003A6023">
        <w:rPr>
          <w:lang w:val="en-GB" w:eastAsia="en-US"/>
        </w:rPr>
        <w:t>Report to the Committee on Economic, Social and Cultural Rights (CESCR) (2017)</w:t>
      </w:r>
      <w:r w:rsidR="00B36837">
        <w:rPr>
          <w:lang w:val="en-GB" w:eastAsia="en-US"/>
        </w:rPr>
        <w:t>;</w:t>
      </w:r>
      <w:r w:rsidRPr="003A6023">
        <w:rPr>
          <w:lang w:val="en-GB" w:eastAsia="en-US"/>
        </w:rPr>
        <w:t xml:space="preserve"> </w:t>
      </w:r>
      <w:r w:rsidR="00B36837">
        <w:rPr>
          <w:lang w:val="en-GB" w:eastAsia="en-US"/>
        </w:rPr>
        <w:t>combined 2</w:t>
      </w:r>
      <w:r w:rsidR="00B36837" w:rsidRPr="00B36837">
        <w:rPr>
          <w:vertAlign w:val="superscript"/>
          <w:lang w:val="en-GB" w:eastAsia="en-US"/>
        </w:rPr>
        <w:t>nd</w:t>
      </w:r>
      <w:r w:rsidR="00B36837">
        <w:rPr>
          <w:vertAlign w:val="superscript"/>
          <w:lang w:val="en-GB" w:eastAsia="en-US"/>
        </w:rPr>
        <w:t>-</w:t>
      </w:r>
      <w:r w:rsidR="00B36837" w:rsidRPr="00B36837">
        <w:rPr>
          <w:lang w:val="en-GB" w:eastAsia="en-US"/>
        </w:rPr>
        <w:t>3</w:t>
      </w:r>
      <w:r w:rsidR="00B36837" w:rsidRPr="00B36837">
        <w:rPr>
          <w:vertAlign w:val="superscript"/>
          <w:lang w:val="en-GB" w:eastAsia="en-US"/>
        </w:rPr>
        <w:t>rd</w:t>
      </w:r>
      <w:r w:rsidR="00B36837">
        <w:rPr>
          <w:lang w:val="en-GB" w:eastAsia="en-US"/>
        </w:rPr>
        <w:t xml:space="preserve"> </w:t>
      </w:r>
      <w:r w:rsidRPr="003A6023">
        <w:rPr>
          <w:lang w:val="en-GB" w:eastAsia="en-US"/>
        </w:rPr>
        <w:t>Report to the Committee on the Rights of Persons with Disabilities (CRPD) (2018)</w:t>
      </w:r>
      <w:r w:rsidR="00B36837">
        <w:rPr>
          <w:lang w:val="en-GB" w:eastAsia="en-US"/>
        </w:rPr>
        <w:t>;</w:t>
      </w:r>
      <w:r w:rsidRPr="003A6023">
        <w:rPr>
          <w:lang w:val="en-GB" w:eastAsia="en-US"/>
        </w:rPr>
        <w:t xml:space="preserve"> and </w:t>
      </w:r>
      <w:r w:rsidR="00B36837">
        <w:rPr>
          <w:lang w:val="en-GB" w:eastAsia="en-US"/>
        </w:rPr>
        <w:t>7</w:t>
      </w:r>
      <w:r w:rsidR="00B36837" w:rsidRPr="00B36837">
        <w:rPr>
          <w:vertAlign w:val="superscript"/>
          <w:lang w:val="en-GB" w:eastAsia="en-US"/>
        </w:rPr>
        <w:t>th</w:t>
      </w:r>
      <w:r w:rsidR="00B36837">
        <w:rPr>
          <w:lang w:val="en-GB" w:eastAsia="en-US"/>
        </w:rPr>
        <w:t xml:space="preserve"> </w:t>
      </w:r>
      <w:r w:rsidRPr="003A6023">
        <w:rPr>
          <w:lang w:val="en-GB" w:eastAsia="en-US"/>
        </w:rPr>
        <w:t>Report to the Committee against Torture (2019).</w:t>
      </w:r>
    </w:p>
    <w:p w14:paraId="4F5D99EA" w14:textId="3ECDDBCA" w:rsidR="00816067" w:rsidRPr="003A6023" w:rsidRDefault="00816067" w:rsidP="00816067">
      <w:pPr>
        <w:pStyle w:val="Textonotaalfinal"/>
        <w:jc w:val="both"/>
        <w:rPr>
          <w:lang w:val="en-GB"/>
        </w:rPr>
      </w:pPr>
      <w:r w:rsidRPr="003A6023">
        <w:rPr>
          <w:vertAlign w:val="superscript"/>
          <w:lang w:val="en-GB"/>
        </w:rPr>
        <w:footnoteRef/>
      </w:r>
      <w:r w:rsidR="00B36837">
        <w:rPr>
          <w:vertAlign w:val="superscript"/>
          <w:lang w:val="en-GB"/>
        </w:rPr>
        <w:t>8</w:t>
      </w:r>
      <w:r w:rsidRPr="003A6023">
        <w:rPr>
          <w:vertAlign w:val="superscript"/>
          <w:lang w:val="en-GB"/>
        </w:rPr>
        <w:t xml:space="preserve"> </w:t>
      </w:r>
      <w:r w:rsidRPr="003A6023">
        <w:rPr>
          <w:lang w:val="en-GB" w:eastAsia="en-US"/>
        </w:rPr>
        <w:t xml:space="preserve">Work is currently underway on </w:t>
      </w:r>
      <w:r w:rsidR="00B36837">
        <w:rPr>
          <w:lang w:val="en-GB" w:eastAsia="en-US"/>
        </w:rPr>
        <w:t>Spain’s 2</w:t>
      </w:r>
      <w:r w:rsidR="00B36837" w:rsidRPr="00B36837">
        <w:rPr>
          <w:vertAlign w:val="superscript"/>
          <w:lang w:val="en-GB" w:eastAsia="en-US"/>
        </w:rPr>
        <w:t>nd</w:t>
      </w:r>
      <w:r w:rsidR="00B36837">
        <w:rPr>
          <w:lang w:val="en-GB" w:eastAsia="en-US"/>
        </w:rPr>
        <w:t xml:space="preserve"> </w:t>
      </w:r>
      <w:r w:rsidRPr="003A6023">
        <w:rPr>
          <w:lang w:val="en-GB" w:eastAsia="en-US"/>
        </w:rPr>
        <w:t xml:space="preserve">Report to the Committee on Enforced Disappearances, </w:t>
      </w:r>
      <w:r w:rsidR="00B36837">
        <w:rPr>
          <w:lang w:val="en-GB" w:eastAsia="en-US"/>
        </w:rPr>
        <w:t>its combined 24</w:t>
      </w:r>
      <w:r w:rsidR="00B36837" w:rsidRPr="00B36837">
        <w:rPr>
          <w:vertAlign w:val="superscript"/>
          <w:lang w:val="en-GB" w:eastAsia="en-US"/>
        </w:rPr>
        <w:t>th</w:t>
      </w:r>
      <w:r w:rsidR="008A6646">
        <w:rPr>
          <w:lang w:val="en-GB" w:eastAsia="en-US"/>
        </w:rPr>
        <w:t>-</w:t>
      </w:r>
      <w:r w:rsidR="00B36837">
        <w:rPr>
          <w:lang w:val="en-GB" w:eastAsia="en-US"/>
        </w:rPr>
        <w:t>26</w:t>
      </w:r>
      <w:r w:rsidR="00B36837" w:rsidRPr="00B36837">
        <w:rPr>
          <w:vertAlign w:val="superscript"/>
          <w:lang w:val="en-GB" w:eastAsia="en-US"/>
        </w:rPr>
        <w:t>th</w:t>
      </w:r>
      <w:r w:rsidR="00B36837">
        <w:rPr>
          <w:lang w:val="en-GB" w:eastAsia="en-US"/>
        </w:rPr>
        <w:t xml:space="preserve"> </w:t>
      </w:r>
      <w:r w:rsidRPr="003A6023">
        <w:rPr>
          <w:lang w:val="en-GB" w:eastAsia="en-US"/>
        </w:rPr>
        <w:t xml:space="preserve">Report to the CERD and </w:t>
      </w:r>
      <w:r w:rsidR="00B36837">
        <w:rPr>
          <w:lang w:val="en-GB" w:eastAsia="en-US"/>
        </w:rPr>
        <w:t>its 9</w:t>
      </w:r>
      <w:r w:rsidR="00B36837" w:rsidRPr="00B36837">
        <w:rPr>
          <w:vertAlign w:val="superscript"/>
          <w:lang w:val="en-GB" w:eastAsia="en-US"/>
        </w:rPr>
        <w:t>th</w:t>
      </w:r>
      <w:r w:rsidR="00B36837">
        <w:rPr>
          <w:lang w:val="en-GB" w:eastAsia="en-US"/>
        </w:rPr>
        <w:t xml:space="preserve"> </w:t>
      </w:r>
      <w:r w:rsidRPr="003A6023">
        <w:rPr>
          <w:lang w:val="en-GB" w:eastAsia="en-US"/>
        </w:rPr>
        <w:t>Report to the Committee on the Elimination of Discrimination against Women (CEDAW).</w:t>
      </w:r>
    </w:p>
    <w:p w14:paraId="54E69414" w14:textId="6AAEBCAF" w:rsidR="00816067" w:rsidRPr="003A6023" w:rsidRDefault="00816067" w:rsidP="00816067">
      <w:pPr>
        <w:pStyle w:val="Textonotaalfinal"/>
        <w:jc w:val="both"/>
        <w:rPr>
          <w:lang w:val="en-GB"/>
        </w:rPr>
      </w:pPr>
      <w:r w:rsidRPr="003A6023">
        <w:rPr>
          <w:vertAlign w:val="superscript"/>
          <w:lang w:val="en-GB"/>
        </w:rPr>
        <w:footnoteRef/>
      </w:r>
      <w:r w:rsidR="00B36837">
        <w:rPr>
          <w:vertAlign w:val="superscript"/>
          <w:lang w:val="en-GB"/>
        </w:rPr>
        <w:t>9</w:t>
      </w:r>
      <w:r w:rsidRPr="003A6023">
        <w:rPr>
          <w:vertAlign w:val="superscript"/>
          <w:lang w:val="en-GB"/>
        </w:rPr>
        <w:t xml:space="preserve"> </w:t>
      </w:r>
      <w:r w:rsidRPr="003A6023">
        <w:rPr>
          <w:lang w:val="en-GB"/>
        </w:rPr>
        <w:t xml:space="preserve">Royal Decree 1044/2018, of 24 August, implementing the basic organizational structure of the Ministry </w:t>
      </w:r>
      <w:r w:rsidR="00B36837">
        <w:rPr>
          <w:lang w:val="en-GB"/>
        </w:rPr>
        <w:t xml:space="preserve">of </w:t>
      </w:r>
      <w:r w:rsidRPr="003A6023">
        <w:rPr>
          <w:lang w:val="en-GB"/>
        </w:rPr>
        <w:t>Justice.</w:t>
      </w:r>
    </w:p>
    <w:p w14:paraId="2CCB9696" w14:textId="213C15E3" w:rsidR="00816067" w:rsidRPr="003A6023" w:rsidRDefault="00E71B4F" w:rsidP="00403A2E">
      <w:pPr>
        <w:pStyle w:val="Textonotaalfinal"/>
        <w:rPr>
          <w:lang w:val="en-GB"/>
        </w:rPr>
      </w:pPr>
      <w:r>
        <w:rPr>
          <w:rStyle w:val="Refdenotaalfinal"/>
          <w:lang w:val="en-GB"/>
        </w:rPr>
        <w:t>2</w:t>
      </w:r>
      <w:r w:rsidRPr="00E71B4F">
        <w:rPr>
          <w:vertAlign w:val="superscript"/>
          <w:lang w:val="en-GB"/>
        </w:rPr>
        <w:t>0</w:t>
      </w:r>
      <w:r w:rsidR="004F2531">
        <w:rPr>
          <w:vertAlign w:val="superscript"/>
          <w:lang w:val="en-GB"/>
        </w:rPr>
        <w:t xml:space="preserve"> </w:t>
      </w:r>
      <w:r w:rsidR="00816067" w:rsidRPr="003A6023">
        <w:rPr>
          <w:lang w:val="en-GB"/>
        </w:rPr>
        <w:t>Spain made financial contributions to OHCHR of €372,442 in 2015</w:t>
      </w:r>
      <w:r w:rsidR="00B36837">
        <w:rPr>
          <w:lang w:val="en-GB"/>
        </w:rPr>
        <w:t>;</w:t>
      </w:r>
      <w:r w:rsidR="00816067" w:rsidRPr="003A6023">
        <w:rPr>
          <w:lang w:val="en-GB"/>
        </w:rPr>
        <w:t xml:space="preserve"> €938,099 in 2016</w:t>
      </w:r>
      <w:r w:rsidR="00B36837">
        <w:rPr>
          <w:lang w:val="en-GB"/>
        </w:rPr>
        <w:t>;</w:t>
      </w:r>
      <w:r w:rsidR="00816067" w:rsidRPr="003A6023">
        <w:rPr>
          <w:lang w:val="en-GB"/>
        </w:rPr>
        <w:t xml:space="preserve"> €1,283,449 in 2017</w:t>
      </w:r>
      <w:r w:rsidR="00B36837">
        <w:rPr>
          <w:lang w:val="en-GB"/>
        </w:rPr>
        <w:t>;</w:t>
      </w:r>
      <w:r w:rsidR="00816067" w:rsidRPr="003A6023">
        <w:rPr>
          <w:lang w:val="en-GB"/>
        </w:rPr>
        <w:t xml:space="preserve"> and €1,410,014 in 2018. Information available at </w:t>
      </w:r>
      <w:hyperlink r:id="rId9" w:history="1">
        <w:r w:rsidR="00816067" w:rsidRPr="003A6023">
          <w:rPr>
            <w:rStyle w:val="Hipervnculo"/>
            <w:lang w:val="en-GB"/>
          </w:rPr>
          <w:t>https://www.ohchr.org/EN/AboutUs/Pages/OurDonors.aspx</w:t>
        </w:r>
      </w:hyperlink>
      <w:r w:rsidR="00816067" w:rsidRPr="003A6023">
        <w:rPr>
          <w:lang w:val="en-GB"/>
        </w:rPr>
        <w:t xml:space="preserve"> </w:t>
      </w:r>
    </w:p>
    <w:p w14:paraId="195CD1BC" w14:textId="19206588" w:rsidR="00816067" w:rsidRPr="003A6023" w:rsidRDefault="00E71B4F" w:rsidP="00816067">
      <w:pPr>
        <w:pStyle w:val="Textonotaalfinal"/>
        <w:jc w:val="both"/>
        <w:rPr>
          <w:lang w:val="en-GB"/>
        </w:rPr>
      </w:pPr>
      <w:r>
        <w:rPr>
          <w:vertAlign w:val="superscript"/>
          <w:lang w:val="en-GB"/>
        </w:rPr>
        <w:t>2</w:t>
      </w:r>
      <w:r w:rsidR="00816067" w:rsidRPr="003A6023">
        <w:rPr>
          <w:vertAlign w:val="superscript"/>
          <w:lang w:val="en-GB"/>
        </w:rPr>
        <w:footnoteRef/>
      </w:r>
      <w:r w:rsidR="004F2531">
        <w:rPr>
          <w:vertAlign w:val="superscript"/>
          <w:lang w:val="en-GB"/>
        </w:rPr>
        <w:t xml:space="preserve"> </w:t>
      </w:r>
      <w:r w:rsidR="00816067" w:rsidRPr="003A6023">
        <w:rPr>
          <w:lang w:val="en-GB"/>
        </w:rPr>
        <w:t xml:space="preserve">UPR recommendations 131.10, 131.11, 131.12, 131.14, 131.15 </w:t>
      </w:r>
      <w:r w:rsidR="00F027F9">
        <w:rPr>
          <w:lang w:val="en-GB"/>
        </w:rPr>
        <w:t>and</w:t>
      </w:r>
      <w:r w:rsidR="00816067" w:rsidRPr="003A6023">
        <w:rPr>
          <w:lang w:val="en-GB"/>
        </w:rPr>
        <w:t xml:space="preserve"> 131.16. </w:t>
      </w:r>
    </w:p>
    <w:p w14:paraId="18E6D997" w14:textId="0AE3D180" w:rsidR="00816067" w:rsidRPr="003A6023" w:rsidRDefault="00E71B4F" w:rsidP="00816067">
      <w:pPr>
        <w:pStyle w:val="Textonotaalfinal"/>
        <w:jc w:val="both"/>
        <w:rPr>
          <w:lang w:val="en-GB"/>
        </w:rPr>
      </w:pPr>
      <w:r>
        <w:rPr>
          <w:vertAlign w:val="superscript"/>
          <w:lang w:val="en-GB"/>
        </w:rPr>
        <w:t>22</w:t>
      </w:r>
      <w:r w:rsidR="004F2531">
        <w:rPr>
          <w:vertAlign w:val="superscript"/>
          <w:lang w:val="en-GB"/>
        </w:rPr>
        <w:t xml:space="preserve"> </w:t>
      </w:r>
      <w:r w:rsidR="00816067" w:rsidRPr="003A6023">
        <w:rPr>
          <w:lang w:val="en-GB"/>
        </w:rPr>
        <w:t>Regarding other human rights indicators concerning gender equality see the midterm report (2018), p. 5.</w:t>
      </w:r>
    </w:p>
    <w:p w14:paraId="6B36237C" w14:textId="60E8CCBA" w:rsidR="00816067" w:rsidRPr="003A6023" w:rsidRDefault="00E71B4F" w:rsidP="00816067">
      <w:pPr>
        <w:pStyle w:val="Textonotaalfinal"/>
        <w:jc w:val="both"/>
        <w:rPr>
          <w:lang w:val="en-GB"/>
        </w:rPr>
      </w:pPr>
      <w:r>
        <w:rPr>
          <w:vertAlign w:val="superscript"/>
          <w:lang w:val="en-GB"/>
        </w:rPr>
        <w:t>23</w:t>
      </w:r>
      <w:r w:rsidR="004F2531">
        <w:rPr>
          <w:vertAlign w:val="superscript"/>
          <w:lang w:val="en-GB"/>
        </w:rPr>
        <w:t xml:space="preserve"> </w:t>
      </w:r>
      <w:r w:rsidR="00816067" w:rsidRPr="003A6023">
        <w:rPr>
          <w:lang w:val="en-GB"/>
        </w:rPr>
        <w:t xml:space="preserve">UPR recommendations 131.15, 131.18, 131.25, 131.26, 131.27, 131.28, 131.29, 131.30 (noted), 131.31, 131.32, 131.33, 131.34, 131.65, 131.66, 131.67, 131.68, 131.69, 131.70, 131.71, 131.72, 131.73, 131.74, 131.75, 131.76, 131.77, 131.78, 131.79, 131.80, 131.81 and 131.82. </w:t>
      </w:r>
    </w:p>
    <w:p w14:paraId="16FC3DA4" w14:textId="5E02E25F" w:rsidR="00816067" w:rsidRPr="003A6023" w:rsidRDefault="00E71B4F" w:rsidP="00816067">
      <w:pPr>
        <w:pStyle w:val="Textonotaalfinal"/>
        <w:jc w:val="both"/>
        <w:rPr>
          <w:lang w:val="en-GB"/>
        </w:rPr>
      </w:pPr>
      <w:r>
        <w:rPr>
          <w:vertAlign w:val="superscript"/>
          <w:lang w:val="en-GB"/>
        </w:rPr>
        <w:t>24</w:t>
      </w:r>
      <w:r w:rsidR="004F2531">
        <w:rPr>
          <w:vertAlign w:val="superscript"/>
          <w:lang w:val="en-GB"/>
        </w:rPr>
        <w:t xml:space="preserve"> </w:t>
      </w:r>
      <w:r w:rsidR="00816067" w:rsidRPr="003A6023">
        <w:rPr>
          <w:lang w:val="en-GB"/>
        </w:rPr>
        <w:t xml:space="preserve">Organic Law 1/2015, of 30 March, amending Organic Law 10/1995, of 23 November, on the Criminal Code. </w:t>
      </w:r>
    </w:p>
    <w:p w14:paraId="65D57E23" w14:textId="2FB33872" w:rsidR="00816067" w:rsidRPr="003A6023" w:rsidRDefault="00E71B4F" w:rsidP="00816067">
      <w:pPr>
        <w:pStyle w:val="Textonotaalfinal"/>
        <w:jc w:val="both"/>
        <w:rPr>
          <w:lang w:val="en-GB"/>
        </w:rPr>
      </w:pPr>
      <w:r>
        <w:rPr>
          <w:vertAlign w:val="superscript"/>
          <w:lang w:val="en-GB"/>
        </w:rPr>
        <w:t>25</w:t>
      </w:r>
      <w:r w:rsidR="004F2531">
        <w:rPr>
          <w:vertAlign w:val="superscript"/>
          <w:lang w:val="en-GB"/>
        </w:rPr>
        <w:t xml:space="preserve"> </w:t>
      </w:r>
      <w:r w:rsidR="004F2531">
        <w:rPr>
          <w:lang w:val="en-GB"/>
        </w:rPr>
        <w:t>Organic Law</w:t>
      </w:r>
      <w:r w:rsidR="00816067" w:rsidRPr="003A6023">
        <w:rPr>
          <w:lang w:val="en-GB"/>
        </w:rPr>
        <w:t xml:space="preserve"> 8/2015, of 22 July, </w:t>
      </w:r>
      <w:r w:rsidR="004F2531">
        <w:rPr>
          <w:lang w:val="en-GB"/>
        </w:rPr>
        <w:t xml:space="preserve">amending </w:t>
      </w:r>
      <w:r w:rsidR="00816067" w:rsidRPr="003A6023">
        <w:rPr>
          <w:lang w:val="en-GB"/>
        </w:rPr>
        <w:t xml:space="preserve">the system </w:t>
      </w:r>
      <w:r w:rsidR="004F2531">
        <w:rPr>
          <w:lang w:val="en-GB"/>
        </w:rPr>
        <w:t xml:space="preserve">for the </w:t>
      </w:r>
      <w:r w:rsidR="00816067" w:rsidRPr="003A6023">
        <w:rPr>
          <w:lang w:val="en-GB"/>
        </w:rPr>
        <w:t>protection of child</w:t>
      </w:r>
      <w:r w:rsidR="004F2531">
        <w:rPr>
          <w:lang w:val="en-GB"/>
        </w:rPr>
        <w:t>ren</w:t>
      </w:r>
      <w:r w:rsidR="00816067" w:rsidRPr="003A6023">
        <w:rPr>
          <w:lang w:val="en-GB"/>
        </w:rPr>
        <w:t xml:space="preserve"> and adolesce</w:t>
      </w:r>
      <w:r w:rsidR="004F2531">
        <w:rPr>
          <w:lang w:val="en-GB"/>
        </w:rPr>
        <w:t>nts</w:t>
      </w:r>
      <w:r w:rsidR="00816067" w:rsidRPr="003A6023">
        <w:rPr>
          <w:lang w:val="en-GB"/>
        </w:rPr>
        <w:t>.</w:t>
      </w:r>
    </w:p>
    <w:p w14:paraId="4A550272" w14:textId="0C1FC70E" w:rsidR="00816067" w:rsidRPr="003A6023" w:rsidRDefault="00E71B4F" w:rsidP="00816067">
      <w:pPr>
        <w:pStyle w:val="Textonotaalfinal"/>
        <w:jc w:val="both"/>
        <w:rPr>
          <w:lang w:val="en-GB"/>
        </w:rPr>
      </w:pPr>
      <w:r>
        <w:rPr>
          <w:vertAlign w:val="superscript"/>
          <w:lang w:val="en-GB"/>
        </w:rPr>
        <w:t>26</w:t>
      </w:r>
      <w:r w:rsidR="004F2531">
        <w:rPr>
          <w:vertAlign w:val="superscript"/>
          <w:lang w:val="en-GB"/>
        </w:rPr>
        <w:t xml:space="preserve"> </w:t>
      </w:r>
      <w:r w:rsidR="00816067" w:rsidRPr="003A6023">
        <w:rPr>
          <w:bCs/>
          <w:lang w:val="en-GB"/>
        </w:rPr>
        <w:t>R</w:t>
      </w:r>
      <w:r w:rsidR="00BA2864">
        <w:rPr>
          <w:bCs/>
          <w:lang w:val="en-GB"/>
        </w:rPr>
        <w:t>oy</w:t>
      </w:r>
      <w:r w:rsidR="00816067" w:rsidRPr="003A6023">
        <w:rPr>
          <w:bCs/>
          <w:lang w:val="en-GB"/>
        </w:rPr>
        <w:t>al Decree-</w:t>
      </w:r>
      <w:r w:rsidR="00290533">
        <w:rPr>
          <w:bCs/>
          <w:lang w:val="en-GB"/>
        </w:rPr>
        <w:t>L</w:t>
      </w:r>
      <w:r w:rsidR="00816067" w:rsidRPr="003A6023">
        <w:rPr>
          <w:bCs/>
          <w:lang w:val="en-GB"/>
        </w:rPr>
        <w:t xml:space="preserve">aw 9/2018, of 3 August, on urgent measures for the implementation of the State </w:t>
      </w:r>
      <w:r w:rsidR="00E265F8">
        <w:rPr>
          <w:bCs/>
          <w:lang w:val="en-GB"/>
        </w:rPr>
        <w:t>P</w:t>
      </w:r>
      <w:r w:rsidR="00816067" w:rsidRPr="003A6023">
        <w:rPr>
          <w:bCs/>
          <w:lang w:val="en-GB"/>
        </w:rPr>
        <w:t>act against Gender</w:t>
      </w:r>
      <w:r w:rsidR="004F2531">
        <w:rPr>
          <w:bCs/>
          <w:lang w:val="en-GB"/>
        </w:rPr>
        <w:t>-based</w:t>
      </w:r>
      <w:r w:rsidR="00816067" w:rsidRPr="003A6023">
        <w:rPr>
          <w:bCs/>
          <w:lang w:val="en-GB"/>
        </w:rPr>
        <w:t xml:space="preserve"> Violence.</w:t>
      </w:r>
    </w:p>
    <w:p w14:paraId="3A4BA150" w14:textId="6F12A1BA" w:rsidR="00816067" w:rsidRPr="003A6023" w:rsidRDefault="00E71B4F" w:rsidP="00816067">
      <w:pPr>
        <w:pStyle w:val="Textonotaalfinal"/>
        <w:jc w:val="both"/>
        <w:rPr>
          <w:lang w:val="en-GB"/>
        </w:rPr>
      </w:pPr>
      <w:r>
        <w:rPr>
          <w:vertAlign w:val="superscript"/>
          <w:lang w:val="en-GB"/>
        </w:rPr>
        <w:t>27</w:t>
      </w:r>
      <w:r w:rsidR="004F2531">
        <w:rPr>
          <w:vertAlign w:val="superscript"/>
          <w:lang w:val="en-GB"/>
        </w:rPr>
        <w:t xml:space="preserve"> </w:t>
      </w:r>
      <w:r w:rsidR="00816067" w:rsidRPr="003A6023">
        <w:rPr>
          <w:lang w:val="en-GB"/>
        </w:rPr>
        <w:t>Organic Law 4/2018, of 28 December, reforming Organic Law 6/1985, of 1 July, on the Judiciary.</w:t>
      </w:r>
    </w:p>
    <w:p w14:paraId="027841FF" w14:textId="38D35342" w:rsidR="00816067" w:rsidRPr="003A6023" w:rsidRDefault="00E71B4F" w:rsidP="00816067">
      <w:pPr>
        <w:pStyle w:val="Textonotaalfinal"/>
        <w:jc w:val="both"/>
        <w:rPr>
          <w:lang w:val="en-GB"/>
        </w:rPr>
      </w:pPr>
      <w:r>
        <w:rPr>
          <w:vertAlign w:val="superscript"/>
          <w:lang w:val="en-GB"/>
        </w:rPr>
        <w:t>28</w:t>
      </w:r>
      <w:r w:rsidR="004F2531">
        <w:rPr>
          <w:vertAlign w:val="superscript"/>
          <w:lang w:val="en-GB"/>
        </w:rPr>
        <w:t xml:space="preserve"> </w:t>
      </w:r>
      <w:r w:rsidR="00816067" w:rsidRPr="003A6023">
        <w:rPr>
          <w:lang w:val="en-GB"/>
        </w:rPr>
        <w:t>Organic Law 3/2007, of 22 March, on effective equality between women and men.</w:t>
      </w:r>
    </w:p>
    <w:p w14:paraId="5A88957F" w14:textId="0C90D386" w:rsidR="00816067" w:rsidRPr="003A6023" w:rsidRDefault="004F2531" w:rsidP="00816067">
      <w:pPr>
        <w:pStyle w:val="Textonotaalfinal"/>
        <w:jc w:val="both"/>
        <w:rPr>
          <w:lang w:val="en-GB"/>
        </w:rPr>
      </w:pPr>
      <w:r>
        <w:rPr>
          <w:vertAlign w:val="superscript"/>
          <w:lang w:val="en-GB"/>
        </w:rPr>
        <w:t xml:space="preserve">29 </w:t>
      </w:r>
      <w:r w:rsidR="00816067" w:rsidRPr="003A6023">
        <w:rPr>
          <w:lang w:val="en-GB"/>
        </w:rPr>
        <w:t xml:space="preserve">Organic Law 5/2018, </w:t>
      </w:r>
      <w:r w:rsidR="00816067" w:rsidRPr="003A6023">
        <w:rPr>
          <w:bCs/>
          <w:lang w:val="en-GB"/>
        </w:rPr>
        <w:t xml:space="preserve">of 28 December, reforming the Organic Law on the Judiciary </w:t>
      </w:r>
      <w:r w:rsidR="00E265F8">
        <w:rPr>
          <w:bCs/>
          <w:lang w:val="en-GB"/>
        </w:rPr>
        <w:t>as regards</w:t>
      </w:r>
      <w:r w:rsidR="00816067" w:rsidRPr="003A6023">
        <w:rPr>
          <w:bCs/>
          <w:lang w:val="en-GB"/>
        </w:rPr>
        <w:t xml:space="preserve"> urgent measures for the application of the State </w:t>
      </w:r>
      <w:r w:rsidR="00E265F8">
        <w:rPr>
          <w:bCs/>
          <w:lang w:val="en-GB"/>
        </w:rPr>
        <w:t>P</w:t>
      </w:r>
      <w:r w:rsidR="00816067" w:rsidRPr="003A6023">
        <w:rPr>
          <w:bCs/>
          <w:lang w:val="en-GB"/>
        </w:rPr>
        <w:t xml:space="preserve">act </w:t>
      </w:r>
      <w:r w:rsidR="00E265F8">
        <w:rPr>
          <w:bCs/>
          <w:lang w:val="en-GB"/>
        </w:rPr>
        <w:t>against G</w:t>
      </w:r>
      <w:r w:rsidR="00816067" w:rsidRPr="003A6023">
        <w:rPr>
          <w:bCs/>
          <w:lang w:val="en-GB"/>
        </w:rPr>
        <w:t>ender</w:t>
      </w:r>
      <w:r w:rsidR="00E265F8">
        <w:rPr>
          <w:bCs/>
          <w:lang w:val="en-GB"/>
        </w:rPr>
        <w:t>-based</w:t>
      </w:r>
      <w:r w:rsidR="00816067" w:rsidRPr="003A6023">
        <w:rPr>
          <w:bCs/>
          <w:lang w:val="en-GB"/>
        </w:rPr>
        <w:t xml:space="preserve"> </w:t>
      </w:r>
      <w:r w:rsidR="00E265F8">
        <w:rPr>
          <w:bCs/>
          <w:lang w:val="en-GB"/>
        </w:rPr>
        <w:t>V</w:t>
      </w:r>
      <w:r w:rsidR="00816067" w:rsidRPr="003A6023">
        <w:rPr>
          <w:bCs/>
          <w:lang w:val="en-GB"/>
        </w:rPr>
        <w:t>iolence.</w:t>
      </w:r>
    </w:p>
    <w:p w14:paraId="44DC1C61" w14:textId="60120A38" w:rsidR="00816067" w:rsidRPr="003A6023" w:rsidRDefault="004F2531" w:rsidP="00816067">
      <w:pPr>
        <w:pStyle w:val="Textonotaalfinal"/>
        <w:jc w:val="both"/>
        <w:rPr>
          <w:lang w:val="en-GB"/>
        </w:rPr>
      </w:pPr>
      <w:r>
        <w:rPr>
          <w:vertAlign w:val="superscript"/>
          <w:lang w:val="en-GB"/>
        </w:rPr>
        <w:t xml:space="preserve">30 </w:t>
      </w:r>
      <w:r w:rsidR="00207906">
        <w:rPr>
          <w:lang w:val="en-GB"/>
        </w:rPr>
        <w:t xml:space="preserve">For further </w:t>
      </w:r>
      <w:r w:rsidR="00816067" w:rsidRPr="003A6023">
        <w:rPr>
          <w:lang w:val="en-GB"/>
        </w:rPr>
        <w:t>information on training measures, see the midterm report (2018), p. 13.</w:t>
      </w:r>
    </w:p>
    <w:p w14:paraId="4B398DA7" w14:textId="723B6A8C" w:rsidR="00816067" w:rsidRPr="003A6023" w:rsidRDefault="004F2531" w:rsidP="00816067">
      <w:pPr>
        <w:pStyle w:val="Textonotaalfinal"/>
        <w:jc w:val="both"/>
        <w:rPr>
          <w:lang w:val="en-GB"/>
        </w:rPr>
      </w:pPr>
      <w:r>
        <w:rPr>
          <w:vertAlign w:val="superscript"/>
          <w:lang w:val="en-GB"/>
        </w:rPr>
        <w:lastRenderedPageBreak/>
        <w:t>3</w:t>
      </w:r>
      <w:r w:rsidR="00816067" w:rsidRPr="003A6023">
        <w:rPr>
          <w:vertAlign w:val="superscript"/>
          <w:lang w:val="en-GB"/>
        </w:rPr>
        <w:footnoteRef/>
      </w:r>
      <w:r>
        <w:rPr>
          <w:vertAlign w:val="superscript"/>
          <w:lang w:val="en-GB"/>
        </w:rPr>
        <w:t xml:space="preserve"> </w:t>
      </w:r>
      <w:r w:rsidR="00E94D83">
        <w:rPr>
          <w:bCs/>
          <w:lang w:val="en-GB"/>
        </w:rPr>
        <w:t>Royal Decree-L</w:t>
      </w:r>
      <w:r w:rsidR="00816067" w:rsidRPr="003A6023">
        <w:rPr>
          <w:bCs/>
          <w:lang w:val="en-GB"/>
        </w:rPr>
        <w:t>aw 6/2019, of 1 March, on urgent measures to guarantee equal</w:t>
      </w:r>
      <w:r w:rsidR="00E265F8">
        <w:rPr>
          <w:bCs/>
          <w:lang w:val="en-GB"/>
        </w:rPr>
        <w:t>ity</w:t>
      </w:r>
      <w:r w:rsidR="00816067" w:rsidRPr="003A6023">
        <w:rPr>
          <w:bCs/>
          <w:lang w:val="en-GB"/>
        </w:rPr>
        <w:t xml:space="preserve"> </w:t>
      </w:r>
      <w:r w:rsidR="00E265F8">
        <w:rPr>
          <w:bCs/>
          <w:lang w:val="en-GB"/>
        </w:rPr>
        <w:t xml:space="preserve">of </w:t>
      </w:r>
      <w:r w:rsidR="00816067" w:rsidRPr="003A6023">
        <w:rPr>
          <w:bCs/>
          <w:lang w:val="en-GB"/>
        </w:rPr>
        <w:t xml:space="preserve">treatment and opportunities </w:t>
      </w:r>
      <w:r w:rsidR="00E265F8">
        <w:rPr>
          <w:bCs/>
          <w:lang w:val="en-GB"/>
        </w:rPr>
        <w:t xml:space="preserve">between </w:t>
      </w:r>
      <w:r w:rsidR="00E265F8" w:rsidRPr="003A6023">
        <w:rPr>
          <w:bCs/>
          <w:lang w:val="en-GB"/>
        </w:rPr>
        <w:t>women and men in employment and occupation</w:t>
      </w:r>
      <w:r w:rsidR="00816067" w:rsidRPr="003A6023">
        <w:rPr>
          <w:bCs/>
          <w:lang w:val="en-GB"/>
        </w:rPr>
        <w:t>.</w:t>
      </w:r>
    </w:p>
    <w:p w14:paraId="79FC2664" w14:textId="3B56422A" w:rsidR="00816067" w:rsidRPr="003A6023" w:rsidRDefault="004F2531" w:rsidP="00816067">
      <w:pPr>
        <w:pStyle w:val="Textonotaalfinal"/>
        <w:jc w:val="both"/>
        <w:rPr>
          <w:lang w:val="en-GB"/>
        </w:rPr>
      </w:pPr>
      <w:r>
        <w:rPr>
          <w:vertAlign w:val="superscript"/>
          <w:lang w:val="en-GB"/>
        </w:rPr>
        <w:t xml:space="preserve">32 </w:t>
      </w:r>
      <w:r w:rsidR="00816067" w:rsidRPr="003A6023">
        <w:rPr>
          <w:lang w:val="en-GB"/>
        </w:rPr>
        <w:t>R</w:t>
      </w:r>
      <w:r w:rsidR="00BA2864">
        <w:rPr>
          <w:lang w:val="en-GB"/>
        </w:rPr>
        <w:t>oy</w:t>
      </w:r>
      <w:r w:rsidR="00E94D83">
        <w:rPr>
          <w:lang w:val="en-GB"/>
        </w:rPr>
        <w:t>al Decree-L</w:t>
      </w:r>
      <w:r w:rsidR="00816067" w:rsidRPr="003A6023">
        <w:rPr>
          <w:lang w:val="en-GB"/>
        </w:rPr>
        <w:t xml:space="preserve">aw 18/2017, of 24 November, amending the Commercial Code, the consolidated text of the Companies Act approved by Royal Legislative Decree 1/2010, of 2 July, and Act 22/2015, of 20 July, </w:t>
      </w:r>
      <w:r w:rsidR="00207906">
        <w:rPr>
          <w:lang w:val="en-GB"/>
        </w:rPr>
        <w:t>on the Auditing of Accounts</w:t>
      </w:r>
      <w:r w:rsidR="00816067" w:rsidRPr="003A6023">
        <w:rPr>
          <w:lang w:val="en-GB"/>
        </w:rPr>
        <w:t xml:space="preserve">, </w:t>
      </w:r>
      <w:r w:rsidR="000514C9">
        <w:rPr>
          <w:lang w:val="en-GB"/>
        </w:rPr>
        <w:t xml:space="preserve">as regards </w:t>
      </w:r>
      <w:r w:rsidR="00816067" w:rsidRPr="003A6023">
        <w:rPr>
          <w:lang w:val="en-GB"/>
        </w:rPr>
        <w:t>non-financial information and diversity.</w:t>
      </w:r>
    </w:p>
    <w:p w14:paraId="5959CBA7" w14:textId="1B030F32" w:rsidR="00816067" w:rsidRPr="003A6023" w:rsidRDefault="004F2531" w:rsidP="00816067">
      <w:pPr>
        <w:pStyle w:val="Textonotaalfinal"/>
        <w:jc w:val="both"/>
        <w:rPr>
          <w:lang w:val="en-GB"/>
        </w:rPr>
      </w:pPr>
      <w:r>
        <w:rPr>
          <w:vertAlign w:val="superscript"/>
          <w:lang w:val="en-GB"/>
        </w:rPr>
        <w:t xml:space="preserve">33 </w:t>
      </w:r>
      <w:r w:rsidR="00816067" w:rsidRPr="003A6023">
        <w:rPr>
          <w:bCs/>
          <w:lang w:val="en-GB"/>
        </w:rPr>
        <w:t>Royal Decree 259/2019, of 12 April, regulating the Equality Units of the General State Administration.</w:t>
      </w:r>
    </w:p>
    <w:p w14:paraId="64E6B349" w14:textId="37B45562" w:rsidR="00816067" w:rsidRPr="003A6023" w:rsidRDefault="004F2531" w:rsidP="00816067">
      <w:pPr>
        <w:pStyle w:val="Textonotaalfinal"/>
        <w:jc w:val="both"/>
        <w:rPr>
          <w:lang w:val="en-GB"/>
        </w:rPr>
      </w:pPr>
      <w:r>
        <w:rPr>
          <w:vertAlign w:val="superscript"/>
          <w:lang w:val="en-GB"/>
        </w:rPr>
        <w:t xml:space="preserve">34 </w:t>
      </w:r>
      <w:r w:rsidR="00E265F8">
        <w:rPr>
          <w:lang w:val="en-GB"/>
        </w:rPr>
        <w:t xml:space="preserve">Regarding </w:t>
      </w:r>
      <w:r w:rsidR="00BA2864">
        <w:rPr>
          <w:lang w:val="en-GB"/>
        </w:rPr>
        <w:t xml:space="preserve">the </w:t>
      </w:r>
      <w:r w:rsidR="00E265F8">
        <w:rPr>
          <w:lang w:val="en-GB"/>
        </w:rPr>
        <w:t xml:space="preserve">Draft Organic Law on </w:t>
      </w:r>
      <w:r w:rsidR="00E265F8" w:rsidRPr="003A6023">
        <w:rPr>
          <w:lang w:val="en-GB"/>
        </w:rPr>
        <w:t xml:space="preserve">Education </w:t>
      </w:r>
      <w:r w:rsidR="00816067" w:rsidRPr="003A6023">
        <w:rPr>
          <w:lang w:val="en-GB"/>
        </w:rPr>
        <w:t>see §126.</w:t>
      </w:r>
    </w:p>
    <w:p w14:paraId="0178EDC3" w14:textId="19211A6B" w:rsidR="00816067" w:rsidRPr="003A6023" w:rsidRDefault="004F2531" w:rsidP="00816067">
      <w:pPr>
        <w:pStyle w:val="Textonotaalfinal"/>
        <w:jc w:val="both"/>
        <w:rPr>
          <w:lang w:val="en-GB"/>
        </w:rPr>
      </w:pPr>
      <w:r>
        <w:rPr>
          <w:vertAlign w:val="superscript"/>
          <w:lang w:val="en-GB"/>
        </w:rPr>
        <w:t xml:space="preserve">35 </w:t>
      </w:r>
      <w:r w:rsidR="00816067" w:rsidRPr="003A6023">
        <w:rPr>
          <w:lang w:val="en-GB" w:eastAsia="en-US"/>
        </w:rPr>
        <w:t>See the midterm report (2018), p.15.</w:t>
      </w:r>
    </w:p>
    <w:p w14:paraId="1745F715" w14:textId="2623E58C" w:rsidR="00816067" w:rsidRPr="003A6023" w:rsidRDefault="004F2531" w:rsidP="00816067">
      <w:pPr>
        <w:pStyle w:val="Textonotaalfinal"/>
        <w:jc w:val="both"/>
        <w:rPr>
          <w:lang w:val="en-GB"/>
        </w:rPr>
      </w:pPr>
      <w:r>
        <w:rPr>
          <w:rStyle w:val="Refdenotaalfinal"/>
          <w:lang w:val="en-GB"/>
        </w:rPr>
        <w:t>3</w:t>
      </w:r>
      <w:r w:rsidRPr="004F2531">
        <w:rPr>
          <w:vertAlign w:val="superscript"/>
          <w:lang w:val="en-GB"/>
        </w:rPr>
        <w:t>6</w:t>
      </w:r>
      <w:r>
        <w:rPr>
          <w:vertAlign w:val="superscript"/>
          <w:lang w:val="en-GB"/>
        </w:rPr>
        <w:t xml:space="preserve"> </w:t>
      </w:r>
      <w:hyperlink r:id="rId10" w:history="1">
        <w:r w:rsidRPr="001E12E2">
          <w:rPr>
            <w:rStyle w:val="Hipervnculo"/>
            <w:lang w:val="en-GB"/>
          </w:rPr>
          <w:t>http://www.violenciagenero.igualdad.mpr.gob.es/pactoEstado/home.htm</w:t>
        </w:r>
      </w:hyperlink>
      <w:r w:rsidR="00816067" w:rsidRPr="003A6023">
        <w:rPr>
          <w:lang w:val="en-GB"/>
        </w:rPr>
        <w:t xml:space="preserve"> </w:t>
      </w:r>
    </w:p>
    <w:p w14:paraId="72249EAB" w14:textId="6BF8E1D5" w:rsidR="00816067" w:rsidRPr="003A6023" w:rsidRDefault="004F2531" w:rsidP="00816067">
      <w:pPr>
        <w:pStyle w:val="Textonotaalfinal"/>
        <w:jc w:val="both"/>
        <w:rPr>
          <w:lang w:val="en-GB"/>
        </w:rPr>
      </w:pPr>
      <w:r>
        <w:rPr>
          <w:vertAlign w:val="superscript"/>
          <w:lang w:val="en-GB"/>
        </w:rPr>
        <w:t xml:space="preserve">37 </w:t>
      </w:r>
      <w:r w:rsidR="00816067" w:rsidRPr="003A6023">
        <w:rPr>
          <w:lang w:val="en-GB"/>
        </w:rPr>
        <w:t xml:space="preserve">For detailed information on the </w:t>
      </w:r>
      <w:r w:rsidR="00816067" w:rsidRPr="003A6023">
        <w:rPr>
          <w:lang w:val="en-GB" w:eastAsia="en-US"/>
        </w:rPr>
        <w:t>State Pact against Gender</w:t>
      </w:r>
      <w:r w:rsidR="00E265F8">
        <w:rPr>
          <w:lang w:val="en-GB" w:eastAsia="en-US"/>
        </w:rPr>
        <w:t>-based</w:t>
      </w:r>
      <w:r w:rsidR="00816067" w:rsidRPr="003A6023">
        <w:rPr>
          <w:lang w:val="en-GB" w:eastAsia="en-US"/>
        </w:rPr>
        <w:t xml:space="preserve"> Violence </w:t>
      </w:r>
      <w:r w:rsidR="00816067" w:rsidRPr="003A6023">
        <w:rPr>
          <w:lang w:val="en-GB"/>
        </w:rPr>
        <w:t>see the midterm report (2018), p</w:t>
      </w:r>
      <w:r w:rsidR="00207906">
        <w:rPr>
          <w:lang w:val="en-GB"/>
        </w:rPr>
        <w:t>p</w:t>
      </w:r>
      <w:r w:rsidR="00816067" w:rsidRPr="003A6023">
        <w:rPr>
          <w:lang w:val="en-GB"/>
        </w:rPr>
        <w:t xml:space="preserve">. 13 </w:t>
      </w:r>
      <w:r w:rsidR="00F027F9">
        <w:rPr>
          <w:lang w:val="en-GB"/>
        </w:rPr>
        <w:t>and</w:t>
      </w:r>
      <w:r w:rsidR="00816067" w:rsidRPr="003A6023">
        <w:rPr>
          <w:lang w:val="en-GB"/>
        </w:rPr>
        <w:t xml:space="preserve"> 14. </w:t>
      </w:r>
    </w:p>
    <w:p w14:paraId="01E7FAC0" w14:textId="45BAB6AE" w:rsidR="00816067" w:rsidRPr="003A6023" w:rsidRDefault="004F2531" w:rsidP="00816067">
      <w:pPr>
        <w:pStyle w:val="Textonotaalfinal"/>
        <w:jc w:val="both"/>
        <w:rPr>
          <w:lang w:val="en-GB"/>
        </w:rPr>
      </w:pPr>
      <w:r>
        <w:rPr>
          <w:vertAlign w:val="superscript"/>
          <w:lang w:val="en-GB"/>
        </w:rPr>
        <w:t xml:space="preserve">38 </w:t>
      </w:r>
      <w:r w:rsidR="00816067" w:rsidRPr="003A6023">
        <w:rPr>
          <w:lang w:val="en-GB"/>
        </w:rPr>
        <w:t>Instruc</w:t>
      </w:r>
      <w:r w:rsidR="003D28D5">
        <w:rPr>
          <w:lang w:val="en-GB"/>
        </w:rPr>
        <w:t>tion</w:t>
      </w:r>
      <w:r w:rsidR="00816067" w:rsidRPr="003A6023">
        <w:rPr>
          <w:lang w:val="en-GB"/>
        </w:rPr>
        <w:t xml:space="preserve"> 4/2019, </w:t>
      </w:r>
      <w:r w:rsidR="00207906">
        <w:rPr>
          <w:lang w:val="en-GB"/>
        </w:rPr>
        <w:t xml:space="preserve">of the State </w:t>
      </w:r>
      <w:r w:rsidR="00816067" w:rsidRPr="003A6023">
        <w:rPr>
          <w:lang w:val="en-GB"/>
        </w:rPr>
        <w:t>Secretaria</w:t>
      </w:r>
      <w:r w:rsidR="00207906">
        <w:rPr>
          <w:lang w:val="en-GB"/>
        </w:rPr>
        <w:t>t</w:t>
      </w:r>
      <w:r w:rsidR="00816067" w:rsidRPr="003A6023">
        <w:rPr>
          <w:lang w:val="en-GB"/>
        </w:rPr>
        <w:t xml:space="preserve"> </w:t>
      </w:r>
      <w:r w:rsidR="00F027F9">
        <w:rPr>
          <w:lang w:val="en-GB"/>
        </w:rPr>
        <w:t>for Security</w:t>
      </w:r>
      <w:r w:rsidR="00816067" w:rsidRPr="003A6023">
        <w:rPr>
          <w:lang w:val="en-GB"/>
        </w:rPr>
        <w:t>,</w:t>
      </w:r>
      <w:r w:rsidR="000514C9">
        <w:rPr>
          <w:lang w:val="en-GB"/>
        </w:rPr>
        <w:t xml:space="preserve"> setting forth </w:t>
      </w:r>
      <w:r w:rsidR="00207906">
        <w:rPr>
          <w:lang w:val="en-GB"/>
        </w:rPr>
        <w:t xml:space="preserve">a </w:t>
      </w:r>
      <w:r w:rsidR="00816067" w:rsidRPr="003A6023">
        <w:rPr>
          <w:lang w:val="en-GB"/>
        </w:rPr>
        <w:t xml:space="preserve">new protocol </w:t>
      </w:r>
      <w:r w:rsidR="00452891">
        <w:rPr>
          <w:lang w:val="en-GB"/>
        </w:rPr>
        <w:t xml:space="preserve">for </w:t>
      </w:r>
      <w:r w:rsidR="00816067" w:rsidRPr="003A6023">
        <w:rPr>
          <w:lang w:val="en-GB"/>
        </w:rPr>
        <w:t>polic</w:t>
      </w:r>
      <w:r w:rsidR="00452891">
        <w:rPr>
          <w:lang w:val="en-GB"/>
        </w:rPr>
        <w:t>e assessment</w:t>
      </w:r>
      <w:r w:rsidR="00816067" w:rsidRPr="003A6023">
        <w:rPr>
          <w:lang w:val="en-GB"/>
        </w:rPr>
        <w:t xml:space="preserve"> </w:t>
      </w:r>
      <w:r w:rsidR="00452891">
        <w:rPr>
          <w:lang w:val="en-GB"/>
        </w:rPr>
        <w:t xml:space="preserve">of the </w:t>
      </w:r>
      <w:r w:rsidR="00207906">
        <w:rPr>
          <w:lang w:val="en-GB"/>
        </w:rPr>
        <w:t xml:space="preserve">level of risk of </w:t>
      </w:r>
      <w:r w:rsidR="00816067" w:rsidRPr="003A6023">
        <w:rPr>
          <w:lang w:val="en-GB"/>
        </w:rPr>
        <w:t>gender</w:t>
      </w:r>
      <w:r w:rsidR="00EF7FF8">
        <w:rPr>
          <w:lang w:val="en-GB"/>
        </w:rPr>
        <w:t>-based</w:t>
      </w:r>
      <w:r w:rsidR="00816067" w:rsidRPr="003A6023">
        <w:rPr>
          <w:lang w:val="en-GB"/>
        </w:rPr>
        <w:t xml:space="preserve"> violence, manag</w:t>
      </w:r>
      <w:r w:rsidR="00EF7FF8">
        <w:rPr>
          <w:lang w:val="en-GB"/>
        </w:rPr>
        <w:t>ement of</w:t>
      </w:r>
      <w:r w:rsidR="000514C9">
        <w:rPr>
          <w:lang w:val="en-GB"/>
        </w:rPr>
        <w:t xml:space="preserve"> </w:t>
      </w:r>
      <w:r w:rsidR="00816067" w:rsidRPr="003A6023">
        <w:rPr>
          <w:lang w:val="en-GB"/>
        </w:rPr>
        <w:t>victims</w:t>
      </w:r>
      <w:r w:rsidR="000514C9">
        <w:rPr>
          <w:lang w:val="en-GB"/>
        </w:rPr>
        <w:t>’ safety</w:t>
      </w:r>
      <w:r w:rsidR="00816067" w:rsidRPr="003A6023">
        <w:rPr>
          <w:lang w:val="en-GB"/>
        </w:rPr>
        <w:t xml:space="preserve"> </w:t>
      </w:r>
      <w:r w:rsidR="00F027F9">
        <w:rPr>
          <w:lang w:val="en-GB"/>
        </w:rPr>
        <w:t>and</w:t>
      </w:r>
      <w:r w:rsidR="00816067" w:rsidRPr="003A6023">
        <w:rPr>
          <w:lang w:val="en-GB"/>
        </w:rPr>
        <w:t xml:space="preserve"> </w:t>
      </w:r>
      <w:r w:rsidR="00452891">
        <w:rPr>
          <w:lang w:val="en-GB"/>
        </w:rPr>
        <w:t xml:space="preserve">monitoring </w:t>
      </w:r>
      <w:r w:rsidR="00EF7FF8">
        <w:rPr>
          <w:lang w:val="en-GB"/>
        </w:rPr>
        <w:t xml:space="preserve">of </w:t>
      </w:r>
      <w:r w:rsidR="00816067" w:rsidRPr="003A6023">
        <w:rPr>
          <w:lang w:val="en-GB"/>
        </w:rPr>
        <w:t>cas</w:t>
      </w:r>
      <w:r w:rsidR="00452891">
        <w:rPr>
          <w:lang w:val="en-GB"/>
        </w:rPr>
        <w:t>e</w:t>
      </w:r>
      <w:r w:rsidR="00816067" w:rsidRPr="003A6023">
        <w:rPr>
          <w:lang w:val="en-GB"/>
        </w:rPr>
        <w:t xml:space="preserve">s </w:t>
      </w:r>
      <w:r w:rsidR="00BA2864">
        <w:rPr>
          <w:lang w:val="en-GB"/>
        </w:rPr>
        <w:t xml:space="preserve">through the </w:t>
      </w:r>
      <w:r w:rsidR="000514C9">
        <w:rPr>
          <w:lang w:val="en-GB"/>
        </w:rPr>
        <w:t xml:space="preserve">comprehensive system for monitoring </w:t>
      </w:r>
      <w:r w:rsidR="00816067" w:rsidRPr="003A6023">
        <w:rPr>
          <w:lang w:val="en-GB"/>
        </w:rPr>
        <w:t>cases of gender</w:t>
      </w:r>
      <w:r w:rsidR="00EF7FF8">
        <w:rPr>
          <w:lang w:val="en-GB"/>
        </w:rPr>
        <w:t>-based</w:t>
      </w:r>
      <w:r w:rsidR="00816067" w:rsidRPr="003A6023">
        <w:rPr>
          <w:lang w:val="en-GB"/>
        </w:rPr>
        <w:t xml:space="preserve"> violence (Viogén</w:t>
      </w:r>
      <w:r w:rsidR="000514C9">
        <w:rPr>
          <w:lang w:val="en-GB"/>
        </w:rPr>
        <w:t xml:space="preserve"> </w:t>
      </w:r>
      <w:r w:rsidR="000514C9" w:rsidRPr="003A6023">
        <w:rPr>
          <w:lang w:val="en-GB"/>
        </w:rPr>
        <w:t>S</w:t>
      </w:r>
      <w:r w:rsidR="000514C9">
        <w:rPr>
          <w:lang w:val="en-GB"/>
        </w:rPr>
        <w:t>y</w:t>
      </w:r>
      <w:r w:rsidR="000514C9" w:rsidRPr="003A6023">
        <w:rPr>
          <w:lang w:val="en-GB"/>
        </w:rPr>
        <w:t>stem</w:t>
      </w:r>
      <w:r w:rsidR="00816067" w:rsidRPr="003A6023">
        <w:rPr>
          <w:lang w:val="en-GB"/>
        </w:rPr>
        <w:t>).</w:t>
      </w:r>
    </w:p>
    <w:p w14:paraId="3B8B53EB" w14:textId="2A295018" w:rsidR="00816067" w:rsidRPr="003A6023" w:rsidRDefault="004F2531" w:rsidP="00816067">
      <w:pPr>
        <w:pStyle w:val="Textonotaalfinal"/>
        <w:jc w:val="both"/>
        <w:rPr>
          <w:lang w:val="en-GB"/>
        </w:rPr>
      </w:pPr>
      <w:r>
        <w:rPr>
          <w:vertAlign w:val="superscript"/>
          <w:lang w:val="en-GB"/>
        </w:rPr>
        <w:t>39</w:t>
      </w:r>
      <w:r w:rsidR="00816067" w:rsidRPr="003A6023">
        <w:rPr>
          <w:vertAlign w:val="superscript"/>
          <w:lang w:val="en-GB"/>
        </w:rPr>
        <w:t xml:space="preserve"> </w:t>
      </w:r>
      <w:r w:rsidR="003D28D5">
        <w:rPr>
          <w:lang w:val="en-GB"/>
        </w:rPr>
        <w:t xml:space="preserve">For further </w:t>
      </w:r>
      <w:r w:rsidR="00816067" w:rsidRPr="003A6023">
        <w:rPr>
          <w:lang w:val="en-GB"/>
        </w:rPr>
        <w:t>informa</w:t>
      </w:r>
      <w:r w:rsidR="003D28D5">
        <w:rPr>
          <w:lang w:val="en-GB"/>
        </w:rPr>
        <w:t>tion</w:t>
      </w:r>
      <w:r w:rsidR="00816067" w:rsidRPr="003A6023">
        <w:rPr>
          <w:lang w:val="en-GB"/>
        </w:rPr>
        <w:t xml:space="preserve"> </w:t>
      </w:r>
      <w:r w:rsidR="003D28D5">
        <w:rPr>
          <w:lang w:val="en-GB"/>
        </w:rPr>
        <w:t xml:space="preserve">on the </w:t>
      </w:r>
      <w:r w:rsidR="00EF7FF8" w:rsidRPr="003A6023">
        <w:rPr>
          <w:lang w:val="en-GB"/>
        </w:rPr>
        <w:t xml:space="preserve">VioGén </w:t>
      </w:r>
      <w:r w:rsidR="00EF7FF8">
        <w:rPr>
          <w:lang w:val="en-GB"/>
        </w:rPr>
        <w:t>S</w:t>
      </w:r>
      <w:r w:rsidR="003D28D5">
        <w:rPr>
          <w:lang w:val="en-GB"/>
        </w:rPr>
        <w:t>y</w:t>
      </w:r>
      <w:r w:rsidR="00816067" w:rsidRPr="003A6023">
        <w:rPr>
          <w:lang w:val="en-GB"/>
        </w:rPr>
        <w:t>stem see the midterm report (2018), p</w:t>
      </w:r>
      <w:r w:rsidR="003D28D5">
        <w:rPr>
          <w:lang w:val="en-GB"/>
        </w:rPr>
        <w:t>p</w:t>
      </w:r>
      <w:r w:rsidR="00816067" w:rsidRPr="003A6023">
        <w:rPr>
          <w:lang w:val="en-GB"/>
        </w:rPr>
        <w:t>. 17 and 18.</w:t>
      </w:r>
    </w:p>
    <w:p w14:paraId="6B1F32BE" w14:textId="760D14F9" w:rsidR="00816067" w:rsidRPr="003A6023" w:rsidRDefault="004F2531" w:rsidP="00816067">
      <w:pPr>
        <w:pStyle w:val="Textonotaalfinal"/>
        <w:jc w:val="both"/>
        <w:rPr>
          <w:lang w:val="en-GB"/>
        </w:rPr>
      </w:pPr>
      <w:r>
        <w:rPr>
          <w:vertAlign w:val="superscript"/>
          <w:lang w:val="en-GB"/>
        </w:rPr>
        <w:t>40</w:t>
      </w:r>
      <w:r w:rsidR="00816067" w:rsidRPr="003A6023">
        <w:rPr>
          <w:vertAlign w:val="superscript"/>
          <w:lang w:val="en-GB"/>
        </w:rPr>
        <w:t xml:space="preserve"> </w:t>
      </w:r>
      <w:r w:rsidR="00816067" w:rsidRPr="003A6023">
        <w:rPr>
          <w:lang w:val="en-GB"/>
        </w:rPr>
        <w:t>Instruc</w:t>
      </w:r>
      <w:r w:rsidR="003D28D5">
        <w:rPr>
          <w:lang w:val="en-GB"/>
        </w:rPr>
        <w:t>tion</w:t>
      </w:r>
      <w:r w:rsidR="00816067" w:rsidRPr="003A6023">
        <w:rPr>
          <w:lang w:val="en-GB"/>
        </w:rPr>
        <w:t xml:space="preserve"> 7/2019 </w:t>
      </w:r>
      <w:r w:rsidR="000514C9">
        <w:rPr>
          <w:lang w:val="en-GB"/>
        </w:rPr>
        <w:t xml:space="preserve">of the </w:t>
      </w:r>
      <w:r w:rsidR="00F027F9">
        <w:rPr>
          <w:lang w:val="en-GB"/>
        </w:rPr>
        <w:t>State Secretariat</w:t>
      </w:r>
      <w:r w:rsidR="00816067" w:rsidRPr="003A6023">
        <w:rPr>
          <w:lang w:val="en-GB"/>
        </w:rPr>
        <w:t xml:space="preserve"> </w:t>
      </w:r>
      <w:r w:rsidR="00F027F9">
        <w:rPr>
          <w:lang w:val="en-GB"/>
        </w:rPr>
        <w:t>for Security</w:t>
      </w:r>
      <w:r w:rsidR="00816067" w:rsidRPr="003A6023">
        <w:rPr>
          <w:lang w:val="en-GB"/>
        </w:rPr>
        <w:t xml:space="preserve">, </w:t>
      </w:r>
      <w:r w:rsidR="000514C9">
        <w:rPr>
          <w:lang w:val="en-GB"/>
        </w:rPr>
        <w:t xml:space="preserve">on </w:t>
      </w:r>
      <w:r w:rsidR="00F36661">
        <w:rPr>
          <w:lang w:val="en-GB"/>
        </w:rPr>
        <w:t xml:space="preserve">the inclusion in police reports </w:t>
      </w:r>
      <w:r w:rsidR="0078116D">
        <w:rPr>
          <w:lang w:val="en-GB"/>
        </w:rPr>
        <w:t xml:space="preserve">concerning </w:t>
      </w:r>
      <w:r w:rsidR="00816067" w:rsidRPr="003A6023">
        <w:rPr>
          <w:lang w:val="en-GB"/>
        </w:rPr>
        <w:t>gender</w:t>
      </w:r>
      <w:r w:rsidR="000514C9">
        <w:rPr>
          <w:lang w:val="en-GB"/>
        </w:rPr>
        <w:t>-based</w:t>
      </w:r>
      <w:r w:rsidR="00816067" w:rsidRPr="003A6023">
        <w:rPr>
          <w:lang w:val="en-GB"/>
        </w:rPr>
        <w:t xml:space="preserve"> violence </w:t>
      </w:r>
      <w:r w:rsidR="00F36661">
        <w:rPr>
          <w:lang w:val="en-GB"/>
        </w:rPr>
        <w:t xml:space="preserve">of </w:t>
      </w:r>
      <w:r w:rsidR="00E94D83">
        <w:rPr>
          <w:lang w:val="en-GB"/>
        </w:rPr>
        <w:t>documentation stating</w:t>
      </w:r>
      <w:r w:rsidR="002F407D">
        <w:rPr>
          <w:lang w:val="en-GB"/>
        </w:rPr>
        <w:t xml:space="preserve"> the </w:t>
      </w:r>
      <w:r w:rsidR="00505990">
        <w:rPr>
          <w:lang w:val="en-GB"/>
        </w:rPr>
        <w:t xml:space="preserve">irregular </w:t>
      </w:r>
      <w:r w:rsidR="003D28D5" w:rsidRPr="003A6023">
        <w:rPr>
          <w:lang w:val="en-GB"/>
        </w:rPr>
        <w:t>administrativ</w:t>
      </w:r>
      <w:r w:rsidR="003D28D5">
        <w:rPr>
          <w:lang w:val="en-GB"/>
        </w:rPr>
        <w:t>e</w:t>
      </w:r>
      <w:r w:rsidR="003D28D5" w:rsidRPr="003A6023">
        <w:rPr>
          <w:lang w:val="en-GB"/>
        </w:rPr>
        <w:t xml:space="preserve"> </w:t>
      </w:r>
      <w:r w:rsidR="002F407D">
        <w:rPr>
          <w:lang w:val="en-GB"/>
        </w:rPr>
        <w:t xml:space="preserve">situation </w:t>
      </w:r>
      <w:r w:rsidR="003D28D5">
        <w:rPr>
          <w:lang w:val="en-GB"/>
        </w:rPr>
        <w:t xml:space="preserve">of </w:t>
      </w:r>
      <w:r w:rsidR="00816067" w:rsidRPr="003A6023">
        <w:rPr>
          <w:lang w:val="en-GB"/>
        </w:rPr>
        <w:t>foreign victims.</w:t>
      </w:r>
    </w:p>
    <w:p w14:paraId="26EA81BC" w14:textId="1FE08B4C" w:rsidR="00816067" w:rsidRPr="003A6023" w:rsidRDefault="004F2531" w:rsidP="00816067">
      <w:pPr>
        <w:pStyle w:val="Textonotaalfinal"/>
        <w:jc w:val="both"/>
        <w:rPr>
          <w:lang w:val="en-GB"/>
        </w:rPr>
      </w:pPr>
      <w:r w:rsidRPr="004F2531">
        <w:rPr>
          <w:vertAlign w:val="superscript"/>
          <w:lang w:val="en-GB"/>
        </w:rPr>
        <w:t>4</w:t>
      </w:r>
      <w:r w:rsidR="00816067" w:rsidRPr="003A6023">
        <w:rPr>
          <w:rStyle w:val="Refdenotaalfinal"/>
          <w:lang w:val="en-GB"/>
        </w:rPr>
        <w:footnoteRef/>
      </w:r>
      <w:r w:rsidR="00816067" w:rsidRPr="003A6023">
        <w:rPr>
          <w:lang w:val="en-GB"/>
        </w:rPr>
        <w:t xml:space="preserve"> </w:t>
      </w:r>
      <w:hyperlink r:id="rId11" w:history="1">
        <w:r w:rsidR="00816067" w:rsidRPr="003A6023">
          <w:rPr>
            <w:rStyle w:val="Hipervnculo"/>
            <w:lang w:val="en-GB"/>
          </w:rPr>
          <w:t>http://www.violenciagenero.igualdad.mpr.gob.es/violenciaEnCifras/estudios/investigaciones/2019/estudio/Tiempo_Tardan_Verbalizar_Situacion.htm</w:t>
        </w:r>
      </w:hyperlink>
      <w:r w:rsidR="00816067" w:rsidRPr="003A6023">
        <w:rPr>
          <w:lang w:val="en-GB"/>
        </w:rPr>
        <w:t xml:space="preserve"> </w:t>
      </w:r>
    </w:p>
    <w:p w14:paraId="0D7FD38E" w14:textId="20D0F6BF" w:rsidR="00816067" w:rsidRPr="003A6023" w:rsidRDefault="004F2531" w:rsidP="00816067">
      <w:pPr>
        <w:pStyle w:val="Textonotaalfinal"/>
        <w:jc w:val="both"/>
        <w:rPr>
          <w:lang w:val="en-GB"/>
        </w:rPr>
      </w:pPr>
      <w:r>
        <w:rPr>
          <w:vertAlign w:val="superscript"/>
          <w:lang w:val="en-GB"/>
        </w:rPr>
        <w:t>42</w:t>
      </w:r>
      <w:r w:rsidR="00816067" w:rsidRPr="003A6023">
        <w:rPr>
          <w:vertAlign w:val="superscript"/>
          <w:lang w:val="en-GB"/>
        </w:rPr>
        <w:t xml:space="preserve"> </w:t>
      </w:r>
      <w:r w:rsidR="00816067" w:rsidRPr="003A6023">
        <w:rPr>
          <w:lang w:val="en-GB"/>
        </w:rPr>
        <w:t xml:space="preserve">For further information on </w:t>
      </w:r>
      <w:r w:rsidR="00EF7FF8">
        <w:rPr>
          <w:lang w:val="en-GB"/>
        </w:rPr>
        <w:t xml:space="preserve">labour-related </w:t>
      </w:r>
      <w:r w:rsidR="00816067" w:rsidRPr="003A6023">
        <w:rPr>
          <w:lang w:val="en-GB"/>
        </w:rPr>
        <w:t>instruments and practices see the midterm report (2018), p. 15.</w:t>
      </w:r>
    </w:p>
    <w:p w14:paraId="7BE3A248" w14:textId="60041FC2" w:rsidR="00816067" w:rsidRPr="003A6023" w:rsidRDefault="004F2531" w:rsidP="00816067">
      <w:pPr>
        <w:pStyle w:val="Textonotaalfinal"/>
        <w:jc w:val="both"/>
        <w:rPr>
          <w:lang w:val="en-GB"/>
        </w:rPr>
      </w:pPr>
      <w:r>
        <w:rPr>
          <w:rStyle w:val="Refdenotaalfinal"/>
          <w:lang w:val="en-GB"/>
        </w:rPr>
        <w:t>4</w:t>
      </w:r>
      <w:r w:rsidRPr="004F2531">
        <w:rPr>
          <w:vertAlign w:val="superscript"/>
          <w:lang w:val="en-GB"/>
        </w:rPr>
        <w:t>3</w:t>
      </w:r>
      <w:r w:rsidR="00816067" w:rsidRPr="003A6023">
        <w:rPr>
          <w:lang w:val="en-GB"/>
        </w:rPr>
        <w:t xml:space="preserve"> </w:t>
      </w:r>
      <w:hyperlink r:id="rId12" w:history="1">
        <w:r w:rsidR="00816067" w:rsidRPr="003A6023">
          <w:rPr>
            <w:rStyle w:val="Hipervnculo"/>
            <w:lang w:val="en-GB"/>
          </w:rPr>
          <w:t>http://www.mitramiss.gob.es/es/destacados/HOME/documentos/Informe_mujeres_febrero_2019.pdf</w:t>
        </w:r>
      </w:hyperlink>
      <w:r w:rsidR="00816067" w:rsidRPr="003A6023">
        <w:rPr>
          <w:lang w:val="en-GB"/>
        </w:rPr>
        <w:t xml:space="preserve"> </w:t>
      </w:r>
    </w:p>
    <w:p w14:paraId="66D5B118" w14:textId="783CD9CF" w:rsidR="00816067" w:rsidRPr="003A6023" w:rsidRDefault="004F2531" w:rsidP="00816067">
      <w:pPr>
        <w:pStyle w:val="Textonotaalfinal"/>
        <w:jc w:val="both"/>
        <w:rPr>
          <w:lang w:val="en-GB"/>
        </w:rPr>
      </w:pPr>
      <w:r>
        <w:rPr>
          <w:vertAlign w:val="superscript"/>
          <w:lang w:val="en-GB"/>
        </w:rPr>
        <w:t>44</w:t>
      </w:r>
      <w:r w:rsidR="00816067" w:rsidRPr="003A6023">
        <w:rPr>
          <w:vertAlign w:val="superscript"/>
          <w:lang w:val="en-GB"/>
        </w:rPr>
        <w:t xml:space="preserve"> </w:t>
      </w:r>
      <w:r w:rsidR="00816067" w:rsidRPr="003A6023">
        <w:rPr>
          <w:lang w:val="en-GB"/>
        </w:rPr>
        <w:t>Resolu</w:t>
      </w:r>
      <w:r w:rsidR="003D28D5">
        <w:rPr>
          <w:lang w:val="en-GB"/>
        </w:rPr>
        <w:t>tion</w:t>
      </w:r>
      <w:r w:rsidR="00816067" w:rsidRPr="003A6023">
        <w:rPr>
          <w:lang w:val="en-GB"/>
        </w:rPr>
        <w:t xml:space="preserve"> of 16 November 2018, </w:t>
      </w:r>
      <w:r w:rsidR="003D28D5">
        <w:rPr>
          <w:lang w:val="en-GB"/>
        </w:rPr>
        <w:t xml:space="preserve">of the </w:t>
      </w:r>
      <w:r w:rsidR="00F027F9">
        <w:rPr>
          <w:lang w:val="en-GB"/>
        </w:rPr>
        <w:t>State Secretariat</w:t>
      </w:r>
      <w:r w:rsidR="00816067" w:rsidRPr="003A6023">
        <w:rPr>
          <w:lang w:val="en-GB"/>
        </w:rPr>
        <w:t xml:space="preserve"> </w:t>
      </w:r>
      <w:r w:rsidR="003D28D5">
        <w:rPr>
          <w:lang w:val="en-GB"/>
        </w:rPr>
        <w:t>for the Civil Service</w:t>
      </w:r>
      <w:r w:rsidR="00816067" w:rsidRPr="003A6023">
        <w:rPr>
          <w:lang w:val="en-GB"/>
        </w:rPr>
        <w:t xml:space="preserve">, </w:t>
      </w:r>
      <w:r w:rsidR="0078116D">
        <w:rPr>
          <w:lang w:val="en-GB"/>
        </w:rPr>
        <w:t xml:space="preserve">publishing the </w:t>
      </w:r>
      <w:r w:rsidR="00D05729">
        <w:rPr>
          <w:lang w:val="en-GB"/>
        </w:rPr>
        <w:t>Decision</w:t>
      </w:r>
      <w:r w:rsidR="0078116D">
        <w:rPr>
          <w:lang w:val="en-GB"/>
        </w:rPr>
        <w:t xml:space="preserve"> of the </w:t>
      </w:r>
      <w:r w:rsidR="0078116D" w:rsidRPr="003A6023">
        <w:rPr>
          <w:lang w:val="en-GB"/>
        </w:rPr>
        <w:t xml:space="preserve">Sectoral </w:t>
      </w:r>
      <w:r w:rsidR="00816067" w:rsidRPr="003A6023">
        <w:rPr>
          <w:lang w:val="en-GB"/>
        </w:rPr>
        <w:t>Conferenc</w:t>
      </w:r>
      <w:r w:rsidR="0078116D">
        <w:rPr>
          <w:lang w:val="en-GB"/>
        </w:rPr>
        <w:t>e</w:t>
      </w:r>
      <w:r w:rsidR="00816067" w:rsidRPr="003A6023">
        <w:rPr>
          <w:lang w:val="en-GB"/>
        </w:rPr>
        <w:t xml:space="preserve"> </w:t>
      </w:r>
      <w:r w:rsidR="0078116D">
        <w:rPr>
          <w:lang w:val="en-GB"/>
        </w:rPr>
        <w:t xml:space="preserve">of </w:t>
      </w:r>
      <w:r w:rsidR="003D28D5" w:rsidRPr="003A6023">
        <w:rPr>
          <w:lang w:val="en-GB"/>
        </w:rPr>
        <w:t>P</w:t>
      </w:r>
      <w:r w:rsidR="003D28D5">
        <w:rPr>
          <w:lang w:val="en-GB"/>
        </w:rPr>
        <w:t>u</w:t>
      </w:r>
      <w:r w:rsidR="003D28D5" w:rsidRPr="003A6023">
        <w:rPr>
          <w:lang w:val="en-GB"/>
        </w:rPr>
        <w:t xml:space="preserve">blic </w:t>
      </w:r>
      <w:r w:rsidR="00816067" w:rsidRPr="003A6023">
        <w:rPr>
          <w:lang w:val="en-GB"/>
        </w:rPr>
        <w:t>Administra</w:t>
      </w:r>
      <w:r w:rsidR="003D28D5">
        <w:rPr>
          <w:lang w:val="en-GB"/>
        </w:rPr>
        <w:t>tion</w:t>
      </w:r>
      <w:r w:rsidR="00816067" w:rsidRPr="003A6023">
        <w:rPr>
          <w:lang w:val="en-GB"/>
        </w:rPr>
        <w:t xml:space="preserve">, </w:t>
      </w:r>
      <w:r w:rsidR="00452891">
        <w:rPr>
          <w:lang w:val="en-GB"/>
        </w:rPr>
        <w:t xml:space="preserve">approving the </w:t>
      </w:r>
      <w:r w:rsidR="00D05729">
        <w:rPr>
          <w:lang w:val="en-GB"/>
        </w:rPr>
        <w:t>Decision</w:t>
      </w:r>
      <w:r w:rsidR="00452891">
        <w:rPr>
          <w:lang w:val="en-GB"/>
        </w:rPr>
        <w:t xml:space="preserve"> to favour the </w:t>
      </w:r>
      <w:r w:rsidR="00816067" w:rsidRPr="003A6023">
        <w:rPr>
          <w:lang w:val="en-GB"/>
        </w:rPr>
        <w:t>inter</w:t>
      </w:r>
      <w:r w:rsidR="003D28D5">
        <w:rPr>
          <w:lang w:val="en-GB"/>
        </w:rPr>
        <w:t>-</w:t>
      </w:r>
      <w:r w:rsidR="00816067" w:rsidRPr="003A6023">
        <w:rPr>
          <w:lang w:val="en-GB"/>
        </w:rPr>
        <w:t>administrativ</w:t>
      </w:r>
      <w:r w:rsidR="003D28D5">
        <w:rPr>
          <w:lang w:val="en-GB"/>
        </w:rPr>
        <w:t>e mobility</w:t>
      </w:r>
      <w:r w:rsidR="00816067" w:rsidRPr="003A6023">
        <w:rPr>
          <w:lang w:val="en-GB"/>
        </w:rPr>
        <w:t xml:space="preserve"> </w:t>
      </w:r>
      <w:r w:rsidR="003D28D5">
        <w:rPr>
          <w:lang w:val="en-GB"/>
        </w:rPr>
        <w:t xml:space="preserve">of </w:t>
      </w:r>
      <w:r w:rsidR="00EF7FF8">
        <w:rPr>
          <w:lang w:val="en-GB"/>
        </w:rPr>
        <w:t xml:space="preserve">female </w:t>
      </w:r>
      <w:r w:rsidR="00F027F9">
        <w:rPr>
          <w:lang w:val="en-GB"/>
        </w:rPr>
        <w:t>public employee</w:t>
      </w:r>
      <w:r w:rsidR="00EF7FF8">
        <w:rPr>
          <w:lang w:val="en-GB"/>
        </w:rPr>
        <w:t>s</w:t>
      </w:r>
      <w:r w:rsidR="00816067" w:rsidRPr="003A6023">
        <w:rPr>
          <w:lang w:val="en-GB"/>
        </w:rPr>
        <w:t xml:space="preserve"> </w:t>
      </w:r>
      <w:r w:rsidR="00EF7FF8">
        <w:rPr>
          <w:lang w:val="en-GB"/>
        </w:rPr>
        <w:t xml:space="preserve">who are </w:t>
      </w:r>
      <w:r w:rsidR="00816067" w:rsidRPr="003A6023">
        <w:rPr>
          <w:lang w:val="en-GB"/>
        </w:rPr>
        <w:t>v</w:t>
      </w:r>
      <w:r w:rsidR="003D28D5">
        <w:rPr>
          <w:lang w:val="en-GB"/>
        </w:rPr>
        <w:t>i</w:t>
      </w:r>
      <w:r w:rsidR="00816067" w:rsidRPr="003A6023">
        <w:rPr>
          <w:lang w:val="en-GB"/>
        </w:rPr>
        <w:t xml:space="preserve">ctims </w:t>
      </w:r>
      <w:r w:rsidR="003D28D5">
        <w:rPr>
          <w:lang w:val="en-GB"/>
        </w:rPr>
        <w:t xml:space="preserve">of </w:t>
      </w:r>
      <w:r w:rsidR="00816067" w:rsidRPr="003A6023">
        <w:rPr>
          <w:lang w:val="en-GB"/>
        </w:rPr>
        <w:t>gender</w:t>
      </w:r>
      <w:r w:rsidR="00EF7FF8">
        <w:rPr>
          <w:lang w:val="en-GB"/>
        </w:rPr>
        <w:t>-based</w:t>
      </w:r>
      <w:r w:rsidR="00816067" w:rsidRPr="003A6023">
        <w:rPr>
          <w:lang w:val="en-GB"/>
        </w:rPr>
        <w:t xml:space="preserve"> violence.</w:t>
      </w:r>
    </w:p>
    <w:p w14:paraId="2EF7D92F" w14:textId="7788F825" w:rsidR="00816067" w:rsidRPr="003A6023" w:rsidRDefault="004F2531" w:rsidP="00816067">
      <w:pPr>
        <w:pStyle w:val="Textonotaalfinal"/>
        <w:jc w:val="both"/>
        <w:rPr>
          <w:lang w:val="en-GB"/>
        </w:rPr>
      </w:pPr>
      <w:r>
        <w:rPr>
          <w:vertAlign w:val="superscript"/>
          <w:lang w:val="en-GB"/>
        </w:rPr>
        <w:t>45</w:t>
      </w:r>
      <w:r w:rsidR="00816067" w:rsidRPr="003A6023">
        <w:rPr>
          <w:vertAlign w:val="superscript"/>
          <w:lang w:val="en-GB"/>
        </w:rPr>
        <w:t xml:space="preserve"> </w:t>
      </w:r>
      <w:r w:rsidR="00816067" w:rsidRPr="003A6023">
        <w:rPr>
          <w:lang w:val="en-GB"/>
        </w:rPr>
        <w:t>http://www.ciencia.gob.es/stfls/MICINN/Ministerio/FICHEROS/UMYC/Cientificas_cifras_2017.pdf</w:t>
      </w:r>
    </w:p>
    <w:p w14:paraId="7553B664" w14:textId="5DA85A34" w:rsidR="00816067" w:rsidRPr="003A6023" w:rsidRDefault="004F2531" w:rsidP="00816067">
      <w:pPr>
        <w:pStyle w:val="Textonotaalfinal"/>
        <w:jc w:val="both"/>
        <w:rPr>
          <w:lang w:val="en-GB"/>
        </w:rPr>
      </w:pPr>
      <w:r>
        <w:rPr>
          <w:rStyle w:val="Refdenotaalfinal"/>
          <w:lang w:val="en-GB"/>
        </w:rPr>
        <w:t>4</w:t>
      </w:r>
      <w:r w:rsidRPr="004F2531">
        <w:rPr>
          <w:vertAlign w:val="superscript"/>
          <w:lang w:val="en-GB"/>
        </w:rPr>
        <w:t>6</w:t>
      </w:r>
      <w:r w:rsidR="00816067" w:rsidRPr="003A6023">
        <w:rPr>
          <w:lang w:val="en-GB"/>
        </w:rPr>
        <w:t xml:space="preserve"> </w:t>
      </w:r>
      <w:hyperlink r:id="rId13" w:history="1">
        <w:r w:rsidR="00816067" w:rsidRPr="003A6023">
          <w:rPr>
            <w:rStyle w:val="Hipervnculo"/>
            <w:lang w:val="en-GB"/>
          </w:rPr>
          <w:t>http://www.mineco.gob.es/stfls/mineco/ministerio/ficheros/libreria/LibroBlancoFINAL.pdf</w:t>
        </w:r>
      </w:hyperlink>
      <w:r w:rsidR="00816067" w:rsidRPr="003A6023">
        <w:rPr>
          <w:lang w:val="en-GB"/>
        </w:rPr>
        <w:t xml:space="preserve"> </w:t>
      </w:r>
    </w:p>
    <w:p w14:paraId="2788FDC3" w14:textId="568FD74F" w:rsidR="00816067" w:rsidRPr="003A6023" w:rsidRDefault="00EF7FF8" w:rsidP="00816067">
      <w:pPr>
        <w:pStyle w:val="Textonotaalfinal"/>
        <w:jc w:val="both"/>
        <w:rPr>
          <w:lang w:val="en-GB"/>
        </w:rPr>
      </w:pPr>
      <w:r>
        <w:rPr>
          <w:vertAlign w:val="superscript"/>
          <w:lang w:val="en-GB"/>
        </w:rPr>
        <w:t>47</w:t>
      </w:r>
      <w:r w:rsidR="00816067" w:rsidRPr="003A6023">
        <w:rPr>
          <w:vertAlign w:val="superscript"/>
          <w:lang w:val="en-GB"/>
        </w:rPr>
        <w:t xml:space="preserve"> </w:t>
      </w:r>
      <w:r w:rsidR="00816067" w:rsidRPr="003A6023">
        <w:rPr>
          <w:lang w:val="en-GB"/>
        </w:rPr>
        <w:t>For further information on specific actions undertaken by Spanish Cooperation in this sphere, see the midterm report (2018), p</w:t>
      </w:r>
      <w:r w:rsidR="003D28D5">
        <w:rPr>
          <w:lang w:val="en-GB"/>
        </w:rPr>
        <w:t>p</w:t>
      </w:r>
      <w:r w:rsidR="00816067" w:rsidRPr="003A6023">
        <w:rPr>
          <w:lang w:val="en-GB"/>
        </w:rPr>
        <w:t>. 16 and 17.</w:t>
      </w:r>
    </w:p>
    <w:p w14:paraId="4D7BD6D0" w14:textId="69154AF0" w:rsidR="00816067" w:rsidRPr="003A6023" w:rsidRDefault="00EF7FF8" w:rsidP="00816067">
      <w:pPr>
        <w:pStyle w:val="Textonotaalfinal"/>
        <w:jc w:val="both"/>
        <w:rPr>
          <w:lang w:val="en-GB"/>
        </w:rPr>
      </w:pPr>
      <w:r>
        <w:rPr>
          <w:vertAlign w:val="superscript"/>
          <w:lang w:val="en-GB"/>
        </w:rPr>
        <w:t>48</w:t>
      </w:r>
      <w:r w:rsidR="00816067" w:rsidRPr="003A6023">
        <w:rPr>
          <w:vertAlign w:val="superscript"/>
          <w:lang w:val="en-GB"/>
        </w:rPr>
        <w:t xml:space="preserve"> </w:t>
      </w:r>
      <w:r w:rsidR="00816067" w:rsidRPr="003A6023">
        <w:rPr>
          <w:lang w:val="en-GB"/>
        </w:rPr>
        <w:t>For further information on specific actions undertaken by Spanish Cooperation in this sphere, see the midterm report (2018), p</w:t>
      </w:r>
      <w:r w:rsidR="003D28D5">
        <w:rPr>
          <w:lang w:val="en-GB"/>
        </w:rPr>
        <w:t>p</w:t>
      </w:r>
      <w:r w:rsidR="00816067" w:rsidRPr="003A6023">
        <w:rPr>
          <w:lang w:val="en-GB"/>
        </w:rPr>
        <w:t>. 16 and 17.</w:t>
      </w:r>
    </w:p>
    <w:p w14:paraId="22ECD383" w14:textId="129BDADD" w:rsidR="00816067" w:rsidRPr="003A6023" w:rsidRDefault="00EF7FF8" w:rsidP="00816067">
      <w:pPr>
        <w:pStyle w:val="Textonotaalfinal"/>
        <w:jc w:val="both"/>
        <w:rPr>
          <w:lang w:val="en-GB"/>
        </w:rPr>
      </w:pPr>
      <w:r>
        <w:rPr>
          <w:vertAlign w:val="superscript"/>
          <w:lang w:val="en-GB"/>
        </w:rPr>
        <w:t>49</w:t>
      </w:r>
      <w:r w:rsidR="00816067" w:rsidRPr="003A6023">
        <w:rPr>
          <w:vertAlign w:val="superscript"/>
          <w:lang w:val="en-GB"/>
        </w:rPr>
        <w:t xml:space="preserve"> </w:t>
      </w:r>
      <w:r w:rsidR="00816067" w:rsidRPr="003A6023">
        <w:rPr>
          <w:lang w:val="en-GB"/>
        </w:rPr>
        <w:t>Held in April 2019.</w:t>
      </w:r>
    </w:p>
    <w:p w14:paraId="727B1C48" w14:textId="00224F47" w:rsidR="00816067" w:rsidRPr="003A6023" w:rsidRDefault="00EF7FF8" w:rsidP="00816067">
      <w:pPr>
        <w:pStyle w:val="Textonotaalfinal"/>
        <w:jc w:val="both"/>
        <w:rPr>
          <w:lang w:val="en-GB"/>
        </w:rPr>
      </w:pPr>
      <w:r>
        <w:rPr>
          <w:vertAlign w:val="superscript"/>
          <w:lang w:val="en-GB"/>
        </w:rPr>
        <w:t>50</w:t>
      </w:r>
      <w:r w:rsidR="00816067" w:rsidRPr="003A6023">
        <w:rPr>
          <w:vertAlign w:val="superscript"/>
          <w:lang w:val="en-GB"/>
        </w:rPr>
        <w:t xml:space="preserve"> </w:t>
      </w:r>
      <w:r w:rsidR="00816067" w:rsidRPr="003A6023">
        <w:rPr>
          <w:lang w:val="en-GB" w:eastAsia="en-US"/>
        </w:rPr>
        <w:t>Ministry of the Presidency, Relations with Parliament and Equality.</w:t>
      </w:r>
    </w:p>
    <w:p w14:paraId="77F8F23C" w14:textId="1FB7B880" w:rsidR="00816067" w:rsidRPr="003A6023" w:rsidRDefault="00EF7FF8" w:rsidP="00816067">
      <w:pPr>
        <w:pStyle w:val="Textonotaalfinal"/>
        <w:jc w:val="both"/>
        <w:rPr>
          <w:lang w:val="en-GB"/>
        </w:rPr>
      </w:pPr>
      <w:r>
        <w:rPr>
          <w:vertAlign w:val="superscript"/>
          <w:lang w:val="en-GB"/>
        </w:rPr>
        <w:t>5</w:t>
      </w:r>
      <w:r w:rsidR="00816067" w:rsidRPr="003A6023">
        <w:rPr>
          <w:vertAlign w:val="superscript"/>
          <w:lang w:val="en-GB"/>
        </w:rPr>
        <w:footnoteRef/>
      </w:r>
      <w:r w:rsidR="00816067" w:rsidRPr="003A6023">
        <w:rPr>
          <w:vertAlign w:val="superscript"/>
          <w:lang w:val="en-GB"/>
        </w:rPr>
        <w:t xml:space="preserve"> </w:t>
      </w:r>
      <w:r w:rsidR="0078116D">
        <w:rPr>
          <w:lang w:val="en-GB"/>
        </w:rPr>
        <w:t xml:space="preserve">Courses of particular note are: </w:t>
      </w:r>
      <w:r w:rsidR="00816067" w:rsidRPr="003A6023">
        <w:rPr>
          <w:i/>
          <w:lang w:val="en-GB"/>
        </w:rPr>
        <w:t>A Comprehensive Approach to Gender in Operations</w:t>
      </w:r>
      <w:r w:rsidR="00816067" w:rsidRPr="003A6023">
        <w:rPr>
          <w:lang w:val="en-GB"/>
        </w:rPr>
        <w:t xml:space="preserve">, </w:t>
      </w:r>
      <w:r w:rsidR="0078116D">
        <w:rPr>
          <w:lang w:val="en-GB"/>
        </w:rPr>
        <w:t xml:space="preserve">accredited </w:t>
      </w:r>
      <w:r w:rsidR="00207906">
        <w:rPr>
          <w:lang w:val="en-GB"/>
        </w:rPr>
        <w:t xml:space="preserve">by the </w:t>
      </w:r>
      <w:r w:rsidR="00816067" w:rsidRPr="003A6023">
        <w:rPr>
          <w:lang w:val="en-GB"/>
        </w:rPr>
        <w:t>Europe</w:t>
      </w:r>
      <w:r w:rsidR="003D28D5">
        <w:rPr>
          <w:lang w:val="en-GB"/>
        </w:rPr>
        <w:t xml:space="preserve">an </w:t>
      </w:r>
      <w:r w:rsidR="0078116D">
        <w:rPr>
          <w:lang w:val="en-GB"/>
        </w:rPr>
        <w:t xml:space="preserve">Security and Defence </w:t>
      </w:r>
      <w:r w:rsidR="003D28D5">
        <w:rPr>
          <w:lang w:val="en-GB"/>
        </w:rPr>
        <w:t>College</w:t>
      </w:r>
      <w:r>
        <w:rPr>
          <w:lang w:val="en-GB"/>
        </w:rPr>
        <w:t>;</w:t>
      </w:r>
      <w:r w:rsidR="00816067" w:rsidRPr="003A6023">
        <w:rPr>
          <w:lang w:val="en-GB"/>
        </w:rPr>
        <w:t xml:space="preserve"> </w:t>
      </w:r>
      <w:r w:rsidR="00E375AC">
        <w:rPr>
          <w:lang w:val="en-GB"/>
        </w:rPr>
        <w:t xml:space="preserve">the </w:t>
      </w:r>
      <w:r w:rsidR="00816067" w:rsidRPr="003A6023">
        <w:rPr>
          <w:lang w:val="en-GB"/>
        </w:rPr>
        <w:t>African</w:t>
      </w:r>
      <w:r w:rsidR="00E375AC">
        <w:rPr>
          <w:lang w:val="en-GB"/>
        </w:rPr>
        <w:t xml:space="preserve"> </w:t>
      </w:r>
      <w:r>
        <w:rPr>
          <w:lang w:val="en-GB"/>
        </w:rPr>
        <w:t xml:space="preserve">course </w:t>
      </w:r>
      <w:r w:rsidR="00816067" w:rsidRPr="003A6023">
        <w:rPr>
          <w:i/>
          <w:lang w:val="en-GB"/>
        </w:rPr>
        <w:t xml:space="preserve">Gender in Peace Support Operations: </w:t>
      </w:r>
      <w:r w:rsidR="00E212B7">
        <w:rPr>
          <w:i/>
          <w:lang w:val="en-GB"/>
        </w:rPr>
        <w:t>A</w:t>
      </w:r>
      <w:r w:rsidR="00816067" w:rsidRPr="003A6023">
        <w:rPr>
          <w:i/>
          <w:lang w:val="en-GB"/>
        </w:rPr>
        <w:t xml:space="preserve"> Comprehensive Approach </w:t>
      </w:r>
      <w:r w:rsidR="00F027F9">
        <w:rPr>
          <w:lang w:val="en-GB"/>
        </w:rPr>
        <w:t>and</w:t>
      </w:r>
      <w:r w:rsidR="00816067" w:rsidRPr="003A6023">
        <w:rPr>
          <w:lang w:val="en-GB"/>
        </w:rPr>
        <w:t xml:space="preserve"> </w:t>
      </w:r>
      <w:r w:rsidR="003D28D5">
        <w:rPr>
          <w:lang w:val="en-GB"/>
        </w:rPr>
        <w:t xml:space="preserve">the </w:t>
      </w:r>
      <w:r w:rsidR="00816067" w:rsidRPr="003A6023">
        <w:rPr>
          <w:i/>
          <w:lang w:val="en-GB"/>
        </w:rPr>
        <w:t>Discipline Leader</w:t>
      </w:r>
      <w:r>
        <w:rPr>
          <w:i/>
          <w:lang w:val="en-GB"/>
        </w:rPr>
        <w:t xml:space="preserve"> </w:t>
      </w:r>
      <w:r>
        <w:rPr>
          <w:lang w:val="en-GB"/>
        </w:rPr>
        <w:t>s</w:t>
      </w:r>
      <w:r w:rsidRPr="003A6023">
        <w:rPr>
          <w:lang w:val="en-GB"/>
        </w:rPr>
        <w:t>eminar</w:t>
      </w:r>
      <w:r w:rsidR="00816067" w:rsidRPr="003A6023">
        <w:rPr>
          <w:lang w:val="en-GB"/>
        </w:rPr>
        <w:t>.</w:t>
      </w:r>
    </w:p>
    <w:p w14:paraId="2471E035" w14:textId="0561D636" w:rsidR="00816067" w:rsidRPr="003A6023" w:rsidRDefault="00EF7FF8" w:rsidP="00816067">
      <w:pPr>
        <w:pStyle w:val="Textonotaalfinal"/>
        <w:jc w:val="both"/>
        <w:rPr>
          <w:lang w:val="en-GB"/>
        </w:rPr>
      </w:pPr>
      <w:r>
        <w:rPr>
          <w:vertAlign w:val="superscript"/>
          <w:lang w:val="en-GB"/>
        </w:rPr>
        <w:t>52</w:t>
      </w:r>
      <w:r w:rsidR="00816067" w:rsidRPr="003A6023">
        <w:rPr>
          <w:vertAlign w:val="superscript"/>
          <w:lang w:val="en-GB"/>
        </w:rPr>
        <w:t xml:space="preserve"> </w:t>
      </w:r>
      <w:r w:rsidR="00183D92">
        <w:rPr>
          <w:lang w:val="en-GB" w:eastAsia="en-US"/>
        </w:rPr>
        <w:t xml:space="preserve">Responsible for </w:t>
      </w:r>
      <w:r w:rsidR="00F027F9">
        <w:rPr>
          <w:lang w:val="en-GB" w:eastAsia="en-US"/>
        </w:rPr>
        <w:t xml:space="preserve">mainstreaming the </w:t>
      </w:r>
      <w:r w:rsidR="00816067" w:rsidRPr="003A6023">
        <w:rPr>
          <w:lang w:val="en-GB" w:eastAsia="en-US"/>
        </w:rPr>
        <w:t xml:space="preserve">gender perspective in all dimensions of Spanish foreign policy </w:t>
      </w:r>
      <w:r w:rsidR="00F027F9">
        <w:rPr>
          <w:lang w:val="en-GB" w:eastAsia="en-US"/>
        </w:rPr>
        <w:t>and</w:t>
      </w:r>
      <w:r w:rsidR="00816067" w:rsidRPr="003A6023">
        <w:rPr>
          <w:lang w:val="en-GB" w:eastAsia="en-US"/>
        </w:rPr>
        <w:t xml:space="preserve"> </w:t>
      </w:r>
      <w:r w:rsidR="00183D92">
        <w:rPr>
          <w:lang w:val="en-GB" w:eastAsia="en-US"/>
        </w:rPr>
        <w:t>in the manner in which it is formulated</w:t>
      </w:r>
      <w:r w:rsidR="00816067" w:rsidRPr="003A6023">
        <w:rPr>
          <w:lang w:val="en-GB" w:eastAsia="en-US"/>
        </w:rPr>
        <w:t>.</w:t>
      </w:r>
    </w:p>
    <w:p w14:paraId="3FB32732" w14:textId="3A9D5827" w:rsidR="00816067" w:rsidRPr="003A6023" w:rsidRDefault="00EF7FF8" w:rsidP="00816067">
      <w:pPr>
        <w:pStyle w:val="Textonotaalfinal"/>
        <w:jc w:val="both"/>
        <w:rPr>
          <w:lang w:val="en-GB"/>
        </w:rPr>
      </w:pPr>
      <w:r>
        <w:rPr>
          <w:vertAlign w:val="superscript"/>
          <w:lang w:val="en-GB"/>
        </w:rPr>
        <w:t>53</w:t>
      </w:r>
      <w:r w:rsidR="005F0113">
        <w:rPr>
          <w:vertAlign w:val="superscript"/>
          <w:lang w:val="en-GB"/>
        </w:rPr>
        <w:t xml:space="preserve"> </w:t>
      </w:r>
      <w:r w:rsidR="00183D92">
        <w:rPr>
          <w:lang w:val="en-GB"/>
        </w:rPr>
        <w:t xml:space="preserve">Position </w:t>
      </w:r>
      <w:r w:rsidR="00D05729">
        <w:rPr>
          <w:lang w:val="en-GB"/>
        </w:rPr>
        <w:t>created</w:t>
      </w:r>
      <w:r w:rsidR="00183D92">
        <w:rPr>
          <w:lang w:val="en-GB"/>
        </w:rPr>
        <w:t xml:space="preserve"> by the </w:t>
      </w:r>
      <w:r w:rsidR="00183D92" w:rsidRPr="003A6023">
        <w:rPr>
          <w:lang w:val="en-GB" w:eastAsia="en-US"/>
        </w:rPr>
        <w:t>2015</w:t>
      </w:r>
      <w:r w:rsidR="00183D92">
        <w:rPr>
          <w:lang w:val="en-GB" w:eastAsia="en-US"/>
        </w:rPr>
        <w:t xml:space="preserve"> </w:t>
      </w:r>
      <w:r w:rsidR="00207906">
        <w:rPr>
          <w:lang w:val="en-GB"/>
        </w:rPr>
        <w:t xml:space="preserve">Action </w:t>
      </w:r>
      <w:r w:rsidR="00816067" w:rsidRPr="003A6023">
        <w:rPr>
          <w:lang w:val="en-GB" w:eastAsia="en-US"/>
        </w:rPr>
        <w:t xml:space="preserve">Protocol </w:t>
      </w:r>
      <w:r w:rsidR="00207906">
        <w:rPr>
          <w:lang w:val="en-GB" w:eastAsia="en-US"/>
        </w:rPr>
        <w:t xml:space="preserve">for </w:t>
      </w:r>
      <w:r w:rsidR="00183D92">
        <w:rPr>
          <w:lang w:val="en-GB" w:eastAsia="en-US"/>
        </w:rPr>
        <w:t xml:space="preserve">Assisting </w:t>
      </w:r>
      <w:r w:rsidR="003D28D5">
        <w:rPr>
          <w:lang w:val="en-GB" w:eastAsia="en-US"/>
        </w:rPr>
        <w:t xml:space="preserve">Spanish Women who are </w:t>
      </w:r>
      <w:r w:rsidR="00816067" w:rsidRPr="003A6023">
        <w:rPr>
          <w:lang w:val="en-GB" w:eastAsia="en-US"/>
        </w:rPr>
        <w:t>Victims of Gender</w:t>
      </w:r>
      <w:r>
        <w:rPr>
          <w:lang w:val="en-GB" w:eastAsia="en-US"/>
        </w:rPr>
        <w:t>-based</w:t>
      </w:r>
      <w:r w:rsidR="00816067" w:rsidRPr="003A6023">
        <w:rPr>
          <w:lang w:val="en-GB" w:eastAsia="en-US"/>
        </w:rPr>
        <w:t xml:space="preserve"> Violence </w:t>
      </w:r>
      <w:r w:rsidR="003D28D5">
        <w:rPr>
          <w:lang w:val="en-GB" w:eastAsia="en-US"/>
        </w:rPr>
        <w:t>Abroad</w:t>
      </w:r>
      <w:r w:rsidR="00816067" w:rsidRPr="003A6023">
        <w:rPr>
          <w:lang w:val="en-GB" w:eastAsia="en-US"/>
        </w:rPr>
        <w:t>.</w:t>
      </w:r>
    </w:p>
    <w:p w14:paraId="56F3901D" w14:textId="6F18BE44" w:rsidR="00816067" w:rsidRPr="003A6023" w:rsidRDefault="005F0113" w:rsidP="00816067">
      <w:pPr>
        <w:pStyle w:val="Textonotaalfinal"/>
        <w:jc w:val="both"/>
        <w:rPr>
          <w:lang w:val="en-GB"/>
        </w:rPr>
      </w:pPr>
      <w:r>
        <w:rPr>
          <w:vertAlign w:val="superscript"/>
          <w:lang w:val="en-GB"/>
        </w:rPr>
        <w:t>54</w:t>
      </w:r>
      <w:r w:rsidR="00816067" w:rsidRPr="003A6023">
        <w:rPr>
          <w:vertAlign w:val="superscript"/>
          <w:lang w:val="en-GB"/>
        </w:rPr>
        <w:t xml:space="preserve"> </w:t>
      </w:r>
      <w:r w:rsidR="00816067" w:rsidRPr="003A6023">
        <w:rPr>
          <w:lang w:val="en-GB"/>
        </w:rPr>
        <w:t>UPR recommendations 131.35, 131.36, 131.37 (noted), 131.38, 131.39, 131.40, 131.41, 131.42, 131.43, 131.44, 131.45 (partially noted), 131.45 (partially accepted), 131.46, 131.47, 131.49, 131.50, 131.51, 131.158, 131.159, 131.161, 131.163, 131.164 and 131.167.</w:t>
      </w:r>
    </w:p>
    <w:p w14:paraId="58EC9867" w14:textId="56CD4150" w:rsidR="00816067" w:rsidRPr="003A6023" w:rsidRDefault="005F0113" w:rsidP="00816067">
      <w:pPr>
        <w:pStyle w:val="Textonotaalfinal"/>
        <w:jc w:val="both"/>
        <w:rPr>
          <w:lang w:val="en-GB"/>
        </w:rPr>
      </w:pPr>
      <w:r>
        <w:rPr>
          <w:vertAlign w:val="superscript"/>
          <w:lang w:val="en-GB"/>
        </w:rPr>
        <w:t xml:space="preserve">55 </w:t>
      </w:r>
      <w:r w:rsidR="00452891">
        <w:rPr>
          <w:lang w:val="en-GB"/>
        </w:rPr>
        <w:t xml:space="preserve">For further </w:t>
      </w:r>
      <w:r w:rsidR="00816067" w:rsidRPr="003A6023">
        <w:rPr>
          <w:lang w:val="en-GB"/>
        </w:rPr>
        <w:t>informa</w:t>
      </w:r>
      <w:r w:rsidR="003D28D5">
        <w:rPr>
          <w:lang w:val="en-GB"/>
        </w:rPr>
        <w:t>tion</w:t>
      </w:r>
      <w:r w:rsidR="00816067" w:rsidRPr="003A6023">
        <w:rPr>
          <w:lang w:val="en-GB"/>
        </w:rPr>
        <w:t xml:space="preserve"> </w:t>
      </w:r>
      <w:r w:rsidR="00452891">
        <w:rPr>
          <w:lang w:val="en-GB"/>
        </w:rPr>
        <w:t xml:space="preserve">on </w:t>
      </w:r>
      <w:r w:rsidR="007A0596">
        <w:rPr>
          <w:lang w:val="en-GB"/>
        </w:rPr>
        <w:t xml:space="preserve">new developments </w:t>
      </w:r>
      <w:r w:rsidR="00207906">
        <w:rPr>
          <w:lang w:val="en-GB"/>
        </w:rPr>
        <w:t xml:space="preserve">in the regulatory framework </w:t>
      </w:r>
      <w:r w:rsidR="00816067" w:rsidRPr="003A6023">
        <w:rPr>
          <w:lang w:val="en-GB"/>
        </w:rPr>
        <w:t>see the midterm report (2018), p. 18.</w:t>
      </w:r>
    </w:p>
    <w:p w14:paraId="079F8887" w14:textId="24D7960E" w:rsidR="00816067" w:rsidRPr="003A6023" w:rsidRDefault="005F0113" w:rsidP="00816067">
      <w:pPr>
        <w:pStyle w:val="Textonotaalfinal"/>
        <w:jc w:val="both"/>
        <w:rPr>
          <w:lang w:val="en-GB"/>
        </w:rPr>
      </w:pPr>
      <w:r>
        <w:rPr>
          <w:vertAlign w:val="superscript"/>
          <w:lang w:val="en-GB"/>
        </w:rPr>
        <w:t>56</w:t>
      </w:r>
      <w:r w:rsidR="00816067" w:rsidRPr="003A6023">
        <w:rPr>
          <w:vertAlign w:val="superscript"/>
          <w:lang w:val="en-GB"/>
        </w:rPr>
        <w:t xml:space="preserve"> </w:t>
      </w:r>
      <w:r w:rsidR="00816067" w:rsidRPr="003A6023">
        <w:rPr>
          <w:lang w:val="en-GB"/>
        </w:rPr>
        <w:t xml:space="preserve">Act 4/2015, of 27 April, </w:t>
      </w:r>
      <w:r w:rsidR="00E375AC">
        <w:rPr>
          <w:lang w:val="en-GB"/>
        </w:rPr>
        <w:t xml:space="preserve">on the </w:t>
      </w:r>
      <w:r>
        <w:rPr>
          <w:lang w:val="en-GB"/>
        </w:rPr>
        <w:t xml:space="preserve">status of </w:t>
      </w:r>
      <w:r w:rsidR="00E375AC">
        <w:rPr>
          <w:lang w:val="en-GB"/>
        </w:rPr>
        <w:t>victims of crime</w:t>
      </w:r>
      <w:r w:rsidR="00816067" w:rsidRPr="003A6023">
        <w:rPr>
          <w:lang w:val="en-GB"/>
        </w:rPr>
        <w:t>.</w:t>
      </w:r>
    </w:p>
    <w:p w14:paraId="0E45661B" w14:textId="7D4FFF91" w:rsidR="00816067" w:rsidRPr="003A6023" w:rsidRDefault="005F0113" w:rsidP="00816067">
      <w:pPr>
        <w:pStyle w:val="Textonotaalfinal"/>
        <w:jc w:val="both"/>
        <w:rPr>
          <w:lang w:val="en-GB"/>
        </w:rPr>
      </w:pPr>
      <w:r>
        <w:rPr>
          <w:vertAlign w:val="superscript"/>
          <w:lang w:val="en-GB"/>
        </w:rPr>
        <w:t>57</w:t>
      </w:r>
      <w:r w:rsidR="00816067" w:rsidRPr="003A6023">
        <w:rPr>
          <w:vertAlign w:val="superscript"/>
          <w:lang w:val="en-GB"/>
        </w:rPr>
        <w:t xml:space="preserve"> </w:t>
      </w:r>
      <w:r w:rsidR="00816067" w:rsidRPr="003A6023">
        <w:rPr>
          <w:lang w:val="en-GB"/>
        </w:rPr>
        <w:t xml:space="preserve">Organic Law 4/2015, of 30 March, </w:t>
      </w:r>
      <w:r w:rsidR="00CF7801">
        <w:rPr>
          <w:lang w:val="en-GB"/>
        </w:rPr>
        <w:t xml:space="preserve">on the </w:t>
      </w:r>
      <w:r w:rsidR="00816067" w:rsidRPr="003A6023">
        <w:rPr>
          <w:lang w:val="en-GB"/>
        </w:rPr>
        <w:t>protec</w:t>
      </w:r>
      <w:r w:rsidR="003D28D5">
        <w:rPr>
          <w:lang w:val="en-GB"/>
        </w:rPr>
        <w:t>ti</w:t>
      </w:r>
      <w:r w:rsidR="00CF7801">
        <w:rPr>
          <w:lang w:val="en-GB"/>
        </w:rPr>
        <w:t>on</w:t>
      </w:r>
      <w:r w:rsidR="00816067" w:rsidRPr="003A6023">
        <w:rPr>
          <w:lang w:val="en-GB"/>
        </w:rPr>
        <w:t xml:space="preserve"> </w:t>
      </w:r>
      <w:r w:rsidR="003D28D5">
        <w:rPr>
          <w:lang w:val="en-GB"/>
        </w:rPr>
        <w:t xml:space="preserve">of </w:t>
      </w:r>
      <w:r>
        <w:rPr>
          <w:lang w:val="en-GB"/>
        </w:rPr>
        <w:t xml:space="preserve">public </w:t>
      </w:r>
      <w:r w:rsidR="00452891">
        <w:rPr>
          <w:lang w:val="en-GB"/>
        </w:rPr>
        <w:t>safety</w:t>
      </w:r>
      <w:r w:rsidR="00816067" w:rsidRPr="003A6023">
        <w:rPr>
          <w:lang w:val="en-GB"/>
        </w:rPr>
        <w:t xml:space="preserve">. </w:t>
      </w:r>
    </w:p>
    <w:p w14:paraId="176AE317" w14:textId="2B82ECBA" w:rsidR="00816067" w:rsidRPr="003A6023" w:rsidRDefault="005F0113" w:rsidP="00816067">
      <w:pPr>
        <w:pStyle w:val="Textonotaalfinal"/>
        <w:jc w:val="both"/>
        <w:rPr>
          <w:lang w:val="en-GB"/>
        </w:rPr>
      </w:pPr>
      <w:r>
        <w:rPr>
          <w:vertAlign w:val="superscript"/>
          <w:lang w:val="en-GB"/>
        </w:rPr>
        <w:t>58</w:t>
      </w:r>
      <w:r w:rsidR="00816067" w:rsidRPr="003A6023">
        <w:rPr>
          <w:vertAlign w:val="superscript"/>
          <w:lang w:val="en-GB"/>
        </w:rPr>
        <w:t xml:space="preserve"> </w:t>
      </w:r>
      <w:r w:rsidR="00207906">
        <w:rPr>
          <w:lang w:val="en-GB"/>
        </w:rPr>
        <w:t xml:space="preserve">For further </w:t>
      </w:r>
      <w:r w:rsidR="00816067" w:rsidRPr="003A6023">
        <w:rPr>
          <w:lang w:val="en-GB"/>
        </w:rPr>
        <w:t>informa</w:t>
      </w:r>
      <w:r w:rsidR="003D28D5">
        <w:rPr>
          <w:lang w:val="en-GB"/>
        </w:rPr>
        <w:t>tion</w:t>
      </w:r>
      <w:r w:rsidR="00816067" w:rsidRPr="003A6023">
        <w:rPr>
          <w:lang w:val="en-GB"/>
        </w:rPr>
        <w:t xml:space="preserve"> </w:t>
      </w:r>
      <w:r w:rsidR="00207906">
        <w:rPr>
          <w:lang w:val="en-GB"/>
        </w:rPr>
        <w:t xml:space="preserve">on these </w:t>
      </w:r>
      <w:r>
        <w:rPr>
          <w:lang w:val="en-GB"/>
        </w:rPr>
        <w:t>initiatives</w:t>
      </w:r>
      <w:r w:rsidR="00207906">
        <w:rPr>
          <w:lang w:val="en-GB"/>
        </w:rPr>
        <w:t xml:space="preserve"> </w:t>
      </w:r>
      <w:r w:rsidR="00816067" w:rsidRPr="003A6023">
        <w:rPr>
          <w:lang w:val="en-GB"/>
        </w:rPr>
        <w:t xml:space="preserve">see the midterm report (2018), p. 19. </w:t>
      </w:r>
    </w:p>
    <w:p w14:paraId="7A96B58E" w14:textId="2A891461" w:rsidR="00816067" w:rsidRPr="003A6023" w:rsidRDefault="005F0113" w:rsidP="00816067">
      <w:pPr>
        <w:pStyle w:val="Textonotaalfinal"/>
        <w:jc w:val="both"/>
        <w:rPr>
          <w:lang w:val="en-GB"/>
        </w:rPr>
      </w:pPr>
      <w:r w:rsidRPr="005F0113">
        <w:rPr>
          <w:vertAlign w:val="superscript"/>
          <w:lang w:val="en-GB"/>
        </w:rPr>
        <w:t>59</w:t>
      </w:r>
      <w:r w:rsidR="00816067" w:rsidRPr="003A6023">
        <w:rPr>
          <w:lang w:val="en-GB"/>
        </w:rPr>
        <w:t xml:space="preserve"> </w:t>
      </w:r>
      <w:hyperlink r:id="rId14" w:history="1">
        <w:r w:rsidR="00816067" w:rsidRPr="003A6023">
          <w:rPr>
            <w:rStyle w:val="Hipervnculo"/>
            <w:lang w:val="en-GB"/>
          </w:rPr>
          <w:t>http://www.interior.gob.es/documents/10180/7146983/ESTUDIO+INCIDENTES+DELITOS+DE+ODIO+2017+v3.pdf/5d9f1996-87ee-4e30-bff4-e2c68fade874</w:t>
        </w:r>
      </w:hyperlink>
      <w:r w:rsidR="00816067" w:rsidRPr="003A6023">
        <w:rPr>
          <w:lang w:val="en-GB"/>
        </w:rPr>
        <w:t xml:space="preserve"> </w:t>
      </w:r>
    </w:p>
    <w:p w14:paraId="02BFFE61" w14:textId="31DB852B" w:rsidR="00816067" w:rsidRPr="003A6023" w:rsidRDefault="005F0113" w:rsidP="00816067">
      <w:pPr>
        <w:pStyle w:val="Textonotaalfinal"/>
        <w:jc w:val="both"/>
        <w:rPr>
          <w:lang w:val="en-GB"/>
        </w:rPr>
      </w:pPr>
      <w:r>
        <w:rPr>
          <w:vertAlign w:val="superscript"/>
          <w:lang w:val="en-GB"/>
        </w:rPr>
        <w:t>60</w:t>
      </w:r>
      <w:r w:rsidR="00816067" w:rsidRPr="003A6023">
        <w:rPr>
          <w:vertAlign w:val="superscript"/>
          <w:lang w:val="en-GB"/>
        </w:rPr>
        <w:t xml:space="preserve"> </w:t>
      </w:r>
      <w:r w:rsidR="003D28D5">
        <w:rPr>
          <w:lang w:val="en-GB"/>
        </w:rPr>
        <w:t xml:space="preserve">For further </w:t>
      </w:r>
      <w:r w:rsidR="00816067" w:rsidRPr="003A6023">
        <w:rPr>
          <w:lang w:val="en-GB"/>
        </w:rPr>
        <w:t>informa</w:t>
      </w:r>
      <w:r w:rsidR="003D28D5">
        <w:rPr>
          <w:lang w:val="en-GB"/>
        </w:rPr>
        <w:t>tion</w:t>
      </w:r>
      <w:r w:rsidR="00816067" w:rsidRPr="003A6023">
        <w:rPr>
          <w:lang w:val="en-GB"/>
        </w:rPr>
        <w:t xml:space="preserve"> </w:t>
      </w:r>
      <w:r w:rsidR="003D28D5">
        <w:rPr>
          <w:lang w:val="en-GB"/>
        </w:rPr>
        <w:t xml:space="preserve">on the activity of </w:t>
      </w:r>
      <w:r w:rsidR="00816067" w:rsidRPr="003A6023">
        <w:rPr>
          <w:lang w:val="en-GB"/>
        </w:rPr>
        <w:t xml:space="preserve">OBERAXE see the midterm report (2018), p. 22. </w:t>
      </w:r>
    </w:p>
    <w:p w14:paraId="1A8E7109" w14:textId="4D90A18E" w:rsidR="00816067" w:rsidRPr="003A6023" w:rsidRDefault="005F0113" w:rsidP="00816067">
      <w:pPr>
        <w:pStyle w:val="Textonotaalfinal"/>
        <w:jc w:val="both"/>
        <w:rPr>
          <w:lang w:val="en-GB"/>
        </w:rPr>
      </w:pPr>
      <w:r w:rsidRPr="005F0113">
        <w:rPr>
          <w:vertAlign w:val="superscript"/>
          <w:lang w:val="en-GB"/>
        </w:rPr>
        <w:t>6</w:t>
      </w:r>
      <w:r w:rsidR="00816067" w:rsidRPr="003A6023">
        <w:rPr>
          <w:rStyle w:val="Refdenotaalfinal"/>
          <w:lang w:val="en-GB"/>
        </w:rPr>
        <w:footnoteRef/>
      </w:r>
      <w:r w:rsidR="00816067" w:rsidRPr="003A6023">
        <w:rPr>
          <w:lang w:val="en-GB"/>
        </w:rPr>
        <w:t xml:space="preserve"> </w:t>
      </w:r>
      <w:hyperlink r:id="rId15" w:history="1">
        <w:r w:rsidR="00816067" w:rsidRPr="003A6023">
          <w:rPr>
            <w:rStyle w:val="Hipervnculo"/>
            <w:lang w:val="en-GB"/>
          </w:rPr>
          <w:t>http://www.mitramiss.gob.es/oberaxe/es/creadi/index.htm</w:t>
        </w:r>
      </w:hyperlink>
    </w:p>
    <w:p w14:paraId="659316AC" w14:textId="7F9F9A23" w:rsidR="00816067" w:rsidRPr="003A6023" w:rsidRDefault="005F0113" w:rsidP="00816067">
      <w:pPr>
        <w:pStyle w:val="Textonotaalfinal"/>
        <w:jc w:val="both"/>
        <w:rPr>
          <w:lang w:val="en-GB"/>
        </w:rPr>
      </w:pPr>
      <w:r>
        <w:rPr>
          <w:vertAlign w:val="superscript"/>
          <w:lang w:val="en-GB"/>
        </w:rPr>
        <w:t>62</w:t>
      </w:r>
      <w:r w:rsidR="00816067" w:rsidRPr="003A6023">
        <w:rPr>
          <w:vertAlign w:val="superscript"/>
          <w:lang w:val="en-GB"/>
        </w:rPr>
        <w:t xml:space="preserve"> </w:t>
      </w:r>
      <w:r w:rsidR="00816067" w:rsidRPr="003A6023">
        <w:rPr>
          <w:lang w:val="en-GB" w:eastAsia="en-US"/>
        </w:rPr>
        <w:t>Social inclusion; equality and gender</w:t>
      </w:r>
      <w:r>
        <w:rPr>
          <w:lang w:val="en-GB" w:eastAsia="en-US"/>
        </w:rPr>
        <w:t>-based</w:t>
      </w:r>
      <w:r w:rsidR="00816067" w:rsidRPr="003A6023">
        <w:rPr>
          <w:lang w:val="en-GB" w:eastAsia="en-US"/>
        </w:rPr>
        <w:t xml:space="preserve"> violence; non-discrimination and </w:t>
      </w:r>
      <w:r w:rsidR="00CF7801" w:rsidRPr="005F0113">
        <w:rPr>
          <w:lang w:val="en-GB" w:eastAsia="en-US"/>
        </w:rPr>
        <w:t>anti-gypsyism</w:t>
      </w:r>
      <w:r w:rsidR="00816067" w:rsidRPr="003A6023">
        <w:rPr>
          <w:lang w:val="en-GB" w:eastAsia="en-US"/>
        </w:rPr>
        <w:t>; cultur</w:t>
      </w:r>
      <w:r w:rsidR="003D28D5">
        <w:rPr>
          <w:lang w:val="en-GB" w:eastAsia="en-US"/>
        </w:rPr>
        <w:t>e</w:t>
      </w:r>
      <w:r w:rsidR="00816067" w:rsidRPr="003A6023">
        <w:rPr>
          <w:lang w:val="en-GB" w:eastAsia="en-US"/>
        </w:rPr>
        <w:t xml:space="preserve"> </w:t>
      </w:r>
      <w:r w:rsidR="00F027F9">
        <w:rPr>
          <w:lang w:val="en-GB" w:eastAsia="en-US"/>
        </w:rPr>
        <w:t>and</w:t>
      </w:r>
      <w:r w:rsidR="00816067" w:rsidRPr="003A6023">
        <w:rPr>
          <w:lang w:val="en-GB" w:eastAsia="en-US"/>
        </w:rPr>
        <w:t xml:space="preserve"> </w:t>
      </w:r>
      <w:r w:rsidR="003D28D5">
        <w:rPr>
          <w:lang w:val="en-GB" w:eastAsia="en-US"/>
        </w:rPr>
        <w:t xml:space="preserve">citizenship </w:t>
      </w:r>
      <w:r w:rsidR="00F027F9">
        <w:rPr>
          <w:lang w:val="en-GB" w:eastAsia="en-US"/>
        </w:rPr>
        <w:t>and</w:t>
      </w:r>
      <w:r w:rsidR="00816067" w:rsidRPr="003A6023">
        <w:rPr>
          <w:lang w:val="en-GB" w:eastAsia="en-US"/>
        </w:rPr>
        <w:t xml:space="preserve"> participation.</w:t>
      </w:r>
    </w:p>
    <w:p w14:paraId="56D9C25D" w14:textId="58A6C23C" w:rsidR="00816067" w:rsidRPr="003A6023" w:rsidRDefault="000E639A" w:rsidP="00816067">
      <w:pPr>
        <w:pStyle w:val="Textonotaalfinal"/>
        <w:jc w:val="both"/>
        <w:rPr>
          <w:lang w:val="en-GB"/>
        </w:rPr>
      </w:pPr>
      <w:r>
        <w:rPr>
          <w:vertAlign w:val="superscript"/>
          <w:lang w:val="en-GB"/>
        </w:rPr>
        <w:t>63</w:t>
      </w:r>
      <w:r w:rsidR="00816067" w:rsidRPr="003A6023">
        <w:rPr>
          <w:vertAlign w:val="superscript"/>
          <w:lang w:val="en-GB"/>
        </w:rPr>
        <w:t xml:space="preserve"> </w:t>
      </w:r>
      <w:r w:rsidR="00816067" w:rsidRPr="003A6023">
        <w:rPr>
          <w:lang w:val="en-GB"/>
        </w:rPr>
        <w:t>By Decision of the Council of Ministers of 6 April 2018.</w:t>
      </w:r>
    </w:p>
    <w:p w14:paraId="7B02499D" w14:textId="7B451B13" w:rsidR="00816067" w:rsidRPr="003A6023" w:rsidRDefault="000E639A" w:rsidP="00816067">
      <w:pPr>
        <w:pStyle w:val="Textonotaalfinal"/>
        <w:jc w:val="both"/>
        <w:rPr>
          <w:lang w:val="en-GB"/>
        </w:rPr>
      </w:pPr>
      <w:r>
        <w:rPr>
          <w:vertAlign w:val="superscript"/>
          <w:lang w:val="en-GB"/>
        </w:rPr>
        <w:t>64</w:t>
      </w:r>
      <w:r w:rsidR="00816067" w:rsidRPr="003A6023">
        <w:rPr>
          <w:vertAlign w:val="superscript"/>
          <w:lang w:val="en-GB"/>
        </w:rPr>
        <w:t xml:space="preserve"> </w:t>
      </w:r>
      <w:r w:rsidR="00816067" w:rsidRPr="003A6023">
        <w:rPr>
          <w:lang w:val="en-GB"/>
        </w:rPr>
        <w:t xml:space="preserve">Order PCI/154/2019, of 19 February, publishing the Decision of the Council of Ministers of 30 November 2018, </w:t>
      </w:r>
      <w:r w:rsidR="00CF7801">
        <w:rPr>
          <w:lang w:val="en-GB"/>
        </w:rPr>
        <w:t xml:space="preserve">approving </w:t>
      </w:r>
      <w:r w:rsidR="00816067" w:rsidRPr="003A6023">
        <w:rPr>
          <w:lang w:val="en-GB"/>
        </w:rPr>
        <w:t>instruc</w:t>
      </w:r>
      <w:r w:rsidR="003D28D5">
        <w:rPr>
          <w:lang w:val="en-GB"/>
        </w:rPr>
        <w:t>t</w:t>
      </w:r>
      <w:r w:rsidR="00816067" w:rsidRPr="003A6023">
        <w:rPr>
          <w:lang w:val="en-GB"/>
        </w:rPr>
        <w:t xml:space="preserve">ions </w:t>
      </w:r>
      <w:r w:rsidR="00452891">
        <w:rPr>
          <w:lang w:val="en-GB"/>
        </w:rPr>
        <w:t xml:space="preserve">for updating </w:t>
      </w:r>
      <w:r w:rsidR="00CF7801">
        <w:rPr>
          <w:lang w:val="en-GB"/>
        </w:rPr>
        <w:t xml:space="preserve">announcements for selection exams for civil </w:t>
      </w:r>
      <w:r w:rsidR="00CF7801">
        <w:rPr>
          <w:lang w:val="en-GB"/>
        </w:rPr>
        <w:lastRenderedPageBreak/>
        <w:t>servants</w:t>
      </w:r>
      <w:r w:rsidR="00816067" w:rsidRPr="003A6023">
        <w:rPr>
          <w:lang w:val="en-GB"/>
        </w:rPr>
        <w:t>, statut</w:t>
      </w:r>
      <w:r w:rsidR="00CF7801">
        <w:rPr>
          <w:lang w:val="en-GB"/>
        </w:rPr>
        <w:t>o</w:t>
      </w:r>
      <w:r w:rsidR="00816067" w:rsidRPr="003A6023">
        <w:rPr>
          <w:lang w:val="en-GB"/>
        </w:rPr>
        <w:t>r</w:t>
      </w:r>
      <w:r w:rsidR="00CF7801">
        <w:rPr>
          <w:lang w:val="en-GB"/>
        </w:rPr>
        <w:t>y</w:t>
      </w:r>
      <w:r w:rsidR="00816067" w:rsidRPr="003A6023">
        <w:rPr>
          <w:lang w:val="en-GB"/>
        </w:rPr>
        <w:t xml:space="preserve"> </w:t>
      </w:r>
      <w:r w:rsidR="00F027F9">
        <w:rPr>
          <w:lang w:val="en-GB"/>
        </w:rPr>
        <w:t>and</w:t>
      </w:r>
      <w:r w:rsidR="00816067" w:rsidRPr="003A6023">
        <w:rPr>
          <w:lang w:val="en-GB"/>
        </w:rPr>
        <w:t xml:space="preserve"> </w:t>
      </w:r>
      <w:r w:rsidR="00CF7801">
        <w:rPr>
          <w:lang w:val="en-GB"/>
        </w:rPr>
        <w:t>contract staff</w:t>
      </w:r>
      <w:r w:rsidR="00816067" w:rsidRPr="003A6023">
        <w:rPr>
          <w:lang w:val="en-GB"/>
        </w:rPr>
        <w:t xml:space="preserve">, </w:t>
      </w:r>
      <w:r w:rsidR="00CF7801">
        <w:rPr>
          <w:lang w:val="en-GB"/>
        </w:rPr>
        <w:t xml:space="preserve">and </w:t>
      </w:r>
      <w:r w:rsidR="00816067" w:rsidRPr="003A6023">
        <w:rPr>
          <w:lang w:val="en-GB"/>
        </w:rPr>
        <w:t xml:space="preserve">civil </w:t>
      </w:r>
      <w:r w:rsidR="00F027F9">
        <w:rPr>
          <w:lang w:val="en-GB"/>
        </w:rPr>
        <w:t>and</w:t>
      </w:r>
      <w:r w:rsidR="00816067" w:rsidRPr="003A6023">
        <w:rPr>
          <w:lang w:val="en-GB"/>
        </w:rPr>
        <w:t xml:space="preserve"> militar</w:t>
      </w:r>
      <w:r w:rsidR="00CF7801">
        <w:rPr>
          <w:lang w:val="en-GB"/>
        </w:rPr>
        <w:t>y personnel</w:t>
      </w:r>
      <w:r w:rsidR="00816067" w:rsidRPr="003A6023">
        <w:rPr>
          <w:lang w:val="en-GB"/>
        </w:rPr>
        <w:t xml:space="preserve">, </w:t>
      </w:r>
      <w:r w:rsidR="00CF7801">
        <w:rPr>
          <w:lang w:val="en-GB"/>
        </w:rPr>
        <w:t xml:space="preserve">to </w:t>
      </w:r>
      <w:r w:rsidR="00816067" w:rsidRPr="003A6023">
        <w:rPr>
          <w:lang w:val="en-GB"/>
        </w:rPr>
        <w:t>elimina</w:t>
      </w:r>
      <w:r w:rsidR="00CF7801">
        <w:rPr>
          <w:lang w:val="en-GB"/>
        </w:rPr>
        <w:t>te</w:t>
      </w:r>
      <w:r w:rsidR="00816067" w:rsidRPr="003A6023">
        <w:rPr>
          <w:lang w:val="en-GB"/>
        </w:rPr>
        <w:t xml:space="preserve"> certa</w:t>
      </w:r>
      <w:r w:rsidR="00452891">
        <w:rPr>
          <w:lang w:val="en-GB"/>
        </w:rPr>
        <w:t xml:space="preserve">in medical </w:t>
      </w:r>
      <w:r w:rsidR="00CF7801">
        <w:rPr>
          <w:lang w:val="en-GB"/>
        </w:rPr>
        <w:t xml:space="preserve">grounds </w:t>
      </w:r>
      <w:r w:rsidR="00452891">
        <w:rPr>
          <w:lang w:val="en-GB"/>
        </w:rPr>
        <w:t xml:space="preserve">for </w:t>
      </w:r>
      <w:r w:rsidR="00816067" w:rsidRPr="003A6023">
        <w:rPr>
          <w:lang w:val="en-GB"/>
        </w:rPr>
        <w:t>exclusi</w:t>
      </w:r>
      <w:r w:rsidR="00452891">
        <w:rPr>
          <w:lang w:val="en-GB"/>
        </w:rPr>
        <w:t>o</w:t>
      </w:r>
      <w:r w:rsidR="00816067" w:rsidRPr="003A6023">
        <w:rPr>
          <w:lang w:val="en-GB"/>
        </w:rPr>
        <w:t xml:space="preserve">n </w:t>
      </w:r>
      <w:r w:rsidR="00CF7801">
        <w:rPr>
          <w:lang w:val="en-GB"/>
        </w:rPr>
        <w:t xml:space="preserve">from </w:t>
      </w:r>
      <w:r w:rsidR="00816067" w:rsidRPr="003A6023">
        <w:rPr>
          <w:lang w:val="en-GB"/>
        </w:rPr>
        <w:t>access to public employment.</w:t>
      </w:r>
    </w:p>
    <w:p w14:paraId="21CF1874" w14:textId="197A7551" w:rsidR="00816067" w:rsidRPr="003A6023" w:rsidRDefault="000E639A" w:rsidP="00816067">
      <w:pPr>
        <w:pStyle w:val="Textonotaalfinal"/>
        <w:jc w:val="both"/>
        <w:rPr>
          <w:lang w:val="en-GB"/>
        </w:rPr>
      </w:pPr>
      <w:r w:rsidRPr="000E639A">
        <w:rPr>
          <w:vertAlign w:val="superscript"/>
          <w:lang w:val="en-GB"/>
        </w:rPr>
        <w:t>65</w:t>
      </w:r>
      <w:r w:rsidR="00816067" w:rsidRPr="003A6023">
        <w:rPr>
          <w:lang w:val="en-GB"/>
        </w:rPr>
        <w:t xml:space="preserve"> </w:t>
      </w:r>
      <w:hyperlink r:id="rId16" w:history="1">
        <w:r w:rsidR="00816067" w:rsidRPr="003A6023">
          <w:rPr>
            <w:rStyle w:val="Hipervnculo"/>
            <w:lang w:val="en-GB"/>
          </w:rPr>
          <w:t>http://www.mscbs.gob.es/ciudadanos/enfLesiones/enfTransmisibles/sida/doc/PactoSocial_nov2018.pdf</w:t>
        </w:r>
      </w:hyperlink>
    </w:p>
    <w:p w14:paraId="20E9DCE7" w14:textId="595A5540" w:rsidR="00816067" w:rsidRPr="003A6023" w:rsidRDefault="000E639A" w:rsidP="00816067">
      <w:pPr>
        <w:pStyle w:val="Textonotaalfinal"/>
        <w:jc w:val="both"/>
        <w:rPr>
          <w:lang w:val="en-GB"/>
        </w:rPr>
      </w:pPr>
      <w:r>
        <w:rPr>
          <w:vertAlign w:val="superscript"/>
          <w:lang w:val="en-GB"/>
        </w:rPr>
        <w:t>66</w:t>
      </w:r>
      <w:r w:rsidR="00816067" w:rsidRPr="003A6023">
        <w:rPr>
          <w:vertAlign w:val="superscript"/>
          <w:lang w:val="en-GB"/>
        </w:rPr>
        <w:t xml:space="preserve"> </w:t>
      </w:r>
      <w:r w:rsidR="00CA5DFF">
        <w:rPr>
          <w:lang w:val="en-GB"/>
        </w:rPr>
        <w:t>T</w:t>
      </w:r>
      <w:r w:rsidR="00E375AC">
        <w:rPr>
          <w:lang w:val="en-GB"/>
        </w:rPr>
        <w:t>he</w:t>
      </w:r>
      <w:r w:rsidR="00816067" w:rsidRPr="003A6023">
        <w:rPr>
          <w:lang w:val="en-GB"/>
        </w:rPr>
        <w:t xml:space="preserve"> </w:t>
      </w:r>
      <w:r w:rsidR="00CA5DFF">
        <w:rPr>
          <w:lang w:val="en-GB" w:eastAsia="en-US"/>
        </w:rPr>
        <w:t>I</w:t>
      </w:r>
      <w:r w:rsidR="00816067" w:rsidRPr="003A6023">
        <w:rPr>
          <w:lang w:val="en-GB" w:eastAsia="en-US"/>
        </w:rPr>
        <w:t xml:space="preserve">nstitutional </w:t>
      </w:r>
      <w:r w:rsidR="00CA5DFF">
        <w:rPr>
          <w:lang w:val="en-GB" w:eastAsia="en-US"/>
        </w:rPr>
        <w:t>C</w:t>
      </w:r>
      <w:r w:rsidR="00816067" w:rsidRPr="003A6023">
        <w:rPr>
          <w:lang w:val="en-GB" w:eastAsia="en-US"/>
        </w:rPr>
        <w:t xml:space="preserve">ooperation </w:t>
      </w:r>
      <w:r w:rsidRPr="003A6023">
        <w:rPr>
          <w:lang w:val="en-GB" w:eastAsia="en-US"/>
        </w:rPr>
        <w:t>A</w:t>
      </w:r>
      <w:r>
        <w:rPr>
          <w:lang w:val="en-GB" w:eastAsia="en-US"/>
        </w:rPr>
        <w:t xml:space="preserve">greement to fight </w:t>
      </w:r>
      <w:r w:rsidR="00207906">
        <w:rPr>
          <w:lang w:val="en-GB" w:eastAsia="en-US"/>
        </w:rPr>
        <w:t xml:space="preserve">against </w:t>
      </w:r>
      <w:r>
        <w:rPr>
          <w:lang w:val="en-GB" w:eastAsia="en-US"/>
        </w:rPr>
        <w:t>r</w:t>
      </w:r>
      <w:r w:rsidR="00816067" w:rsidRPr="003A6023">
        <w:rPr>
          <w:lang w:val="en-GB" w:eastAsia="en-US"/>
        </w:rPr>
        <w:t xml:space="preserve">acism, </w:t>
      </w:r>
      <w:r>
        <w:rPr>
          <w:lang w:val="en-GB" w:eastAsia="en-US"/>
        </w:rPr>
        <w:t>x</w:t>
      </w:r>
      <w:r w:rsidR="00816067" w:rsidRPr="003A6023">
        <w:rPr>
          <w:lang w:val="en-GB" w:eastAsia="en-US"/>
        </w:rPr>
        <w:t>enophobia, LGBTI</w:t>
      </w:r>
      <w:r>
        <w:rPr>
          <w:lang w:val="en-GB" w:eastAsia="en-US"/>
        </w:rPr>
        <w:t>-</w:t>
      </w:r>
      <w:r w:rsidR="00452891">
        <w:rPr>
          <w:lang w:val="en-GB" w:eastAsia="en-US"/>
        </w:rPr>
        <w:t>ph</w:t>
      </w:r>
      <w:r w:rsidR="00816067" w:rsidRPr="003A6023">
        <w:rPr>
          <w:lang w:val="en-GB" w:eastAsia="en-US"/>
        </w:rPr>
        <w:t xml:space="preserve">obia </w:t>
      </w:r>
      <w:r w:rsidR="00F027F9">
        <w:rPr>
          <w:lang w:val="en-GB" w:eastAsia="en-US"/>
        </w:rPr>
        <w:t>and</w:t>
      </w:r>
      <w:r w:rsidR="00816067" w:rsidRPr="003A6023">
        <w:rPr>
          <w:lang w:val="en-GB" w:eastAsia="en-US"/>
        </w:rPr>
        <w:t xml:space="preserve"> ot</w:t>
      </w:r>
      <w:r w:rsidR="00207906">
        <w:rPr>
          <w:lang w:val="en-GB" w:eastAsia="en-US"/>
        </w:rPr>
        <w:t>he</w:t>
      </w:r>
      <w:r w:rsidR="00816067" w:rsidRPr="003A6023">
        <w:rPr>
          <w:lang w:val="en-GB" w:eastAsia="en-US"/>
        </w:rPr>
        <w:t xml:space="preserve">r forms </w:t>
      </w:r>
      <w:r w:rsidR="00207906">
        <w:rPr>
          <w:lang w:val="en-GB" w:eastAsia="en-US"/>
        </w:rPr>
        <w:t xml:space="preserve">of </w:t>
      </w:r>
      <w:r>
        <w:rPr>
          <w:lang w:val="en-GB" w:eastAsia="en-US"/>
        </w:rPr>
        <w:t>i</w:t>
      </w:r>
      <w:r w:rsidR="00816067" w:rsidRPr="003A6023">
        <w:rPr>
          <w:lang w:val="en-GB" w:eastAsia="en-US"/>
        </w:rPr>
        <w:t>ntoleranc</w:t>
      </w:r>
      <w:r w:rsidR="003D28D5">
        <w:rPr>
          <w:lang w:val="en-GB" w:eastAsia="en-US"/>
        </w:rPr>
        <w:t>e</w:t>
      </w:r>
      <w:r w:rsidR="00CA5DFF">
        <w:rPr>
          <w:lang w:val="en-GB" w:eastAsia="en-US"/>
        </w:rPr>
        <w:t xml:space="preserve"> was preceded by </w:t>
      </w:r>
      <w:r w:rsidR="003D28D5">
        <w:rPr>
          <w:lang w:val="en-GB" w:eastAsia="en-US"/>
        </w:rPr>
        <w:t xml:space="preserve">the </w:t>
      </w:r>
      <w:r w:rsidR="00CA5DFF" w:rsidRPr="003A6023">
        <w:rPr>
          <w:lang w:val="en-GB" w:eastAsia="en-US"/>
        </w:rPr>
        <w:t>2015</w:t>
      </w:r>
      <w:r w:rsidR="00CA5DFF">
        <w:rPr>
          <w:lang w:val="en-GB" w:eastAsia="en-US"/>
        </w:rPr>
        <w:t xml:space="preserve"> </w:t>
      </w:r>
      <w:r w:rsidR="00816067" w:rsidRPr="003A6023">
        <w:rPr>
          <w:lang w:val="en-GB" w:eastAsia="en-US"/>
        </w:rPr>
        <w:t xml:space="preserve">Framework Agreement for </w:t>
      </w:r>
      <w:r w:rsidR="00CA5DFF">
        <w:rPr>
          <w:lang w:val="en-GB" w:eastAsia="en-US"/>
        </w:rPr>
        <w:t>I</w:t>
      </w:r>
      <w:r w:rsidR="00CA5DFF" w:rsidRPr="003A6023">
        <w:rPr>
          <w:lang w:val="en-GB" w:eastAsia="en-US"/>
        </w:rPr>
        <w:t>nter</w:t>
      </w:r>
      <w:r w:rsidR="00CA5DFF">
        <w:rPr>
          <w:lang w:val="en-GB" w:eastAsia="en-US"/>
        </w:rPr>
        <w:t>-</w:t>
      </w:r>
      <w:r w:rsidR="00CA5DFF" w:rsidRPr="003A6023">
        <w:rPr>
          <w:lang w:val="en-GB" w:eastAsia="en-US"/>
        </w:rPr>
        <w:t>institu</w:t>
      </w:r>
      <w:r w:rsidR="00CA5DFF">
        <w:rPr>
          <w:lang w:val="en-GB" w:eastAsia="en-US"/>
        </w:rPr>
        <w:t>t</w:t>
      </w:r>
      <w:r w:rsidR="00CA5DFF" w:rsidRPr="003A6023">
        <w:rPr>
          <w:lang w:val="en-GB" w:eastAsia="en-US"/>
        </w:rPr>
        <w:t xml:space="preserve">ional </w:t>
      </w:r>
      <w:r w:rsidR="00816067" w:rsidRPr="003A6023">
        <w:rPr>
          <w:lang w:val="en-GB" w:eastAsia="en-US"/>
        </w:rPr>
        <w:t xml:space="preserve">Cooperation. </w:t>
      </w:r>
      <w:r w:rsidR="00816067" w:rsidRPr="003A6023">
        <w:rPr>
          <w:lang w:val="en-GB"/>
        </w:rPr>
        <w:t xml:space="preserve">See the midterm report (2018), p. 21. </w:t>
      </w:r>
    </w:p>
    <w:p w14:paraId="46CC5DB0" w14:textId="0667D340" w:rsidR="00816067" w:rsidRPr="003A6023" w:rsidRDefault="000E639A" w:rsidP="00816067">
      <w:pPr>
        <w:pStyle w:val="Textonotaalfinal"/>
        <w:jc w:val="both"/>
        <w:rPr>
          <w:lang w:val="en-GB"/>
        </w:rPr>
      </w:pPr>
      <w:r>
        <w:rPr>
          <w:vertAlign w:val="superscript"/>
          <w:lang w:val="en-GB"/>
        </w:rPr>
        <w:t>67</w:t>
      </w:r>
      <w:r w:rsidR="00816067" w:rsidRPr="003A6023">
        <w:rPr>
          <w:vertAlign w:val="superscript"/>
          <w:lang w:val="en-GB"/>
        </w:rPr>
        <w:t xml:space="preserve"> </w:t>
      </w:r>
      <w:r w:rsidR="00816067" w:rsidRPr="003A6023">
        <w:rPr>
          <w:lang w:val="en-GB"/>
        </w:rPr>
        <w:t>See the midterm report (2018), p</w:t>
      </w:r>
      <w:r w:rsidR="00452891">
        <w:rPr>
          <w:lang w:val="en-GB"/>
        </w:rPr>
        <w:t>p</w:t>
      </w:r>
      <w:r w:rsidR="00816067" w:rsidRPr="003A6023">
        <w:rPr>
          <w:lang w:val="en-GB"/>
        </w:rPr>
        <w:t>. 22 and 23.</w:t>
      </w:r>
    </w:p>
    <w:p w14:paraId="293305A0" w14:textId="19ED70DF" w:rsidR="00816067" w:rsidRPr="003A6023" w:rsidRDefault="000E639A" w:rsidP="00816067">
      <w:pPr>
        <w:pStyle w:val="Textonotaalfinal"/>
        <w:jc w:val="both"/>
        <w:rPr>
          <w:lang w:val="en-GB"/>
        </w:rPr>
      </w:pPr>
      <w:r>
        <w:rPr>
          <w:vertAlign w:val="superscript"/>
          <w:lang w:val="en-GB"/>
        </w:rPr>
        <w:t>68</w:t>
      </w:r>
      <w:r w:rsidR="00816067" w:rsidRPr="003A6023">
        <w:rPr>
          <w:vertAlign w:val="superscript"/>
          <w:lang w:val="en-GB"/>
        </w:rPr>
        <w:t xml:space="preserve"> </w:t>
      </w:r>
      <w:r w:rsidR="00816067" w:rsidRPr="003A6023">
        <w:rPr>
          <w:lang w:val="en-GB"/>
        </w:rPr>
        <w:t xml:space="preserve">Circular 7/2019, of 14 May, </w:t>
      </w:r>
      <w:r w:rsidR="003D28D5">
        <w:rPr>
          <w:lang w:val="en-GB"/>
        </w:rPr>
        <w:t xml:space="preserve">of the </w:t>
      </w:r>
      <w:r w:rsidR="00816067" w:rsidRPr="003A6023">
        <w:rPr>
          <w:lang w:val="en-GB"/>
        </w:rPr>
        <w:t xml:space="preserve">General </w:t>
      </w:r>
      <w:r w:rsidR="003D28D5">
        <w:rPr>
          <w:lang w:val="en-GB"/>
        </w:rPr>
        <w:t>State Prosecution Service</w:t>
      </w:r>
      <w:r w:rsidR="00816067" w:rsidRPr="003A6023">
        <w:rPr>
          <w:lang w:val="en-GB"/>
        </w:rPr>
        <w:t xml:space="preserve">, </w:t>
      </w:r>
      <w:r w:rsidR="003D28D5">
        <w:rPr>
          <w:lang w:val="en-GB"/>
        </w:rPr>
        <w:t xml:space="preserve">on guidelines for </w:t>
      </w:r>
      <w:r w:rsidR="00816067" w:rsidRPr="003A6023">
        <w:rPr>
          <w:lang w:val="en-GB"/>
        </w:rPr>
        <w:t>interpret</w:t>
      </w:r>
      <w:r w:rsidR="003D28D5">
        <w:rPr>
          <w:lang w:val="en-GB"/>
        </w:rPr>
        <w:t>ing the hate</w:t>
      </w:r>
      <w:r w:rsidR="00816067" w:rsidRPr="003A6023">
        <w:rPr>
          <w:lang w:val="en-GB"/>
        </w:rPr>
        <w:t xml:space="preserve"> </w:t>
      </w:r>
      <w:r w:rsidR="003D28D5">
        <w:rPr>
          <w:lang w:val="en-GB"/>
        </w:rPr>
        <w:t xml:space="preserve">crimes defined in </w:t>
      </w:r>
      <w:r w:rsidR="00816067" w:rsidRPr="003A6023">
        <w:rPr>
          <w:lang w:val="en-GB"/>
        </w:rPr>
        <w:t>Article 510 of the Criminal Code.</w:t>
      </w:r>
    </w:p>
    <w:p w14:paraId="256B990D" w14:textId="7F37BBBF" w:rsidR="00816067" w:rsidRPr="003A6023" w:rsidRDefault="000E639A" w:rsidP="00816067">
      <w:pPr>
        <w:pStyle w:val="Textonotaalfinal"/>
        <w:jc w:val="both"/>
        <w:rPr>
          <w:lang w:val="en-GB"/>
        </w:rPr>
      </w:pPr>
      <w:r>
        <w:rPr>
          <w:vertAlign w:val="superscript"/>
          <w:lang w:val="en-GB"/>
        </w:rPr>
        <w:t>69</w:t>
      </w:r>
      <w:r w:rsidR="00816067" w:rsidRPr="003A6023">
        <w:rPr>
          <w:vertAlign w:val="superscript"/>
          <w:lang w:val="en-GB"/>
        </w:rPr>
        <w:t xml:space="preserve"> </w:t>
      </w:r>
      <w:r w:rsidR="00816067" w:rsidRPr="003A6023">
        <w:rPr>
          <w:lang w:val="en-GB"/>
        </w:rPr>
        <w:t>UPR recommendations 131.18, 131.84, 131.85, 131.86, 131.90, 131.105, 131.106, 131.183, 131.184 (noted), 131.185 (noted), 131.186 (noted), 131.187 (partially noted) and 131.187 (partially accepted).</w:t>
      </w:r>
    </w:p>
    <w:p w14:paraId="2BDB5DF7" w14:textId="542C3945" w:rsidR="00816067" w:rsidRPr="003A6023" w:rsidRDefault="000E639A" w:rsidP="00816067">
      <w:pPr>
        <w:pStyle w:val="Textonotaalfinal"/>
        <w:jc w:val="both"/>
        <w:rPr>
          <w:lang w:val="en-GB"/>
        </w:rPr>
      </w:pPr>
      <w:r>
        <w:rPr>
          <w:vertAlign w:val="superscript"/>
          <w:lang w:val="en-GB"/>
        </w:rPr>
        <w:t>70</w:t>
      </w:r>
      <w:r w:rsidR="00816067" w:rsidRPr="003A6023">
        <w:rPr>
          <w:vertAlign w:val="superscript"/>
          <w:lang w:val="en-GB"/>
        </w:rPr>
        <w:t xml:space="preserve"> </w:t>
      </w:r>
      <w:r>
        <w:rPr>
          <w:lang w:val="en-GB"/>
        </w:rPr>
        <w:t xml:space="preserve">Organic Law </w:t>
      </w:r>
      <w:r w:rsidR="00816067" w:rsidRPr="003A6023">
        <w:rPr>
          <w:lang w:val="en-GB"/>
        </w:rPr>
        <w:t xml:space="preserve">8/2015, of 22 July, </w:t>
      </w:r>
      <w:r>
        <w:rPr>
          <w:lang w:val="en-GB"/>
        </w:rPr>
        <w:t xml:space="preserve">amending </w:t>
      </w:r>
      <w:r w:rsidR="00816067" w:rsidRPr="003A6023">
        <w:rPr>
          <w:lang w:val="en-GB"/>
        </w:rPr>
        <w:t xml:space="preserve">the system </w:t>
      </w:r>
      <w:r>
        <w:rPr>
          <w:lang w:val="en-GB"/>
        </w:rPr>
        <w:t xml:space="preserve">for the </w:t>
      </w:r>
      <w:r w:rsidR="00816067" w:rsidRPr="003A6023">
        <w:rPr>
          <w:lang w:val="en-GB"/>
        </w:rPr>
        <w:t>protection of child</w:t>
      </w:r>
      <w:r>
        <w:rPr>
          <w:lang w:val="en-GB"/>
        </w:rPr>
        <w:t>ren</w:t>
      </w:r>
      <w:r w:rsidR="00816067" w:rsidRPr="003A6023">
        <w:rPr>
          <w:lang w:val="en-GB"/>
        </w:rPr>
        <w:t xml:space="preserve"> and adolescen</w:t>
      </w:r>
      <w:r>
        <w:rPr>
          <w:lang w:val="en-GB"/>
        </w:rPr>
        <w:t>ts</w:t>
      </w:r>
      <w:r w:rsidR="00816067" w:rsidRPr="003A6023">
        <w:rPr>
          <w:lang w:val="en-GB"/>
        </w:rPr>
        <w:t>.</w:t>
      </w:r>
    </w:p>
    <w:p w14:paraId="19B0A932" w14:textId="43A6B50B" w:rsidR="00816067" w:rsidRPr="003A6023" w:rsidRDefault="000E639A" w:rsidP="00816067">
      <w:pPr>
        <w:pStyle w:val="Textonotaalfinal"/>
        <w:jc w:val="both"/>
        <w:rPr>
          <w:lang w:val="en-GB"/>
        </w:rPr>
      </w:pPr>
      <w:r>
        <w:rPr>
          <w:vertAlign w:val="superscript"/>
          <w:lang w:val="en-GB"/>
        </w:rPr>
        <w:t>7</w:t>
      </w:r>
      <w:r w:rsidR="00816067" w:rsidRPr="003A6023">
        <w:rPr>
          <w:vertAlign w:val="superscript"/>
          <w:lang w:val="en-GB"/>
        </w:rPr>
        <w:footnoteRef/>
      </w:r>
      <w:r w:rsidR="00816067" w:rsidRPr="003A6023">
        <w:rPr>
          <w:vertAlign w:val="superscript"/>
          <w:lang w:val="en-GB"/>
        </w:rPr>
        <w:t xml:space="preserve"> </w:t>
      </w:r>
      <w:r w:rsidR="00816067" w:rsidRPr="003A6023">
        <w:rPr>
          <w:lang w:val="en-GB"/>
        </w:rPr>
        <w:t>Act 15/2015, of 2 July, on Voluntary Jurisdiction.</w:t>
      </w:r>
    </w:p>
    <w:p w14:paraId="29579C30" w14:textId="62E3CEEC" w:rsidR="00816067" w:rsidRPr="003A6023" w:rsidRDefault="000E639A" w:rsidP="00816067">
      <w:pPr>
        <w:pStyle w:val="Textonotaalfinal"/>
        <w:jc w:val="both"/>
        <w:rPr>
          <w:lang w:val="en-GB"/>
        </w:rPr>
      </w:pPr>
      <w:r>
        <w:rPr>
          <w:vertAlign w:val="superscript"/>
          <w:lang w:val="en-GB"/>
        </w:rPr>
        <w:t>72</w:t>
      </w:r>
      <w:r w:rsidR="00816067" w:rsidRPr="003A6023">
        <w:rPr>
          <w:vertAlign w:val="superscript"/>
          <w:lang w:val="en-GB"/>
        </w:rPr>
        <w:t xml:space="preserve"> </w:t>
      </w:r>
      <w:r w:rsidR="00816067" w:rsidRPr="003A6023">
        <w:rPr>
          <w:bCs/>
          <w:lang w:val="en-GB"/>
        </w:rPr>
        <w:t xml:space="preserve">Act 3/2019, of 1 March, on improving the situation </w:t>
      </w:r>
      <w:r w:rsidR="00CA5DFF">
        <w:rPr>
          <w:bCs/>
          <w:lang w:val="en-GB"/>
        </w:rPr>
        <w:t xml:space="preserve">of children who have lost their mothers due to </w:t>
      </w:r>
      <w:r w:rsidR="00816067" w:rsidRPr="003A6023">
        <w:rPr>
          <w:bCs/>
          <w:lang w:val="en-GB"/>
        </w:rPr>
        <w:t>gender</w:t>
      </w:r>
      <w:r w:rsidR="00CA5DFF">
        <w:rPr>
          <w:bCs/>
          <w:lang w:val="en-GB"/>
        </w:rPr>
        <w:t>-based</w:t>
      </w:r>
      <w:r w:rsidR="00816067" w:rsidRPr="003A6023">
        <w:rPr>
          <w:bCs/>
          <w:lang w:val="en-GB"/>
        </w:rPr>
        <w:t xml:space="preserve"> violence </w:t>
      </w:r>
      <w:r w:rsidR="00CA5DFF">
        <w:rPr>
          <w:bCs/>
          <w:lang w:val="en-GB"/>
        </w:rPr>
        <w:t xml:space="preserve">or </w:t>
      </w:r>
      <w:r w:rsidR="00816067" w:rsidRPr="003A6023">
        <w:rPr>
          <w:bCs/>
          <w:lang w:val="en-GB"/>
        </w:rPr>
        <w:t>other forms of violence against women.</w:t>
      </w:r>
    </w:p>
    <w:p w14:paraId="210F99AF" w14:textId="1A5E24D1" w:rsidR="00816067" w:rsidRPr="003A6023" w:rsidRDefault="000E639A" w:rsidP="00816067">
      <w:pPr>
        <w:pStyle w:val="Textonotaalfinal"/>
        <w:jc w:val="both"/>
        <w:rPr>
          <w:lang w:val="en-GB"/>
        </w:rPr>
      </w:pPr>
      <w:r>
        <w:rPr>
          <w:vertAlign w:val="superscript"/>
          <w:lang w:val="en-GB"/>
        </w:rPr>
        <w:t>73</w:t>
      </w:r>
      <w:r w:rsidR="00816067" w:rsidRPr="003A6023">
        <w:rPr>
          <w:vertAlign w:val="superscript"/>
          <w:lang w:val="en-GB"/>
        </w:rPr>
        <w:t xml:space="preserve"> </w:t>
      </w:r>
      <w:r w:rsidR="00816067" w:rsidRPr="003A6023">
        <w:rPr>
          <w:lang w:val="en-GB"/>
        </w:rPr>
        <w:t xml:space="preserve">Act 26/2015, of 28 July, </w:t>
      </w:r>
      <w:r>
        <w:rPr>
          <w:lang w:val="en-GB"/>
        </w:rPr>
        <w:t>amending</w:t>
      </w:r>
      <w:r w:rsidR="00816067" w:rsidRPr="003A6023">
        <w:rPr>
          <w:lang w:val="en-GB"/>
        </w:rPr>
        <w:t xml:space="preserve"> the system </w:t>
      </w:r>
      <w:r>
        <w:rPr>
          <w:lang w:val="en-GB"/>
        </w:rPr>
        <w:t xml:space="preserve">for the </w:t>
      </w:r>
      <w:r w:rsidR="00816067" w:rsidRPr="003A6023">
        <w:rPr>
          <w:lang w:val="en-GB"/>
        </w:rPr>
        <w:t>protection of child</w:t>
      </w:r>
      <w:r>
        <w:rPr>
          <w:lang w:val="en-GB"/>
        </w:rPr>
        <w:t>ren</w:t>
      </w:r>
      <w:r w:rsidR="00816067" w:rsidRPr="003A6023">
        <w:rPr>
          <w:lang w:val="en-GB"/>
        </w:rPr>
        <w:t xml:space="preserve"> and adolesce</w:t>
      </w:r>
      <w:r>
        <w:rPr>
          <w:lang w:val="en-GB"/>
        </w:rPr>
        <w:t>nts</w:t>
      </w:r>
      <w:r w:rsidR="00816067" w:rsidRPr="003A6023">
        <w:rPr>
          <w:lang w:val="en-GB"/>
        </w:rPr>
        <w:t>.</w:t>
      </w:r>
    </w:p>
    <w:p w14:paraId="6E87838C" w14:textId="2E1D0296" w:rsidR="00816067" w:rsidRPr="003A6023" w:rsidRDefault="000E639A" w:rsidP="00DC026F">
      <w:pPr>
        <w:pStyle w:val="Textonotaalfinal"/>
        <w:rPr>
          <w:lang w:val="en-GB"/>
        </w:rPr>
      </w:pPr>
      <w:r w:rsidRPr="000E639A">
        <w:rPr>
          <w:vertAlign w:val="superscript"/>
          <w:lang w:val="en-GB"/>
        </w:rPr>
        <w:t>74</w:t>
      </w:r>
      <w:r>
        <w:rPr>
          <w:vertAlign w:val="superscript"/>
          <w:lang w:val="en-GB"/>
        </w:rPr>
        <w:t xml:space="preserve"> </w:t>
      </w:r>
      <w:r w:rsidR="00452891">
        <w:rPr>
          <w:lang w:val="en-GB"/>
        </w:rPr>
        <w:t xml:space="preserve">The report is </w:t>
      </w:r>
      <w:r w:rsidR="00816067" w:rsidRPr="003A6023">
        <w:rPr>
          <w:lang w:val="en-GB"/>
        </w:rPr>
        <w:t xml:space="preserve"> </w:t>
      </w:r>
      <w:r w:rsidR="00452891">
        <w:rPr>
          <w:lang w:val="en-GB"/>
        </w:rPr>
        <w:t xml:space="preserve">available on the </w:t>
      </w:r>
      <w:r w:rsidR="00816067" w:rsidRPr="003A6023">
        <w:rPr>
          <w:lang w:val="en-GB"/>
        </w:rPr>
        <w:t>web</w:t>
      </w:r>
      <w:r w:rsidR="00452891">
        <w:rPr>
          <w:lang w:val="en-GB"/>
        </w:rPr>
        <w:t xml:space="preserve">site of the </w:t>
      </w:r>
      <w:r w:rsidR="003A01EE">
        <w:rPr>
          <w:lang w:val="en-GB"/>
        </w:rPr>
        <w:t xml:space="preserve">Childhood </w:t>
      </w:r>
      <w:r w:rsidR="00816067" w:rsidRPr="003A6023">
        <w:rPr>
          <w:lang w:val="en-GB"/>
        </w:rPr>
        <w:t>Observator</w:t>
      </w:r>
      <w:r w:rsidR="00207906">
        <w:rPr>
          <w:lang w:val="en-GB"/>
        </w:rPr>
        <w:t>y</w:t>
      </w:r>
      <w:r w:rsidR="00816067" w:rsidRPr="003A6023">
        <w:rPr>
          <w:lang w:val="en-GB"/>
        </w:rPr>
        <w:t xml:space="preserve"> (</w:t>
      </w:r>
      <w:hyperlink r:id="rId17" w:history="1">
        <w:r w:rsidR="00816067" w:rsidRPr="003A6023">
          <w:rPr>
            <w:rStyle w:val="Hipervnculo"/>
            <w:lang w:val="en-GB"/>
          </w:rPr>
          <w:t>www.observatoriodelainfancia.msssi.gob.es</w:t>
        </w:r>
      </w:hyperlink>
      <w:r w:rsidR="00816067" w:rsidRPr="003A6023">
        <w:rPr>
          <w:lang w:val="en-GB"/>
        </w:rPr>
        <w:t>).</w:t>
      </w:r>
    </w:p>
    <w:p w14:paraId="5FCE7BCE" w14:textId="55E559D0" w:rsidR="00816067" w:rsidRPr="003A6023" w:rsidRDefault="000E639A" w:rsidP="00816067">
      <w:pPr>
        <w:pStyle w:val="Textonotaalfinal"/>
        <w:jc w:val="both"/>
        <w:rPr>
          <w:lang w:val="en-GB"/>
        </w:rPr>
      </w:pPr>
      <w:r>
        <w:rPr>
          <w:rStyle w:val="Refdenotaalfinal"/>
          <w:lang w:val="en-GB"/>
        </w:rPr>
        <w:t>7</w:t>
      </w:r>
      <w:r w:rsidRPr="000E639A">
        <w:rPr>
          <w:vertAlign w:val="superscript"/>
          <w:lang w:val="en-GB"/>
        </w:rPr>
        <w:t>5</w:t>
      </w:r>
      <w:r w:rsidR="00816067" w:rsidRPr="003A6023">
        <w:rPr>
          <w:lang w:val="en-GB"/>
        </w:rPr>
        <w:t xml:space="preserve"> </w:t>
      </w:r>
      <w:hyperlink r:id="rId18" w:history="1">
        <w:r w:rsidR="00816067" w:rsidRPr="003A6023">
          <w:rPr>
            <w:rStyle w:val="Hipervnculo"/>
            <w:lang w:val="en-GB"/>
          </w:rPr>
          <w:t>http://www.inclusio.gva.es/documents/610740/167361274/Guia+de+Uso+seguro+responsable+Inet+Menores+Profesionales+Protecci%C3%B3n+Infancia+v1/c4a75e0e-f19b-4376-a597-e776d9b31047</w:t>
        </w:r>
      </w:hyperlink>
      <w:r w:rsidR="00816067" w:rsidRPr="003A6023">
        <w:rPr>
          <w:lang w:val="en-GB"/>
        </w:rPr>
        <w:t xml:space="preserve"> </w:t>
      </w:r>
    </w:p>
    <w:p w14:paraId="0F70880C" w14:textId="7A84BCF4" w:rsidR="00816067" w:rsidRPr="003A6023" w:rsidRDefault="000E639A" w:rsidP="00816067">
      <w:pPr>
        <w:pStyle w:val="Textonotaalfinal"/>
        <w:jc w:val="both"/>
        <w:rPr>
          <w:lang w:val="en-GB"/>
        </w:rPr>
      </w:pPr>
      <w:r>
        <w:rPr>
          <w:vertAlign w:val="superscript"/>
          <w:lang w:val="en-GB"/>
        </w:rPr>
        <w:t>76</w:t>
      </w:r>
      <w:r w:rsidR="00816067" w:rsidRPr="003A6023">
        <w:rPr>
          <w:vertAlign w:val="superscript"/>
          <w:lang w:val="en-GB"/>
        </w:rPr>
        <w:t xml:space="preserve"> </w:t>
      </w:r>
      <w:r w:rsidR="00816067" w:rsidRPr="003A6023">
        <w:rPr>
          <w:lang w:val="en-GB"/>
        </w:rPr>
        <w:t xml:space="preserve">Royal Decree 1340/2018, of 29 October, approving the </w:t>
      </w:r>
      <w:r w:rsidR="00CA5DFF">
        <w:rPr>
          <w:lang w:val="en-GB"/>
        </w:rPr>
        <w:t xml:space="preserve">special rules governing </w:t>
      </w:r>
      <w:r w:rsidR="00E375AC">
        <w:rPr>
          <w:lang w:val="en-GB"/>
        </w:rPr>
        <w:t xml:space="preserve">subsidies </w:t>
      </w:r>
      <w:r w:rsidR="0021791B">
        <w:rPr>
          <w:lang w:val="en-GB"/>
        </w:rPr>
        <w:t xml:space="preserve">to </w:t>
      </w:r>
      <w:r w:rsidR="00CA5DFF">
        <w:rPr>
          <w:lang w:val="en-GB"/>
        </w:rPr>
        <w:t xml:space="preserve">be </w:t>
      </w:r>
      <w:r w:rsidR="0021791B">
        <w:rPr>
          <w:lang w:val="en-GB"/>
        </w:rPr>
        <w:t xml:space="preserve">awarded </w:t>
      </w:r>
      <w:r w:rsidR="00CA5DFF">
        <w:rPr>
          <w:lang w:val="en-GB"/>
        </w:rPr>
        <w:t xml:space="preserve">directly to the </w:t>
      </w:r>
      <w:r w:rsidR="00207906">
        <w:rPr>
          <w:lang w:val="en-GB"/>
        </w:rPr>
        <w:t xml:space="preserve">Autonomous Communities </w:t>
      </w:r>
      <w:r w:rsidR="00F027F9">
        <w:rPr>
          <w:lang w:val="en-GB"/>
        </w:rPr>
        <w:t>and</w:t>
      </w:r>
      <w:r w:rsidR="00816067" w:rsidRPr="003A6023">
        <w:rPr>
          <w:lang w:val="en-GB"/>
        </w:rPr>
        <w:t xml:space="preserve"> Ci</w:t>
      </w:r>
      <w:r w:rsidR="00207906">
        <w:rPr>
          <w:lang w:val="en-GB"/>
        </w:rPr>
        <w:t xml:space="preserve">ties of </w:t>
      </w:r>
      <w:r w:rsidR="00816067" w:rsidRPr="003A6023">
        <w:rPr>
          <w:lang w:val="en-GB"/>
        </w:rPr>
        <w:t xml:space="preserve">Ceuta </w:t>
      </w:r>
      <w:r w:rsidR="00F027F9">
        <w:rPr>
          <w:lang w:val="en-GB"/>
        </w:rPr>
        <w:t>and</w:t>
      </w:r>
      <w:r w:rsidR="00816067" w:rsidRPr="003A6023">
        <w:rPr>
          <w:lang w:val="en-GB"/>
        </w:rPr>
        <w:t xml:space="preserve"> Melilla </w:t>
      </w:r>
      <w:r w:rsidR="00207906">
        <w:rPr>
          <w:lang w:val="en-GB"/>
        </w:rPr>
        <w:t xml:space="preserve">for the care of </w:t>
      </w:r>
      <w:r w:rsidR="00816067" w:rsidRPr="003A6023">
        <w:rPr>
          <w:lang w:val="en-GB"/>
        </w:rPr>
        <w:t xml:space="preserve">unaccompanied foreign minors </w:t>
      </w:r>
      <w:r w:rsidR="00207906">
        <w:rPr>
          <w:lang w:val="en-GB"/>
        </w:rPr>
        <w:t xml:space="preserve">received </w:t>
      </w:r>
      <w:r w:rsidR="00816067" w:rsidRPr="003A6023">
        <w:rPr>
          <w:lang w:val="en-GB"/>
        </w:rPr>
        <w:t xml:space="preserve">in 2018. </w:t>
      </w:r>
    </w:p>
    <w:p w14:paraId="6B1FF1A6" w14:textId="651EF045" w:rsidR="00816067" w:rsidRPr="003A6023" w:rsidRDefault="0021791B" w:rsidP="00816067">
      <w:pPr>
        <w:pStyle w:val="Textonotaalfinal"/>
        <w:jc w:val="both"/>
        <w:rPr>
          <w:lang w:val="en-GB"/>
        </w:rPr>
      </w:pPr>
      <w:r>
        <w:rPr>
          <w:vertAlign w:val="superscript"/>
          <w:lang w:val="en-GB"/>
        </w:rPr>
        <w:t>77</w:t>
      </w:r>
      <w:r w:rsidR="00816067" w:rsidRPr="003A6023">
        <w:rPr>
          <w:vertAlign w:val="superscript"/>
          <w:lang w:val="en-GB"/>
        </w:rPr>
        <w:t xml:space="preserve"> </w:t>
      </w:r>
      <w:r w:rsidR="00816067" w:rsidRPr="003A6023">
        <w:rPr>
          <w:lang w:val="en-GB"/>
        </w:rPr>
        <w:t xml:space="preserve">UPR recommendations 131.83, 131.152, 131.153, 131.154, 131.155, 131.156 and 131.157.  </w:t>
      </w:r>
    </w:p>
    <w:p w14:paraId="43865D79" w14:textId="7EFD6C2F" w:rsidR="00816067" w:rsidRPr="003A6023" w:rsidRDefault="0021791B" w:rsidP="00816067">
      <w:pPr>
        <w:pStyle w:val="Textonotaalfinal"/>
        <w:jc w:val="both"/>
        <w:rPr>
          <w:lang w:val="en-GB"/>
        </w:rPr>
      </w:pPr>
      <w:r w:rsidRPr="0021791B">
        <w:rPr>
          <w:vertAlign w:val="superscript"/>
          <w:lang w:val="en-GB"/>
        </w:rPr>
        <w:t>78</w:t>
      </w:r>
      <w:r w:rsidR="00816067" w:rsidRPr="003A6023">
        <w:rPr>
          <w:vertAlign w:val="superscript"/>
          <w:lang w:val="en-GB"/>
        </w:rPr>
        <w:t xml:space="preserve"> </w:t>
      </w:r>
      <w:r w:rsidR="00816067" w:rsidRPr="003A6023">
        <w:rPr>
          <w:lang w:val="en-GB"/>
        </w:rPr>
        <w:t xml:space="preserve">Organic Law 2/2018, of 5 December, amending Organic Law 5/1985, of 19 June, </w:t>
      </w:r>
      <w:r w:rsidR="00E375AC">
        <w:rPr>
          <w:lang w:val="en-GB"/>
        </w:rPr>
        <w:t>o</w:t>
      </w:r>
      <w:r w:rsidR="00CA5DFF">
        <w:rPr>
          <w:lang w:val="en-GB"/>
        </w:rPr>
        <w:t>n</w:t>
      </w:r>
      <w:r w:rsidR="00E375AC">
        <w:rPr>
          <w:lang w:val="en-GB"/>
        </w:rPr>
        <w:t xml:space="preserve"> the</w:t>
      </w:r>
      <w:r w:rsidR="00816067" w:rsidRPr="003A6023">
        <w:rPr>
          <w:lang w:val="en-GB"/>
        </w:rPr>
        <w:t xml:space="preserve"> </w:t>
      </w:r>
      <w:r w:rsidR="00CA5DFF" w:rsidRPr="003A6023">
        <w:rPr>
          <w:lang w:val="en-GB"/>
        </w:rPr>
        <w:t xml:space="preserve">General </w:t>
      </w:r>
      <w:r w:rsidR="00816067" w:rsidRPr="003A6023">
        <w:rPr>
          <w:lang w:val="en-GB"/>
        </w:rPr>
        <w:t xml:space="preserve">Electoral </w:t>
      </w:r>
      <w:r w:rsidR="00DC026F">
        <w:rPr>
          <w:lang w:val="en-GB"/>
        </w:rPr>
        <w:t>System</w:t>
      </w:r>
      <w:r w:rsidR="00CA5DFF">
        <w:rPr>
          <w:lang w:val="en-GB"/>
        </w:rPr>
        <w:t xml:space="preserve"> </w:t>
      </w:r>
      <w:r w:rsidR="00452891">
        <w:rPr>
          <w:lang w:val="en-GB"/>
        </w:rPr>
        <w:t xml:space="preserve">for safeguarding the right to suffrage </w:t>
      </w:r>
      <w:r w:rsidR="00207906">
        <w:rPr>
          <w:lang w:val="en-GB"/>
        </w:rPr>
        <w:t>of all persons with disabilit</w:t>
      </w:r>
      <w:r>
        <w:rPr>
          <w:lang w:val="en-GB"/>
        </w:rPr>
        <w:t>ies</w:t>
      </w:r>
      <w:r w:rsidR="00816067" w:rsidRPr="003A6023">
        <w:rPr>
          <w:lang w:val="en-GB"/>
        </w:rPr>
        <w:t xml:space="preserve">. </w:t>
      </w:r>
    </w:p>
    <w:p w14:paraId="14BCC1A7" w14:textId="4E8C6FE4" w:rsidR="00816067" w:rsidRPr="003A6023" w:rsidRDefault="0021791B" w:rsidP="00816067">
      <w:pPr>
        <w:pStyle w:val="Textonotaalfinal"/>
        <w:jc w:val="both"/>
        <w:rPr>
          <w:lang w:val="en-GB"/>
        </w:rPr>
      </w:pPr>
      <w:r>
        <w:rPr>
          <w:vertAlign w:val="superscript"/>
          <w:lang w:val="en-GB"/>
        </w:rPr>
        <w:t>79</w:t>
      </w:r>
      <w:r w:rsidR="00816067" w:rsidRPr="003A6023">
        <w:rPr>
          <w:vertAlign w:val="superscript"/>
          <w:lang w:val="en-GB"/>
        </w:rPr>
        <w:t xml:space="preserve"> </w:t>
      </w:r>
      <w:r w:rsidR="00816067" w:rsidRPr="003A6023">
        <w:rPr>
          <w:lang w:val="en-GB"/>
        </w:rPr>
        <w:t>Organic Law 1/2017, of 13 December, amending Organic Law 5/1995, of 22 May, o</w:t>
      </w:r>
      <w:r>
        <w:rPr>
          <w:lang w:val="en-GB"/>
        </w:rPr>
        <w:t>n</w:t>
      </w:r>
      <w:r w:rsidR="00816067" w:rsidRPr="003A6023">
        <w:rPr>
          <w:lang w:val="en-GB"/>
        </w:rPr>
        <w:t xml:space="preserve"> </w:t>
      </w:r>
      <w:r>
        <w:rPr>
          <w:lang w:val="en-GB"/>
        </w:rPr>
        <w:t>the Jury</w:t>
      </w:r>
      <w:r w:rsidR="00816067" w:rsidRPr="003A6023">
        <w:rPr>
          <w:lang w:val="en-GB"/>
        </w:rPr>
        <w:t xml:space="preserve">, </w:t>
      </w:r>
      <w:r w:rsidR="00452891">
        <w:rPr>
          <w:lang w:val="en-GB"/>
        </w:rPr>
        <w:t xml:space="preserve">to guarantee the </w:t>
      </w:r>
      <w:r w:rsidR="00816067" w:rsidRPr="003A6023">
        <w:rPr>
          <w:lang w:val="en-GB"/>
        </w:rPr>
        <w:t xml:space="preserve">participation of </w:t>
      </w:r>
      <w:r w:rsidR="00AA66ED">
        <w:rPr>
          <w:lang w:val="en-GB"/>
        </w:rPr>
        <w:t>persons</w:t>
      </w:r>
      <w:r w:rsidR="00816067" w:rsidRPr="003A6023">
        <w:rPr>
          <w:lang w:val="en-GB"/>
        </w:rPr>
        <w:t xml:space="preserve"> with disabilities </w:t>
      </w:r>
      <w:r w:rsidR="00452891">
        <w:rPr>
          <w:lang w:val="en-GB"/>
        </w:rPr>
        <w:t xml:space="preserve">without </w:t>
      </w:r>
      <w:r w:rsidR="00816067" w:rsidRPr="003A6023">
        <w:rPr>
          <w:lang w:val="en-GB"/>
        </w:rPr>
        <w:t xml:space="preserve">exclusions. </w:t>
      </w:r>
    </w:p>
    <w:p w14:paraId="285DDD37" w14:textId="6550189B" w:rsidR="00816067" w:rsidRPr="003A6023" w:rsidRDefault="0021791B" w:rsidP="00816067">
      <w:pPr>
        <w:pStyle w:val="Textonotaalfinal"/>
        <w:jc w:val="both"/>
        <w:rPr>
          <w:lang w:val="en-GB"/>
        </w:rPr>
      </w:pPr>
      <w:r>
        <w:rPr>
          <w:vertAlign w:val="superscript"/>
          <w:lang w:val="en-GB"/>
        </w:rPr>
        <w:t>80</w:t>
      </w:r>
      <w:r w:rsidR="00816067" w:rsidRPr="003A6023">
        <w:rPr>
          <w:vertAlign w:val="superscript"/>
          <w:lang w:val="en-GB"/>
        </w:rPr>
        <w:t xml:space="preserve"> </w:t>
      </w:r>
      <w:r w:rsidR="00816067" w:rsidRPr="003A6023">
        <w:rPr>
          <w:lang w:val="en-GB"/>
        </w:rPr>
        <w:t xml:space="preserve">Act 4/2017, of 28 June, amending Act 15/2015, of 2 July, on Voluntary Jurisdiction. </w:t>
      </w:r>
    </w:p>
    <w:p w14:paraId="33FC4DA4" w14:textId="1BA4E0D0" w:rsidR="00816067" w:rsidRPr="003A6023" w:rsidRDefault="0021791B" w:rsidP="00816067">
      <w:pPr>
        <w:pStyle w:val="Textonotaalfinal"/>
        <w:jc w:val="both"/>
        <w:rPr>
          <w:lang w:val="en-GB"/>
        </w:rPr>
      </w:pPr>
      <w:r>
        <w:rPr>
          <w:vertAlign w:val="superscript"/>
          <w:lang w:val="en-GB"/>
        </w:rPr>
        <w:t>8</w:t>
      </w:r>
      <w:r w:rsidR="00816067" w:rsidRPr="003A6023">
        <w:rPr>
          <w:vertAlign w:val="superscript"/>
          <w:lang w:val="en-GB"/>
        </w:rPr>
        <w:footnoteRef/>
      </w:r>
      <w:r>
        <w:rPr>
          <w:vertAlign w:val="superscript"/>
          <w:lang w:val="en-GB"/>
        </w:rPr>
        <w:t xml:space="preserve"> </w:t>
      </w:r>
      <w:r w:rsidR="00816067" w:rsidRPr="003A6023">
        <w:rPr>
          <w:lang w:val="en-GB"/>
        </w:rPr>
        <w:t xml:space="preserve">Act 9/2017, of 8 November, </w:t>
      </w:r>
      <w:r>
        <w:rPr>
          <w:lang w:val="en-GB"/>
        </w:rPr>
        <w:t>on</w:t>
      </w:r>
      <w:r w:rsidR="00816067" w:rsidRPr="003A6023">
        <w:rPr>
          <w:lang w:val="en-GB"/>
        </w:rPr>
        <w:t xml:space="preserve"> Public Sector Contracts, transposing into Spanish law Directives 2014/23/EU and 2014/24/EU</w:t>
      </w:r>
      <w:r w:rsidR="00AA66ED">
        <w:rPr>
          <w:lang w:val="en-GB"/>
        </w:rPr>
        <w:t xml:space="preserve"> </w:t>
      </w:r>
      <w:r w:rsidR="00AA66ED" w:rsidRPr="003A6023">
        <w:rPr>
          <w:lang w:val="en-GB"/>
        </w:rPr>
        <w:t>of the European Parliament and of the Council</w:t>
      </w:r>
      <w:r w:rsidR="00816067" w:rsidRPr="003A6023">
        <w:rPr>
          <w:lang w:val="en-GB"/>
        </w:rPr>
        <w:t xml:space="preserve">, of 26 February 2014.  </w:t>
      </w:r>
    </w:p>
    <w:p w14:paraId="713B4B11" w14:textId="6C0FA049" w:rsidR="00816067" w:rsidRPr="003A6023" w:rsidRDefault="0021791B" w:rsidP="00816067">
      <w:pPr>
        <w:pStyle w:val="Textonotaalfinal"/>
        <w:jc w:val="both"/>
        <w:rPr>
          <w:lang w:val="en-GB"/>
        </w:rPr>
      </w:pPr>
      <w:r>
        <w:rPr>
          <w:vertAlign w:val="superscript"/>
          <w:lang w:val="en-GB"/>
        </w:rPr>
        <w:t>82</w:t>
      </w:r>
      <w:r w:rsidR="00816067" w:rsidRPr="003A6023">
        <w:rPr>
          <w:vertAlign w:val="superscript"/>
          <w:lang w:val="en-GB"/>
        </w:rPr>
        <w:t xml:space="preserve"> </w:t>
      </w:r>
      <w:r w:rsidR="00816067" w:rsidRPr="003A6023">
        <w:rPr>
          <w:lang w:val="en-GB"/>
        </w:rPr>
        <w:t xml:space="preserve">Act 11/2018, of 28 December, amending the Commercial Code, the consolidated text of the Companies Act approved by Royal Legislative Decree 1/2010, of 2 July, and Act 22/2015, of 20 July, </w:t>
      </w:r>
      <w:r w:rsidR="00207906">
        <w:rPr>
          <w:lang w:val="en-GB"/>
        </w:rPr>
        <w:t>on the Auditing of Accounts</w:t>
      </w:r>
      <w:r w:rsidR="00816067" w:rsidRPr="003A6023">
        <w:rPr>
          <w:lang w:val="en-GB"/>
        </w:rPr>
        <w:t xml:space="preserve">, </w:t>
      </w:r>
      <w:r>
        <w:rPr>
          <w:lang w:val="en-GB"/>
        </w:rPr>
        <w:t xml:space="preserve">as </w:t>
      </w:r>
      <w:r w:rsidR="00E212B7">
        <w:rPr>
          <w:lang w:val="en-GB"/>
        </w:rPr>
        <w:t>regard</w:t>
      </w:r>
      <w:r>
        <w:rPr>
          <w:lang w:val="en-GB"/>
        </w:rPr>
        <w:t>s</w:t>
      </w:r>
      <w:r w:rsidR="00E212B7">
        <w:rPr>
          <w:lang w:val="en-GB"/>
        </w:rPr>
        <w:t xml:space="preserve"> </w:t>
      </w:r>
      <w:r w:rsidR="00816067" w:rsidRPr="003A6023">
        <w:rPr>
          <w:lang w:val="en-GB"/>
        </w:rPr>
        <w:t>no</w:t>
      </w:r>
      <w:r w:rsidR="003D28D5">
        <w:rPr>
          <w:lang w:val="en-GB"/>
        </w:rPr>
        <w:t>n-financial</w:t>
      </w:r>
      <w:r w:rsidR="00816067" w:rsidRPr="003A6023">
        <w:rPr>
          <w:lang w:val="en-GB"/>
        </w:rPr>
        <w:t xml:space="preserve"> </w:t>
      </w:r>
      <w:r w:rsidR="003D28D5" w:rsidRPr="003A6023">
        <w:rPr>
          <w:lang w:val="en-GB"/>
        </w:rPr>
        <w:t>informa</w:t>
      </w:r>
      <w:r w:rsidR="003D28D5">
        <w:rPr>
          <w:lang w:val="en-GB"/>
        </w:rPr>
        <w:t>tion</w:t>
      </w:r>
      <w:r w:rsidR="003D28D5" w:rsidRPr="003A6023">
        <w:rPr>
          <w:lang w:val="en-GB"/>
        </w:rPr>
        <w:t xml:space="preserve"> </w:t>
      </w:r>
      <w:r w:rsidR="00F027F9">
        <w:rPr>
          <w:lang w:val="en-GB"/>
        </w:rPr>
        <w:t>and</w:t>
      </w:r>
      <w:r w:rsidR="00816067" w:rsidRPr="003A6023">
        <w:rPr>
          <w:lang w:val="en-GB"/>
        </w:rPr>
        <w:t xml:space="preserve"> diversi</w:t>
      </w:r>
      <w:r w:rsidR="00F027F9">
        <w:rPr>
          <w:lang w:val="en-GB"/>
        </w:rPr>
        <w:t>ty</w:t>
      </w:r>
      <w:r w:rsidR="00816067" w:rsidRPr="003A6023">
        <w:rPr>
          <w:lang w:val="en-GB"/>
        </w:rPr>
        <w:t>.</w:t>
      </w:r>
    </w:p>
    <w:p w14:paraId="0ABBB7C0" w14:textId="159435AE" w:rsidR="00816067" w:rsidRPr="003A6023" w:rsidRDefault="0021791B" w:rsidP="00816067">
      <w:pPr>
        <w:jc w:val="both"/>
        <w:rPr>
          <w:lang w:val="en-GB"/>
        </w:rPr>
      </w:pPr>
      <w:r w:rsidRPr="0021791B">
        <w:rPr>
          <w:vertAlign w:val="superscript"/>
          <w:lang w:val="en-GB"/>
        </w:rPr>
        <w:t>83</w:t>
      </w:r>
      <w:r w:rsidR="00816067" w:rsidRPr="003A6023">
        <w:rPr>
          <w:lang w:val="en-GB"/>
        </w:rPr>
        <w:t xml:space="preserve"> </w:t>
      </w:r>
      <w:r w:rsidR="00E212B7">
        <w:rPr>
          <w:lang w:val="en-GB"/>
        </w:rPr>
        <w:t xml:space="preserve">Compliance levels are self-declared by </w:t>
      </w:r>
      <w:r w:rsidR="00207906">
        <w:rPr>
          <w:lang w:val="en-GB"/>
        </w:rPr>
        <w:t xml:space="preserve">each entity in </w:t>
      </w:r>
      <w:r w:rsidR="00E212B7">
        <w:rPr>
          <w:lang w:val="en-GB"/>
        </w:rPr>
        <w:t xml:space="preserve">their </w:t>
      </w:r>
      <w:r w:rsidR="00207906">
        <w:rPr>
          <w:lang w:val="en-GB"/>
        </w:rPr>
        <w:t>directors’ report</w:t>
      </w:r>
      <w:r w:rsidR="00E212B7">
        <w:rPr>
          <w:lang w:val="en-GB"/>
        </w:rPr>
        <w:t>s</w:t>
      </w:r>
      <w:r w:rsidR="00816067" w:rsidRPr="003A6023">
        <w:rPr>
          <w:lang w:val="en-GB"/>
        </w:rPr>
        <w:t xml:space="preserve">, </w:t>
      </w:r>
      <w:r w:rsidR="00207906">
        <w:rPr>
          <w:lang w:val="en-GB"/>
        </w:rPr>
        <w:t xml:space="preserve">which </w:t>
      </w:r>
      <w:r w:rsidR="00E212B7">
        <w:rPr>
          <w:lang w:val="en-GB"/>
        </w:rPr>
        <w:t xml:space="preserve">are </w:t>
      </w:r>
      <w:r w:rsidR="00207906">
        <w:rPr>
          <w:lang w:val="en-GB"/>
        </w:rPr>
        <w:t xml:space="preserve">published together with the other </w:t>
      </w:r>
      <w:r w:rsidR="00F027F9">
        <w:rPr>
          <w:lang w:val="en-GB"/>
        </w:rPr>
        <w:t xml:space="preserve">annual financial </w:t>
      </w:r>
      <w:r w:rsidR="00207906">
        <w:rPr>
          <w:lang w:val="en-GB"/>
        </w:rPr>
        <w:t xml:space="preserve">statements and </w:t>
      </w:r>
      <w:r w:rsidR="00F027F9">
        <w:rPr>
          <w:lang w:val="en-GB"/>
        </w:rPr>
        <w:t xml:space="preserve">reports on the </w:t>
      </w:r>
      <w:r w:rsidR="00816067" w:rsidRPr="003A6023">
        <w:rPr>
          <w:lang w:val="en-GB"/>
        </w:rPr>
        <w:t>web</w:t>
      </w:r>
      <w:r w:rsidR="00F027F9">
        <w:rPr>
          <w:lang w:val="en-GB"/>
        </w:rPr>
        <w:t xml:space="preserve">site of the </w:t>
      </w:r>
      <w:r w:rsidR="00816067" w:rsidRPr="003A6023">
        <w:rPr>
          <w:lang w:val="en-GB"/>
        </w:rPr>
        <w:t xml:space="preserve">Spanish Securities Market Commission: </w:t>
      </w:r>
      <w:hyperlink r:id="rId19" w:history="1">
        <w:r w:rsidR="00816067" w:rsidRPr="003A6023">
          <w:rPr>
            <w:rStyle w:val="Hipervnculo"/>
            <w:lang w:val="en-GB"/>
          </w:rPr>
          <w:t>https://www.cnmv.es/Portal/consultas/busqueda.aspx?id=25</w:t>
        </w:r>
      </w:hyperlink>
    </w:p>
    <w:p w14:paraId="5E84FBDE" w14:textId="4908D11A" w:rsidR="00816067" w:rsidRPr="003A6023" w:rsidRDefault="0021791B" w:rsidP="00816067">
      <w:pPr>
        <w:pStyle w:val="Textonotaalfinal"/>
        <w:jc w:val="both"/>
        <w:rPr>
          <w:lang w:val="en-GB"/>
        </w:rPr>
      </w:pPr>
      <w:r>
        <w:rPr>
          <w:vertAlign w:val="superscript"/>
          <w:lang w:val="en-GB"/>
        </w:rPr>
        <w:t>84</w:t>
      </w:r>
      <w:r w:rsidR="00816067" w:rsidRPr="003A6023">
        <w:rPr>
          <w:vertAlign w:val="superscript"/>
          <w:lang w:val="en-GB"/>
        </w:rPr>
        <w:t xml:space="preserve"> </w:t>
      </w:r>
      <w:r w:rsidR="00816067" w:rsidRPr="003A6023">
        <w:rPr>
          <w:lang w:val="en-GB"/>
        </w:rPr>
        <w:t xml:space="preserve">Royal Decree 1112/2018, of 7 September, on </w:t>
      </w:r>
      <w:r>
        <w:rPr>
          <w:lang w:val="en-GB"/>
        </w:rPr>
        <w:t xml:space="preserve">the </w:t>
      </w:r>
      <w:r w:rsidR="00816067" w:rsidRPr="003A6023">
        <w:rPr>
          <w:lang w:val="en-GB"/>
        </w:rPr>
        <w:t>accessibility of public sector websites and applications for mobile devices.</w:t>
      </w:r>
    </w:p>
    <w:p w14:paraId="2EBF598D" w14:textId="1E54D851" w:rsidR="00816067" w:rsidRPr="003A6023" w:rsidRDefault="0010672D" w:rsidP="00816067">
      <w:pPr>
        <w:pStyle w:val="Textonotaalfinal"/>
        <w:jc w:val="both"/>
        <w:rPr>
          <w:lang w:val="en-GB"/>
        </w:rPr>
      </w:pPr>
      <w:r>
        <w:rPr>
          <w:vertAlign w:val="superscript"/>
          <w:lang w:val="en-GB"/>
        </w:rPr>
        <w:t>85</w:t>
      </w:r>
      <w:r w:rsidR="00816067" w:rsidRPr="003A6023">
        <w:rPr>
          <w:vertAlign w:val="superscript"/>
          <w:lang w:val="en-GB"/>
        </w:rPr>
        <w:t xml:space="preserve"> </w:t>
      </w:r>
      <w:r w:rsidR="00816067" w:rsidRPr="003A6023">
        <w:rPr>
          <w:lang w:val="en-GB"/>
        </w:rPr>
        <w:t>Directive 2019/882/EU of the European Parliament and of the Council of 17 April 2019 on the accessibility requirements for products and services.</w:t>
      </w:r>
    </w:p>
    <w:p w14:paraId="7DDB5142" w14:textId="1EE040DF" w:rsidR="00816067" w:rsidRPr="003A6023" w:rsidRDefault="0010672D" w:rsidP="00816067">
      <w:pPr>
        <w:pStyle w:val="Textonotaalfinal"/>
        <w:jc w:val="both"/>
        <w:rPr>
          <w:lang w:val="en-GB"/>
        </w:rPr>
      </w:pPr>
      <w:r>
        <w:rPr>
          <w:vertAlign w:val="superscript"/>
          <w:lang w:val="en-GB"/>
        </w:rPr>
        <w:t>86</w:t>
      </w:r>
      <w:r w:rsidR="00816067" w:rsidRPr="003A6023">
        <w:rPr>
          <w:vertAlign w:val="superscript"/>
          <w:lang w:val="en-GB"/>
        </w:rPr>
        <w:t xml:space="preserve"> </w:t>
      </w:r>
      <w:r w:rsidR="00816067" w:rsidRPr="003A6023">
        <w:rPr>
          <w:lang w:val="en-GB"/>
        </w:rPr>
        <w:t xml:space="preserve">Regarding the </w:t>
      </w:r>
      <w:r>
        <w:rPr>
          <w:lang w:val="en-GB"/>
        </w:rPr>
        <w:t xml:space="preserve">Draft </w:t>
      </w:r>
      <w:r w:rsidR="00816067" w:rsidRPr="003A6023">
        <w:rPr>
          <w:lang w:val="en-GB"/>
        </w:rPr>
        <w:t>Organic Law on Education see §126.</w:t>
      </w:r>
    </w:p>
    <w:p w14:paraId="61C9456A" w14:textId="132B4F47" w:rsidR="00816067" w:rsidRPr="003A6023" w:rsidRDefault="0010672D" w:rsidP="00816067">
      <w:pPr>
        <w:pStyle w:val="Textonotaalfinal"/>
        <w:jc w:val="both"/>
        <w:rPr>
          <w:lang w:val="en-GB"/>
        </w:rPr>
      </w:pPr>
      <w:r>
        <w:rPr>
          <w:vertAlign w:val="superscript"/>
          <w:lang w:val="en-GB"/>
        </w:rPr>
        <w:t>87</w:t>
      </w:r>
      <w:r w:rsidR="00816067" w:rsidRPr="003A6023">
        <w:rPr>
          <w:vertAlign w:val="superscript"/>
          <w:lang w:val="en-GB"/>
        </w:rPr>
        <w:t xml:space="preserve"> </w:t>
      </w:r>
      <w:r>
        <w:rPr>
          <w:lang w:val="en-GB"/>
        </w:rPr>
        <w:t>It i</w:t>
      </w:r>
      <w:r w:rsidR="00816067" w:rsidRPr="003A6023">
        <w:rPr>
          <w:lang w:val="en-GB"/>
        </w:rPr>
        <w:t xml:space="preserve">mproved accessibility </w:t>
      </w:r>
      <w:r>
        <w:rPr>
          <w:lang w:val="en-GB"/>
        </w:rPr>
        <w:t xml:space="preserve">for </w:t>
      </w:r>
      <w:r w:rsidR="00816067" w:rsidRPr="003A6023">
        <w:rPr>
          <w:lang w:val="en-GB" w:eastAsia="en-US"/>
        </w:rPr>
        <w:t xml:space="preserve">deaf women through SVIsual </w:t>
      </w:r>
      <w:r w:rsidR="00F027F9">
        <w:rPr>
          <w:lang w:val="en-GB" w:eastAsia="en-US"/>
        </w:rPr>
        <w:t>and</w:t>
      </w:r>
      <w:r w:rsidR="00816067" w:rsidRPr="003A6023">
        <w:rPr>
          <w:lang w:val="en-GB" w:eastAsia="en-US"/>
        </w:rPr>
        <w:t xml:space="preserve"> </w:t>
      </w:r>
      <w:r>
        <w:rPr>
          <w:lang w:val="en-GB" w:eastAsia="en-US"/>
        </w:rPr>
        <w:t xml:space="preserve">for </w:t>
      </w:r>
      <w:r w:rsidR="00CA5DFF">
        <w:rPr>
          <w:lang w:val="en-GB" w:eastAsia="en-US"/>
        </w:rPr>
        <w:t xml:space="preserve">women </w:t>
      </w:r>
      <w:r w:rsidR="00816067" w:rsidRPr="003A6023">
        <w:rPr>
          <w:lang w:val="en-GB" w:eastAsia="en-US"/>
        </w:rPr>
        <w:t>with hearing disabilit</w:t>
      </w:r>
      <w:r w:rsidR="00CA5DFF">
        <w:rPr>
          <w:lang w:val="en-GB" w:eastAsia="en-US"/>
        </w:rPr>
        <w:t>ies</w:t>
      </w:r>
      <w:r w:rsidR="00816067" w:rsidRPr="003A6023">
        <w:rPr>
          <w:lang w:val="en-GB" w:eastAsia="en-US"/>
        </w:rPr>
        <w:t xml:space="preserve"> and vis</w:t>
      </w:r>
      <w:r>
        <w:rPr>
          <w:lang w:val="en-GB" w:eastAsia="en-US"/>
        </w:rPr>
        <w:t xml:space="preserve">ion </w:t>
      </w:r>
      <w:r w:rsidR="00D37F68">
        <w:rPr>
          <w:lang w:val="en-GB" w:eastAsia="en-US"/>
        </w:rPr>
        <w:t>impairments</w:t>
      </w:r>
      <w:r>
        <w:rPr>
          <w:lang w:val="en-GB" w:eastAsia="en-US"/>
        </w:rPr>
        <w:t xml:space="preserve"> </w:t>
      </w:r>
      <w:r w:rsidR="00CA5DFF">
        <w:rPr>
          <w:lang w:val="en-GB" w:eastAsia="en-US"/>
        </w:rPr>
        <w:t xml:space="preserve">through the </w:t>
      </w:r>
      <w:r w:rsidR="00D37F68">
        <w:rPr>
          <w:lang w:val="en-GB" w:eastAsia="en-US"/>
        </w:rPr>
        <w:t>Hotline</w:t>
      </w:r>
      <w:r w:rsidR="00CA5DFF">
        <w:rPr>
          <w:lang w:val="en-GB" w:eastAsia="en-US"/>
        </w:rPr>
        <w:t xml:space="preserve"> for </w:t>
      </w:r>
      <w:r w:rsidR="00816067" w:rsidRPr="003A6023">
        <w:rPr>
          <w:lang w:val="en-GB" w:eastAsia="en-US"/>
        </w:rPr>
        <w:t>A</w:t>
      </w:r>
      <w:r w:rsidR="00CA5DFF">
        <w:rPr>
          <w:lang w:val="en-GB" w:eastAsia="en-US"/>
        </w:rPr>
        <w:t>t</w:t>
      </w:r>
      <w:r w:rsidR="00816067" w:rsidRPr="003A6023">
        <w:rPr>
          <w:lang w:val="en-GB" w:eastAsia="en-US"/>
        </w:rPr>
        <w:t>ten</w:t>
      </w:r>
      <w:r>
        <w:rPr>
          <w:lang w:val="en-GB" w:eastAsia="en-US"/>
        </w:rPr>
        <w:t>ding</w:t>
      </w:r>
      <w:r w:rsidR="00816067" w:rsidRPr="003A6023">
        <w:rPr>
          <w:lang w:val="en-GB" w:eastAsia="en-US"/>
        </w:rPr>
        <w:t xml:space="preserve"> </w:t>
      </w:r>
      <w:r w:rsidR="00CA5DFF">
        <w:rPr>
          <w:lang w:val="en-GB" w:eastAsia="en-US"/>
        </w:rPr>
        <w:t xml:space="preserve">to </w:t>
      </w:r>
      <w:r w:rsidR="00F027F9">
        <w:rPr>
          <w:lang w:val="en-GB" w:eastAsia="en-US"/>
        </w:rPr>
        <w:t>and</w:t>
      </w:r>
      <w:r w:rsidR="00816067" w:rsidRPr="003A6023">
        <w:rPr>
          <w:lang w:val="en-GB" w:eastAsia="en-US"/>
        </w:rPr>
        <w:t xml:space="preserve"> Protect</w:t>
      </w:r>
      <w:r>
        <w:rPr>
          <w:lang w:val="en-GB" w:eastAsia="en-US"/>
        </w:rPr>
        <w:t>ing</w:t>
      </w:r>
      <w:r w:rsidR="00816067" w:rsidRPr="003A6023">
        <w:rPr>
          <w:lang w:val="en-GB" w:eastAsia="en-US"/>
        </w:rPr>
        <w:t xml:space="preserve"> </w:t>
      </w:r>
      <w:r>
        <w:rPr>
          <w:lang w:val="en-GB" w:eastAsia="en-US"/>
        </w:rPr>
        <w:t>V</w:t>
      </w:r>
      <w:r w:rsidR="00816067" w:rsidRPr="003A6023">
        <w:rPr>
          <w:lang w:val="en-GB" w:eastAsia="en-US"/>
        </w:rPr>
        <w:t xml:space="preserve">ictims of </w:t>
      </w:r>
      <w:r>
        <w:rPr>
          <w:lang w:val="en-GB" w:eastAsia="en-US"/>
        </w:rPr>
        <w:t>G</w:t>
      </w:r>
      <w:r w:rsidR="00816067" w:rsidRPr="003A6023">
        <w:rPr>
          <w:lang w:val="en-GB" w:eastAsia="en-US"/>
        </w:rPr>
        <w:t>ender</w:t>
      </w:r>
      <w:r>
        <w:rPr>
          <w:lang w:val="en-GB" w:eastAsia="en-US"/>
        </w:rPr>
        <w:t>-based</w:t>
      </w:r>
      <w:r w:rsidR="00816067" w:rsidRPr="003A6023">
        <w:rPr>
          <w:lang w:val="en-GB" w:eastAsia="en-US"/>
        </w:rPr>
        <w:t xml:space="preserve"> </w:t>
      </w:r>
      <w:r>
        <w:rPr>
          <w:lang w:val="en-GB" w:eastAsia="en-US"/>
        </w:rPr>
        <w:t>V</w:t>
      </w:r>
      <w:r w:rsidR="00816067" w:rsidRPr="003A6023">
        <w:rPr>
          <w:lang w:val="en-GB" w:eastAsia="en-US"/>
        </w:rPr>
        <w:t>iolence.</w:t>
      </w:r>
    </w:p>
    <w:p w14:paraId="0178D7D7" w14:textId="010D1D1F" w:rsidR="00816067" w:rsidRPr="003A6023" w:rsidRDefault="0010672D" w:rsidP="00816067">
      <w:pPr>
        <w:pStyle w:val="Textonotaalfinal"/>
        <w:jc w:val="both"/>
        <w:rPr>
          <w:lang w:val="en-GB"/>
        </w:rPr>
      </w:pPr>
      <w:r>
        <w:rPr>
          <w:vertAlign w:val="superscript"/>
          <w:lang w:val="en-GB"/>
        </w:rPr>
        <w:t>88</w:t>
      </w:r>
      <w:r w:rsidR="00816067" w:rsidRPr="003A6023">
        <w:rPr>
          <w:vertAlign w:val="superscript"/>
          <w:lang w:val="en-GB"/>
        </w:rPr>
        <w:t xml:space="preserve"> </w:t>
      </w:r>
      <w:r w:rsidR="00F027F9">
        <w:rPr>
          <w:lang w:val="en-GB"/>
        </w:rPr>
        <w:t xml:space="preserve">See the midterm report </w:t>
      </w:r>
      <w:r w:rsidR="00816067" w:rsidRPr="003A6023">
        <w:rPr>
          <w:lang w:val="en-GB"/>
        </w:rPr>
        <w:t>(2018), p</w:t>
      </w:r>
      <w:r w:rsidR="00207906">
        <w:rPr>
          <w:lang w:val="en-GB"/>
        </w:rPr>
        <w:t>p.</w:t>
      </w:r>
      <w:r w:rsidR="00816067" w:rsidRPr="003A6023">
        <w:rPr>
          <w:lang w:val="en-GB"/>
        </w:rPr>
        <w:t xml:space="preserve"> 32 and 33. </w:t>
      </w:r>
    </w:p>
    <w:p w14:paraId="13FD0EE7" w14:textId="3AA498F8" w:rsidR="00816067" w:rsidRPr="003A6023" w:rsidRDefault="0010672D" w:rsidP="00816067">
      <w:pPr>
        <w:pStyle w:val="Textonotaalfinal"/>
        <w:jc w:val="both"/>
        <w:rPr>
          <w:lang w:val="en-GB"/>
        </w:rPr>
      </w:pPr>
      <w:r>
        <w:rPr>
          <w:vertAlign w:val="superscript"/>
          <w:lang w:val="en-GB"/>
        </w:rPr>
        <w:t>89</w:t>
      </w:r>
      <w:r w:rsidR="00816067" w:rsidRPr="003A6023">
        <w:rPr>
          <w:vertAlign w:val="superscript"/>
          <w:lang w:val="en-GB"/>
        </w:rPr>
        <w:t xml:space="preserve"> </w:t>
      </w:r>
      <w:r w:rsidR="00816067" w:rsidRPr="003A6023">
        <w:rPr>
          <w:lang w:val="en-GB"/>
        </w:rPr>
        <w:t xml:space="preserve">UPR recommendations 131.162, 131.166, 131.168, 131.169, 131.170 (noted), 131.171, 131.172, 131.173, 131.174, 131.175, 131.176, 131.177, 131.178, 131.179, 131.180 (partially noted), 131.180 (partially accepted), 131.181 and 131.182. </w:t>
      </w:r>
    </w:p>
    <w:p w14:paraId="6E316572" w14:textId="39BF81C9" w:rsidR="00816067" w:rsidRPr="003A6023" w:rsidRDefault="0010672D" w:rsidP="00816067">
      <w:pPr>
        <w:pStyle w:val="Textonotaalfinal"/>
        <w:jc w:val="both"/>
        <w:rPr>
          <w:lang w:val="en-GB"/>
        </w:rPr>
      </w:pPr>
      <w:r>
        <w:rPr>
          <w:vertAlign w:val="superscript"/>
          <w:lang w:val="en-GB"/>
        </w:rPr>
        <w:t>90</w:t>
      </w:r>
      <w:r w:rsidR="00816067" w:rsidRPr="003A6023">
        <w:rPr>
          <w:vertAlign w:val="superscript"/>
          <w:lang w:val="en-GB"/>
        </w:rPr>
        <w:t xml:space="preserve"> </w:t>
      </w:r>
      <w:r w:rsidR="00816067" w:rsidRPr="003A6023">
        <w:rPr>
          <w:lang w:val="en-GB"/>
        </w:rPr>
        <w:t>Organic Law 5/2015, of 27 April, amending the Criminal Procedure Act and Organic Law 6/1985, of 1 July, on the Judiciary, to transpose Directive 2010/64/EU, of 20 October 2010, on the right to interpretation and translation in criminal proceedings and Directive 2012/13/EU, of 22 May 2012, on the right to information in criminal proceedings.</w:t>
      </w:r>
    </w:p>
    <w:p w14:paraId="780DAE39" w14:textId="2D85752E" w:rsidR="00816067" w:rsidRPr="003A6023" w:rsidRDefault="0010672D" w:rsidP="00816067">
      <w:pPr>
        <w:pStyle w:val="Textonotaalfinal"/>
        <w:jc w:val="both"/>
        <w:rPr>
          <w:lang w:val="en-GB"/>
        </w:rPr>
      </w:pPr>
      <w:r>
        <w:rPr>
          <w:vertAlign w:val="superscript"/>
          <w:lang w:val="en-GB"/>
        </w:rPr>
        <w:t>9</w:t>
      </w:r>
      <w:r w:rsidR="00816067" w:rsidRPr="003A6023">
        <w:rPr>
          <w:vertAlign w:val="superscript"/>
          <w:lang w:val="en-GB"/>
        </w:rPr>
        <w:footnoteRef/>
      </w:r>
      <w:r w:rsidR="00816067" w:rsidRPr="003A6023">
        <w:rPr>
          <w:vertAlign w:val="superscript"/>
          <w:lang w:val="en-GB"/>
        </w:rPr>
        <w:t xml:space="preserve"> </w:t>
      </w:r>
      <w:r w:rsidR="00816067" w:rsidRPr="003A6023">
        <w:rPr>
          <w:lang w:val="en-GB"/>
        </w:rPr>
        <w:t>For further information see the midterm report (2018), p</w:t>
      </w:r>
      <w:r w:rsidR="00C153EE">
        <w:rPr>
          <w:lang w:val="en-GB"/>
        </w:rPr>
        <w:t>. 52</w:t>
      </w:r>
      <w:r w:rsidR="00207906">
        <w:rPr>
          <w:lang w:val="en-GB"/>
        </w:rPr>
        <w:t>.</w:t>
      </w:r>
    </w:p>
    <w:p w14:paraId="3FE1C734" w14:textId="5E2842EA" w:rsidR="00816067" w:rsidRPr="003A6023" w:rsidRDefault="0010672D" w:rsidP="00816067">
      <w:pPr>
        <w:pStyle w:val="Textonotaalfinal"/>
        <w:jc w:val="both"/>
        <w:rPr>
          <w:lang w:val="en-GB"/>
        </w:rPr>
      </w:pPr>
      <w:r>
        <w:rPr>
          <w:vertAlign w:val="superscript"/>
          <w:lang w:val="en-GB"/>
        </w:rPr>
        <w:t>92</w:t>
      </w:r>
      <w:r w:rsidR="00816067" w:rsidRPr="003A6023">
        <w:rPr>
          <w:vertAlign w:val="superscript"/>
          <w:lang w:val="en-GB"/>
        </w:rPr>
        <w:t xml:space="preserve"> </w:t>
      </w:r>
      <w:r w:rsidR="00816067" w:rsidRPr="003A6023">
        <w:rPr>
          <w:lang w:val="en-GB"/>
        </w:rPr>
        <w:t xml:space="preserve">Act 2/2017, of 21 June, </w:t>
      </w:r>
      <w:r w:rsidR="00F027F9">
        <w:rPr>
          <w:lang w:val="en-GB"/>
        </w:rPr>
        <w:t xml:space="preserve">amending </w:t>
      </w:r>
      <w:r w:rsidR="00816067" w:rsidRPr="003A6023">
        <w:rPr>
          <w:lang w:val="en-GB"/>
        </w:rPr>
        <w:t xml:space="preserve">Act 1/1996, of 10 January, </w:t>
      </w:r>
      <w:r w:rsidR="00F027F9">
        <w:rPr>
          <w:lang w:val="en-GB"/>
        </w:rPr>
        <w:t>on free legal assistance</w:t>
      </w:r>
      <w:r w:rsidR="00816067" w:rsidRPr="003A6023">
        <w:rPr>
          <w:lang w:val="en-GB"/>
        </w:rPr>
        <w:t>.</w:t>
      </w:r>
    </w:p>
    <w:p w14:paraId="53A3F187" w14:textId="7C28FE1C" w:rsidR="00816067" w:rsidRPr="003A6023" w:rsidRDefault="0010672D" w:rsidP="00816067">
      <w:pPr>
        <w:pStyle w:val="Textonotaalfinal"/>
        <w:jc w:val="both"/>
        <w:rPr>
          <w:lang w:val="en-GB"/>
        </w:rPr>
      </w:pPr>
      <w:r>
        <w:rPr>
          <w:vertAlign w:val="superscript"/>
          <w:lang w:val="en-GB"/>
        </w:rPr>
        <w:t>93</w:t>
      </w:r>
      <w:r w:rsidR="00816067" w:rsidRPr="003A6023">
        <w:rPr>
          <w:vertAlign w:val="superscript"/>
          <w:lang w:val="en-GB"/>
        </w:rPr>
        <w:t xml:space="preserve"> </w:t>
      </w:r>
      <w:r w:rsidR="00816067" w:rsidRPr="003A6023">
        <w:rPr>
          <w:lang w:val="en-GB" w:eastAsia="en-US"/>
        </w:rPr>
        <w:t>Co-funded by the Asylum, Migration and Integration Fund and the European Social Fund.</w:t>
      </w:r>
    </w:p>
    <w:p w14:paraId="5375A780" w14:textId="5107DAA4" w:rsidR="00816067" w:rsidRPr="003A6023" w:rsidRDefault="0010672D" w:rsidP="00816067">
      <w:pPr>
        <w:pStyle w:val="Textonotaalfinal"/>
        <w:jc w:val="both"/>
        <w:rPr>
          <w:lang w:val="en-GB"/>
        </w:rPr>
      </w:pPr>
      <w:r>
        <w:rPr>
          <w:vertAlign w:val="superscript"/>
          <w:lang w:val="en-GB"/>
        </w:rPr>
        <w:t>94</w:t>
      </w:r>
      <w:r w:rsidR="00816067" w:rsidRPr="003A6023">
        <w:rPr>
          <w:vertAlign w:val="superscript"/>
          <w:lang w:val="en-GB"/>
        </w:rPr>
        <w:t xml:space="preserve"> </w:t>
      </w:r>
      <w:r w:rsidR="00816067" w:rsidRPr="003A6023">
        <w:rPr>
          <w:lang w:val="en-GB"/>
        </w:rPr>
        <w:t>UPR recommendations 131.19, 131.20 and 131.107.</w:t>
      </w:r>
    </w:p>
    <w:p w14:paraId="63A7C312" w14:textId="2C4B2B43" w:rsidR="00816067" w:rsidRPr="003A6023" w:rsidRDefault="0010672D" w:rsidP="00816067">
      <w:pPr>
        <w:pStyle w:val="Textonotaalfinal"/>
        <w:jc w:val="both"/>
        <w:rPr>
          <w:lang w:val="en-GB"/>
        </w:rPr>
      </w:pPr>
      <w:r>
        <w:rPr>
          <w:vertAlign w:val="superscript"/>
          <w:lang w:val="en-GB"/>
        </w:rPr>
        <w:t>95</w:t>
      </w:r>
      <w:r w:rsidR="00816067" w:rsidRPr="003A6023">
        <w:rPr>
          <w:vertAlign w:val="superscript"/>
          <w:lang w:val="en-GB"/>
        </w:rPr>
        <w:t xml:space="preserve"> </w:t>
      </w:r>
      <w:r w:rsidR="00816067" w:rsidRPr="003A6023">
        <w:rPr>
          <w:lang w:val="en-GB"/>
        </w:rPr>
        <w:t>Royal Decree 593/2015, of 3 July, regulating the declara</w:t>
      </w:r>
      <w:r w:rsidR="003D28D5">
        <w:rPr>
          <w:lang w:val="en-GB"/>
        </w:rPr>
        <w:t>tion</w:t>
      </w:r>
      <w:r w:rsidR="00816067" w:rsidRPr="003A6023">
        <w:rPr>
          <w:lang w:val="en-GB"/>
        </w:rPr>
        <w:t xml:space="preserve"> </w:t>
      </w:r>
      <w:r w:rsidR="008948F0">
        <w:rPr>
          <w:lang w:val="en-GB"/>
        </w:rPr>
        <w:t xml:space="preserve">of the legal status of </w:t>
      </w:r>
      <w:r w:rsidR="00816067" w:rsidRPr="008948F0">
        <w:rPr>
          <w:i/>
          <w:iCs/>
          <w:lang w:val="en-GB"/>
        </w:rPr>
        <w:t>notorio arraigo</w:t>
      </w:r>
      <w:r w:rsidR="00816067" w:rsidRPr="003A6023">
        <w:rPr>
          <w:lang w:val="en-GB"/>
        </w:rPr>
        <w:t xml:space="preserve"> </w:t>
      </w:r>
      <w:r w:rsidR="008948F0">
        <w:rPr>
          <w:lang w:val="en-GB"/>
        </w:rPr>
        <w:t>[</w:t>
      </w:r>
      <w:r w:rsidR="00002656">
        <w:rPr>
          <w:lang w:val="en-GB"/>
        </w:rPr>
        <w:t>referring to “</w:t>
      </w:r>
      <w:r w:rsidR="008948F0">
        <w:rPr>
          <w:lang w:val="en-GB"/>
        </w:rPr>
        <w:t xml:space="preserve">conspicuous and well-established presence”] </w:t>
      </w:r>
      <w:r w:rsidR="00816067" w:rsidRPr="003A6023">
        <w:rPr>
          <w:lang w:val="en-GB"/>
        </w:rPr>
        <w:t xml:space="preserve">of religious </w:t>
      </w:r>
      <w:r w:rsidR="008948F0">
        <w:rPr>
          <w:lang w:val="en-GB"/>
        </w:rPr>
        <w:t xml:space="preserve">denominations </w:t>
      </w:r>
      <w:r w:rsidR="00816067" w:rsidRPr="003A6023">
        <w:rPr>
          <w:lang w:val="en-GB"/>
        </w:rPr>
        <w:t>in Spain.</w:t>
      </w:r>
    </w:p>
    <w:p w14:paraId="35F3871F" w14:textId="4200AACE" w:rsidR="00816067" w:rsidRPr="003A6023" w:rsidRDefault="0010672D" w:rsidP="00816067">
      <w:pPr>
        <w:pStyle w:val="Textonotaalfinal"/>
        <w:jc w:val="both"/>
        <w:rPr>
          <w:lang w:val="en-GB"/>
        </w:rPr>
      </w:pPr>
      <w:r>
        <w:rPr>
          <w:vertAlign w:val="superscript"/>
          <w:lang w:val="en-GB"/>
        </w:rPr>
        <w:lastRenderedPageBreak/>
        <w:t>96</w:t>
      </w:r>
      <w:r w:rsidR="00816067" w:rsidRPr="003A6023">
        <w:rPr>
          <w:vertAlign w:val="superscript"/>
          <w:lang w:val="en-GB"/>
        </w:rPr>
        <w:t xml:space="preserve"> </w:t>
      </w:r>
      <w:r w:rsidR="00816067" w:rsidRPr="003A6023">
        <w:rPr>
          <w:lang w:val="en-GB"/>
        </w:rPr>
        <w:t>Royal Decree 594/2015, of 3 July, regulating the Register of Religious Entities.</w:t>
      </w:r>
    </w:p>
    <w:p w14:paraId="5A937438" w14:textId="5DDB66CD" w:rsidR="00816067" w:rsidRPr="003A6023" w:rsidRDefault="0010672D" w:rsidP="00816067">
      <w:pPr>
        <w:pStyle w:val="Textonotaalfinal"/>
        <w:jc w:val="both"/>
        <w:rPr>
          <w:lang w:val="en-GB"/>
        </w:rPr>
      </w:pPr>
      <w:r>
        <w:rPr>
          <w:vertAlign w:val="superscript"/>
          <w:lang w:val="en-GB"/>
        </w:rPr>
        <w:t>97</w:t>
      </w:r>
      <w:r w:rsidR="00816067" w:rsidRPr="003A6023">
        <w:rPr>
          <w:vertAlign w:val="superscript"/>
          <w:lang w:val="en-GB"/>
        </w:rPr>
        <w:t xml:space="preserve"> </w:t>
      </w:r>
      <w:r w:rsidR="00816067" w:rsidRPr="003A6023">
        <w:rPr>
          <w:lang w:val="en-GB"/>
        </w:rPr>
        <w:t>See the midterm report (2018), p</w:t>
      </w:r>
      <w:r w:rsidR="00207906">
        <w:rPr>
          <w:lang w:val="en-GB"/>
        </w:rPr>
        <w:t>.</w:t>
      </w:r>
      <w:r w:rsidR="00816067" w:rsidRPr="003A6023">
        <w:rPr>
          <w:lang w:val="en-GB"/>
        </w:rPr>
        <w:t xml:space="preserve"> 10. </w:t>
      </w:r>
    </w:p>
    <w:p w14:paraId="65DE7EE1" w14:textId="405E6A20" w:rsidR="00816067" w:rsidRPr="003A6023" w:rsidRDefault="0010672D" w:rsidP="00816067">
      <w:pPr>
        <w:pStyle w:val="Textonotaalfinal"/>
        <w:jc w:val="both"/>
        <w:rPr>
          <w:lang w:val="en-GB" w:eastAsia="en-US"/>
        </w:rPr>
      </w:pPr>
      <w:r>
        <w:rPr>
          <w:vertAlign w:val="superscript"/>
          <w:lang w:val="en-GB"/>
        </w:rPr>
        <w:t>98</w:t>
      </w:r>
      <w:r w:rsidR="00816067" w:rsidRPr="003A6023">
        <w:rPr>
          <w:vertAlign w:val="superscript"/>
          <w:lang w:val="en-GB"/>
        </w:rPr>
        <w:t xml:space="preserve"> </w:t>
      </w:r>
      <w:r w:rsidR="00002656">
        <w:rPr>
          <w:lang w:val="en-GB"/>
        </w:rPr>
        <w:t xml:space="preserve">With the </w:t>
      </w:r>
      <w:r w:rsidR="00816067" w:rsidRPr="003A6023">
        <w:rPr>
          <w:lang w:val="en-GB" w:eastAsia="en-US"/>
        </w:rPr>
        <w:t>Federa</w:t>
      </w:r>
      <w:r w:rsidR="003D28D5">
        <w:rPr>
          <w:lang w:val="en-GB" w:eastAsia="en-US"/>
        </w:rPr>
        <w:t>tion</w:t>
      </w:r>
      <w:r w:rsidR="00816067" w:rsidRPr="003A6023">
        <w:rPr>
          <w:lang w:val="en-GB" w:eastAsia="en-US"/>
        </w:rPr>
        <w:t xml:space="preserve"> </w:t>
      </w:r>
      <w:r w:rsidR="00002656">
        <w:rPr>
          <w:lang w:val="en-GB" w:eastAsia="en-US"/>
        </w:rPr>
        <w:t>of Jewish Communities of Spain</w:t>
      </w:r>
      <w:r w:rsidR="00816067" w:rsidRPr="003A6023">
        <w:rPr>
          <w:lang w:val="en-GB" w:eastAsia="en-US"/>
        </w:rPr>
        <w:t xml:space="preserve">, </w:t>
      </w:r>
      <w:r w:rsidR="00002656">
        <w:rPr>
          <w:lang w:val="en-GB" w:eastAsia="en-US"/>
        </w:rPr>
        <w:t xml:space="preserve">with the </w:t>
      </w:r>
      <w:r w:rsidR="00816067" w:rsidRPr="003A6023">
        <w:rPr>
          <w:lang w:val="en-GB" w:eastAsia="en-US"/>
        </w:rPr>
        <w:t xml:space="preserve">Centro Sefarad-Israel or with </w:t>
      </w:r>
      <w:r w:rsidR="00816067" w:rsidRPr="003A6023">
        <w:rPr>
          <w:i/>
          <w:lang w:val="en-GB" w:eastAsia="en-US"/>
        </w:rPr>
        <w:t>Yad Vashem-The World Holocaust Remembrance Center</w:t>
      </w:r>
      <w:r w:rsidR="00816067" w:rsidRPr="003A6023">
        <w:rPr>
          <w:lang w:val="en-GB" w:eastAsia="en-US"/>
        </w:rPr>
        <w:t>. For further information see the midterm report (2018), p</w:t>
      </w:r>
      <w:r w:rsidR="00452891">
        <w:rPr>
          <w:lang w:val="en-GB" w:eastAsia="en-US"/>
        </w:rPr>
        <w:t>p</w:t>
      </w:r>
      <w:r w:rsidR="00816067" w:rsidRPr="003A6023">
        <w:rPr>
          <w:lang w:val="en-GB" w:eastAsia="en-US"/>
        </w:rPr>
        <w:t>. 41 and 42.</w:t>
      </w:r>
    </w:p>
    <w:p w14:paraId="23B66537" w14:textId="0F101FDC" w:rsidR="00816067" w:rsidRPr="003A6023" w:rsidRDefault="0010672D" w:rsidP="00816067">
      <w:pPr>
        <w:pStyle w:val="Textonotaalfinal"/>
        <w:jc w:val="both"/>
        <w:rPr>
          <w:lang w:val="en-GB"/>
        </w:rPr>
      </w:pPr>
      <w:r>
        <w:rPr>
          <w:vertAlign w:val="superscript"/>
          <w:lang w:val="en-GB"/>
        </w:rPr>
        <w:t>99</w:t>
      </w:r>
      <w:r w:rsidR="00816067" w:rsidRPr="003A6023">
        <w:rPr>
          <w:vertAlign w:val="superscript"/>
          <w:lang w:val="en-GB"/>
        </w:rPr>
        <w:t xml:space="preserve"> </w:t>
      </w:r>
      <w:r w:rsidR="00E375AC">
        <w:rPr>
          <w:lang w:val="en-GB" w:eastAsia="en-US"/>
        </w:rPr>
        <w:t>Headed</w:t>
      </w:r>
      <w:r w:rsidR="00816067" w:rsidRPr="003A6023">
        <w:rPr>
          <w:lang w:val="en-GB" w:eastAsia="en-US"/>
        </w:rPr>
        <w:t xml:space="preserve"> </w:t>
      </w:r>
      <w:r w:rsidR="00E375AC">
        <w:rPr>
          <w:lang w:val="en-GB" w:eastAsia="en-US"/>
        </w:rPr>
        <w:t xml:space="preserve">since </w:t>
      </w:r>
      <w:r w:rsidR="00816067" w:rsidRPr="003A6023">
        <w:rPr>
          <w:lang w:val="en-GB" w:eastAsia="en-US"/>
        </w:rPr>
        <w:t xml:space="preserve">January 2019 </w:t>
      </w:r>
      <w:r w:rsidR="00E375AC">
        <w:rPr>
          <w:lang w:val="en-GB" w:eastAsia="en-US"/>
        </w:rPr>
        <w:t xml:space="preserve">by </w:t>
      </w:r>
      <w:r w:rsidR="00816067" w:rsidRPr="003A6023">
        <w:rPr>
          <w:lang w:val="en-GB" w:eastAsia="en-US"/>
        </w:rPr>
        <w:t>Spanish diploma</w:t>
      </w:r>
      <w:r w:rsidR="00E375AC">
        <w:rPr>
          <w:lang w:val="en-GB" w:eastAsia="en-US"/>
        </w:rPr>
        <w:t>t</w:t>
      </w:r>
      <w:r w:rsidR="00816067" w:rsidRPr="003A6023">
        <w:rPr>
          <w:lang w:val="en-GB" w:eastAsia="en-US"/>
        </w:rPr>
        <w:t xml:space="preserve"> and </w:t>
      </w:r>
      <w:r w:rsidR="00452891">
        <w:rPr>
          <w:lang w:val="en-GB" w:eastAsia="en-US"/>
        </w:rPr>
        <w:t xml:space="preserve">former </w:t>
      </w:r>
      <w:r w:rsidR="00B11B96">
        <w:rPr>
          <w:lang w:val="en-GB" w:eastAsia="en-US"/>
        </w:rPr>
        <w:t>Foreign M</w:t>
      </w:r>
      <w:r w:rsidR="00816067" w:rsidRPr="003A6023">
        <w:rPr>
          <w:lang w:val="en-GB" w:eastAsia="en-US"/>
        </w:rPr>
        <w:t>inist</w:t>
      </w:r>
      <w:r w:rsidR="00452891">
        <w:rPr>
          <w:lang w:val="en-GB" w:eastAsia="en-US"/>
        </w:rPr>
        <w:t>e</w:t>
      </w:r>
      <w:r w:rsidR="00816067" w:rsidRPr="003A6023">
        <w:rPr>
          <w:lang w:val="en-GB" w:eastAsia="en-US"/>
        </w:rPr>
        <w:t>r</w:t>
      </w:r>
      <w:r w:rsidR="00E375AC">
        <w:rPr>
          <w:lang w:val="en-GB" w:eastAsia="en-US"/>
        </w:rPr>
        <w:t>,</w:t>
      </w:r>
      <w:r w:rsidR="00816067" w:rsidRPr="003A6023">
        <w:rPr>
          <w:lang w:val="en-GB" w:eastAsia="en-US"/>
        </w:rPr>
        <w:t xml:space="preserve"> Miguel Ángel Moratinos.</w:t>
      </w:r>
    </w:p>
    <w:p w14:paraId="2755C2E7" w14:textId="270FA5BC"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00</w:t>
      </w:r>
      <w:r w:rsidRPr="003A6023">
        <w:rPr>
          <w:vertAlign w:val="superscript"/>
          <w:lang w:val="en-GB"/>
        </w:rPr>
        <w:t xml:space="preserve"> </w:t>
      </w:r>
      <w:r w:rsidRPr="003A6023">
        <w:rPr>
          <w:lang w:val="en-GB"/>
        </w:rPr>
        <w:t xml:space="preserve">UPR recommendations 131.108 (noted), 131.109, 131.110, 131.111, 131.112, 131.113, 131.114 and 131.115.   </w:t>
      </w:r>
    </w:p>
    <w:p w14:paraId="2022DC2E" w14:textId="5E9B7D90"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01</w:t>
      </w:r>
      <w:r w:rsidRPr="003A6023">
        <w:rPr>
          <w:vertAlign w:val="superscript"/>
          <w:lang w:val="en-GB"/>
        </w:rPr>
        <w:t xml:space="preserve"> </w:t>
      </w:r>
      <w:r w:rsidRPr="003A6023">
        <w:rPr>
          <w:lang w:val="en-GB"/>
        </w:rPr>
        <w:t xml:space="preserve">For further information on </w:t>
      </w:r>
      <w:r w:rsidRPr="003A6023">
        <w:rPr>
          <w:lang w:val="en-GB" w:eastAsia="en-US"/>
        </w:rPr>
        <w:t xml:space="preserve">Organic Law 4/2015 </w:t>
      </w:r>
      <w:r w:rsidRPr="003A6023">
        <w:rPr>
          <w:lang w:val="en-GB"/>
        </w:rPr>
        <w:t>see §§46-47.</w:t>
      </w:r>
    </w:p>
    <w:p w14:paraId="74659664" w14:textId="01BC6866"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02</w:t>
      </w:r>
      <w:r w:rsidRPr="003A6023">
        <w:rPr>
          <w:vertAlign w:val="superscript"/>
          <w:lang w:val="en-GB"/>
        </w:rPr>
        <w:t xml:space="preserve"> </w:t>
      </w:r>
      <w:r w:rsidRPr="003A6023">
        <w:rPr>
          <w:lang w:val="en-GB"/>
        </w:rPr>
        <w:t xml:space="preserve">Instruction 13/2018, of 17 October, </w:t>
      </w:r>
      <w:r w:rsidR="003D28D5">
        <w:rPr>
          <w:lang w:val="en-GB"/>
        </w:rPr>
        <w:t>of the</w:t>
      </w:r>
      <w:r w:rsidRPr="003A6023">
        <w:rPr>
          <w:lang w:val="en-GB"/>
        </w:rPr>
        <w:t xml:space="preserve"> </w:t>
      </w:r>
      <w:r w:rsidR="00F027F9">
        <w:rPr>
          <w:lang w:val="en-GB"/>
        </w:rPr>
        <w:t>State Secretariat</w:t>
      </w:r>
      <w:r w:rsidRPr="003A6023">
        <w:rPr>
          <w:lang w:val="en-GB"/>
        </w:rPr>
        <w:t xml:space="preserve"> </w:t>
      </w:r>
      <w:r w:rsidR="00F027F9">
        <w:rPr>
          <w:lang w:val="en-GB"/>
        </w:rPr>
        <w:t>for Security</w:t>
      </w:r>
      <w:r w:rsidRPr="003A6023">
        <w:rPr>
          <w:lang w:val="en-GB"/>
        </w:rPr>
        <w:t xml:space="preserve">, </w:t>
      </w:r>
      <w:r w:rsidR="00183D92">
        <w:rPr>
          <w:lang w:val="en-GB"/>
        </w:rPr>
        <w:t>on the practice of body searches</w:t>
      </w:r>
      <w:r w:rsidRPr="003A6023">
        <w:rPr>
          <w:lang w:val="en-GB"/>
        </w:rPr>
        <w:t xml:space="preserve">, the interpretation of </w:t>
      </w:r>
      <w:r w:rsidR="00BA2864">
        <w:rPr>
          <w:lang w:val="en-GB"/>
        </w:rPr>
        <w:t xml:space="preserve">certain </w:t>
      </w:r>
      <w:r w:rsidRPr="003A6023">
        <w:rPr>
          <w:lang w:val="en-GB"/>
        </w:rPr>
        <w:t>infrac</w:t>
      </w:r>
      <w:r w:rsidR="003D28D5">
        <w:rPr>
          <w:lang w:val="en-GB"/>
        </w:rPr>
        <w:t>t</w:t>
      </w:r>
      <w:r w:rsidRPr="003A6023">
        <w:rPr>
          <w:lang w:val="en-GB"/>
        </w:rPr>
        <w:t xml:space="preserve">ions </w:t>
      </w:r>
      <w:r w:rsidR="00F027F9">
        <w:rPr>
          <w:lang w:val="en-GB"/>
        </w:rPr>
        <w:t>and</w:t>
      </w:r>
      <w:r w:rsidRPr="003A6023">
        <w:rPr>
          <w:lang w:val="en-GB"/>
        </w:rPr>
        <w:t xml:space="preserve"> </w:t>
      </w:r>
      <w:r w:rsidR="003D28D5">
        <w:rPr>
          <w:lang w:val="en-GB"/>
        </w:rPr>
        <w:t>procedural q</w:t>
      </w:r>
      <w:r w:rsidRPr="003A6023">
        <w:rPr>
          <w:lang w:val="en-GB"/>
        </w:rPr>
        <w:t>uestions rela</w:t>
      </w:r>
      <w:r w:rsidR="003D28D5">
        <w:rPr>
          <w:lang w:val="en-GB"/>
        </w:rPr>
        <w:t>tin</w:t>
      </w:r>
      <w:r w:rsidR="00183D92">
        <w:rPr>
          <w:lang w:val="en-GB"/>
        </w:rPr>
        <w:t>g</w:t>
      </w:r>
      <w:r w:rsidRPr="003A6023">
        <w:rPr>
          <w:lang w:val="en-GB"/>
        </w:rPr>
        <w:t xml:space="preserve"> </w:t>
      </w:r>
      <w:r w:rsidR="003D28D5">
        <w:rPr>
          <w:lang w:val="en-GB"/>
        </w:rPr>
        <w:t xml:space="preserve">to </w:t>
      </w:r>
      <w:r w:rsidRPr="003A6023">
        <w:rPr>
          <w:lang w:val="en-GB"/>
        </w:rPr>
        <w:t xml:space="preserve">Organic </w:t>
      </w:r>
      <w:r w:rsidR="003D28D5">
        <w:rPr>
          <w:lang w:val="en-GB"/>
        </w:rPr>
        <w:t xml:space="preserve">Law </w:t>
      </w:r>
      <w:r w:rsidRPr="003A6023">
        <w:rPr>
          <w:lang w:val="en-GB"/>
        </w:rPr>
        <w:t>4/2015, of 30 March, on protec</w:t>
      </w:r>
      <w:r w:rsidR="003D28D5">
        <w:rPr>
          <w:lang w:val="en-GB"/>
        </w:rPr>
        <w:t>tin</w:t>
      </w:r>
      <w:r w:rsidR="00183D92">
        <w:rPr>
          <w:lang w:val="en-GB"/>
        </w:rPr>
        <w:t>g</w:t>
      </w:r>
      <w:r w:rsidRPr="003A6023">
        <w:rPr>
          <w:lang w:val="en-GB"/>
        </w:rPr>
        <w:t xml:space="preserve"> </w:t>
      </w:r>
      <w:r w:rsidR="005146D9">
        <w:rPr>
          <w:lang w:val="en-GB"/>
        </w:rPr>
        <w:t>public</w:t>
      </w:r>
      <w:r w:rsidR="00183D92">
        <w:rPr>
          <w:lang w:val="en-GB"/>
        </w:rPr>
        <w:t xml:space="preserve"> safety</w:t>
      </w:r>
      <w:r w:rsidRPr="003A6023">
        <w:rPr>
          <w:lang w:val="en-GB"/>
        </w:rPr>
        <w:t>.</w:t>
      </w:r>
    </w:p>
    <w:p w14:paraId="784777AE" w14:textId="363C0CC9"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03</w:t>
      </w:r>
      <w:r w:rsidRPr="003A6023">
        <w:rPr>
          <w:vertAlign w:val="superscript"/>
          <w:lang w:val="en-GB"/>
        </w:rPr>
        <w:t xml:space="preserve"> </w:t>
      </w:r>
      <w:r w:rsidRPr="003A6023">
        <w:rPr>
          <w:lang w:val="en-GB" w:eastAsia="en-US"/>
        </w:rPr>
        <w:t>17 Centres in Latin America and 2 in Equatorial Guinea.</w:t>
      </w:r>
    </w:p>
    <w:p w14:paraId="68C74A11" w14:textId="35459401"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04</w:t>
      </w:r>
      <w:r w:rsidRPr="003A6023">
        <w:rPr>
          <w:vertAlign w:val="superscript"/>
          <w:lang w:val="en-GB"/>
        </w:rPr>
        <w:t xml:space="preserve"> </w:t>
      </w:r>
      <w:r w:rsidRPr="003A6023">
        <w:rPr>
          <w:lang w:val="en-GB"/>
        </w:rPr>
        <w:t xml:space="preserve">UPR recommendations 131.94, 131.95 (noted) and 131.96. </w:t>
      </w:r>
    </w:p>
    <w:p w14:paraId="407151C1" w14:textId="466DE7D5"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05</w:t>
      </w:r>
      <w:r w:rsidRPr="003A6023">
        <w:rPr>
          <w:vertAlign w:val="superscript"/>
          <w:lang w:val="en-GB"/>
        </w:rPr>
        <w:t xml:space="preserve"> </w:t>
      </w:r>
      <w:r w:rsidRPr="003A6023">
        <w:rPr>
          <w:lang w:val="en-GB"/>
        </w:rPr>
        <w:t xml:space="preserve">Organic Law 13/2015, of 5 October, amending the Criminal Procedure Act to strengthen </w:t>
      </w:r>
      <w:r w:rsidR="00BA2864">
        <w:rPr>
          <w:lang w:val="en-GB"/>
        </w:rPr>
        <w:t xml:space="preserve">the procedural safeguards </w:t>
      </w:r>
      <w:r w:rsidRPr="003A6023">
        <w:rPr>
          <w:lang w:val="en-GB"/>
        </w:rPr>
        <w:t>and the regulation of technological research measures.</w:t>
      </w:r>
    </w:p>
    <w:p w14:paraId="565A4250" w14:textId="6767759D"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06</w:t>
      </w:r>
      <w:r w:rsidRPr="003A6023">
        <w:rPr>
          <w:vertAlign w:val="superscript"/>
          <w:lang w:val="en-GB"/>
        </w:rPr>
        <w:t xml:space="preserve"> </w:t>
      </w:r>
      <w:r w:rsidRPr="003A6023">
        <w:rPr>
          <w:lang w:val="en-GB"/>
        </w:rPr>
        <w:t xml:space="preserve">Act 41/2015, of 5 October, amending the Criminal Procedure Act to </w:t>
      </w:r>
      <w:r w:rsidR="00CA5DFF">
        <w:rPr>
          <w:lang w:val="en-GB"/>
        </w:rPr>
        <w:t xml:space="preserve">streamline the criminal justice system </w:t>
      </w:r>
      <w:r w:rsidR="00F027F9">
        <w:rPr>
          <w:lang w:val="en-GB"/>
        </w:rPr>
        <w:t>and</w:t>
      </w:r>
      <w:r w:rsidR="00CA5DFF">
        <w:rPr>
          <w:lang w:val="en-GB"/>
        </w:rPr>
        <w:t xml:space="preserve"> </w:t>
      </w:r>
      <w:r w:rsidR="00452891">
        <w:rPr>
          <w:lang w:val="en-GB"/>
        </w:rPr>
        <w:t xml:space="preserve">strengthen </w:t>
      </w:r>
      <w:r w:rsidR="00BA2864">
        <w:rPr>
          <w:lang w:val="en-GB"/>
        </w:rPr>
        <w:t>procedural safeguards</w:t>
      </w:r>
      <w:r w:rsidRPr="003A6023">
        <w:rPr>
          <w:lang w:val="en-GB"/>
        </w:rPr>
        <w:t>.</w:t>
      </w:r>
    </w:p>
    <w:p w14:paraId="5FAED1CD" w14:textId="3A833D13"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07</w:t>
      </w:r>
      <w:r w:rsidRPr="003A6023">
        <w:rPr>
          <w:vertAlign w:val="superscript"/>
          <w:lang w:val="en-GB"/>
        </w:rPr>
        <w:t xml:space="preserve"> </w:t>
      </w:r>
      <w:r w:rsidRPr="003A6023">
        <w:rPr>
          <w:lang w:val="en-GB"/>
        </w:rPr>
        <w:t>Act 42/2015, of 5 October, reforming Act 1/2000, of 7 January, on Civil Procedure.</w:t>
      </w:r>
    </w:p>
    <w:p w14:paraId="50B37E0A" w14:textId="1996D9A4"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08</w:t>
      </w:r>
      <w:r w:rsidRPr="003A6023">
        <w:rPr>
          <w:vertAlign w:val="superscript"/>
          <w:lang w:val="en-GB"/>
        </w:rPr>
        <w:t xml:space="preserve"> </w:t>
      </w:r>
      <w:r w:rsidRPr="003A6023">
        <w:rPr>
          <w:bCs/>
          <w:lang w:val="en-GB"/>
        </w:rPr>
        <w:t>Act 3/2018, of 11 June, amending Act 23/2014, of 20 November, on mutual recognition of criminal judgments in the European Union.</w:t>
      </w:r>
    </w:p>
    <w:p w14:paraId="10F713F0" w14:textId="5FC8943A"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09</w:t>
      </w:r>
      <w:r w:rsidRPr="003A6023">
        <w:rPr>
          <w:vertAlign w:val="superscript"/>
          <w:lang w:val="en-GB"/>
        </w:rPr>
        <w:t xml:space="preserve"> </w:t>
      </w:r>
      <w:r w:rsidRPr="003A6023">
        <w:rPr>
          <w:lang w:val="en-GB"/>
        </w:rPr>
        <w:t>See the midterm report (2018), p. 34.</w:t>
      </w:r>
    </w:p>
    <w:p w14:paraId="71C48A8B" w14:textId="7977767F"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10</w:t>
      </w:r>
      <w:r w:rsidRPr="003A6023">
        <w:rPr>
          <w:vertAlign w:val="superscript"/>
          <w:lang w:val="en-GB"/>
        </w:rPr>
        <w:t xml:space="preserve"> </w:t>
      </w:r>
      <w:r w:rsidRPr="003A6023">
        <w:rPr>
          <w:lang w:val="en-GB"/>
        </w:rPr>
        <w:t xml:space="preserve">Royal Decree 1109/2015, of 11 December, implementing Act 4/2015, of 27 April, on the </w:t>
      </w:r>
      <w:r w:rsidR="00F01EDD">
        <w:rPr>
          <w:lang w:val="en-GB"/>
        </w:rPr>
        <w:t>status</w:t>
      </w:r>
      <w:r w:rsidRPr="003A6023">
        <w:rPr>
          <w:lang w:val="en-GB"/>
        </w:rPr>
        <w:t xml:space="preserve"> </w:t>
      </w:r>
      <w:r w:rsidR="00F01EDD">
        <w:rPr>
          <w:lang w:val="en-GB"/>
        </w:rPr>
        <w:t>of</w:t>
      </w:r>
      <w:r w:rsidRPr="003A6023">
        <w:rPr>
          <w:lang w:val="en-GB"/>
        </w:rPr>
        <w:t xml:space="preserve"> v</w:t>
      </w:r>
      <w:r w:rsidR="00BA2864">
        <w:rPr>
          <w:lang w:val="en-GB"/>
        </w:rPr>
        <w:t>i</w:t>
      </w:r>
      <w:r w:rsidRPr="003A6023">
        <w:rPr>
          <w:lang w:val="en-GB"/>
        </w:rPr>
        <w:t>ctim</w:t>
      </w:r>
      <w:r w:rsidR="00BA2864">
        <w:rPr>
          <w:lang w:val="en-GB"/>
        </w:rPr>
        <w:t>s of crime</w:t>
      </w:r>
      <w:r w:rsidRPr="003A6023">
        <w:rPr>
          <w:lang w:val="en-GB"/>
        </w:rPr>
        <w:t xml:space="preserve">, </w:t>
      </w:r>
      <w:r w:rsidR="00F027F9">
        <w:rPr>
          <w:lang w:val="en-GB"/>
        </w:rPr>
        <w:t>and</w:t>
      </w:r>
      <w:r w:rsidRPr="003A6023">
        <w:rPr>
          <w:lang w:val="en-GB"/>
        </w:rPr>
        <w:t xml:space="preserve"> </w:t>
      </w:r>
      <w:r w:rsidR="00183D92">
        <w:rPr>
          <w:lang w:val="en-GB"/>
        </w:rPr>
        <w:t xml:space="preserve">regulating </w:t>
      </w:r>
      <w:r w:rsidRPr="003A6023">
        <w:rPr>
          <w:lang w:val="en-GB"/>
        </w:rPr>
        <w:t>O</w:t>
      </w:r>
      <w:r w:rsidR="00183D92">
        <w:rPr>
          <w:lang w:val="en-GB"/>
        </w:rPr>
        <w:t>f</w:t>
      </w:r>
      <w:r w:rsidRPr="003A6023">
        <w:rPr>
          <w:lang w:val="en-GB"/>
        </w:rPr>
        <w:t>fic</w:t>
      </w:r>
      <w:r w:rsidR="00183D92">
        <w:rPr>
          <w:lang w:val="en-GB"/>
        </w:rPr>
        <w:t xml:space="preserve">es for </w:t>
      </w:r>
      <w:r w:rsidRPr="003A6023">
        <w:rPr>
          <w:lang w:val="en-GB"/>
        </w:rPr>
        <w:t>A</w:t>
      </w:r>
      <w:r w:rsidR="00452891">
        <w:rPr>
          <w:lang w:val="en-GB"/>
        </w:rPr>
        <w:t>s</w:t>
      </w:r>
      <w:r w:rsidRPr="003A6023">
        <w:rPr>
          <w:lang w:val="en-GB"/>
        </w:rPr>
        <w:t>sist</w:t>
      </w:r>
      <w:r w:rsidR="00452891">
        <w:rPr>
          <w:lang w:val="en-GB"/>
        </w:rPr>
        <w:t>a</w:t>
      </w:r>
      <w:r w:rsidRPr="003A6023">
        <w:rPr>
          <w:lang w:val="en-GB"/>
        </w:rPr>
        <w:t>nc</w:t>
      </w:r>
      <w:r w:rsidR="00452891">
        <w:rPr>
          <w:lang w:val="en-GB"/>
        </w:rPr>
        <w:t>e</w:t>
      </w:r>
      <w:r w:rsidRPr="003A6023">
        <w:rPr>
          <w:lang w:val="en-GB"/>
        </w:rPr>
        <w:t xml:space="preserve"> </w:t>
      </w:r>
      <w:r w:rsidR="00452891">
        <w:rPr>
          <w:lang w:val="en-GB"/>
        </w:rPr>
        <w:t xml:space="preserve">to the </w:t>
      </w:r>
      <w:r w:rsidRPr="003A6023">
        <w:rPr>
          <w:lang w:val="en-GB"/>
        </w:rPr>
        <w:t>V</w:t>
      </w:r>
      <w:r w:rsidR="003D28D5">
        <w:rPr>
          <w:lang w:val="en-GB"/>
        </w:rPr>
        <w:t>i</w:t>
      </w:r>
      <w:r w:rsidRPr="003A6023">
        <w:rPr>
          <w:lang w:val="en-GB"/>
        </w:rPr>
        <w:t xml:space="preserve">ctims </w:t>
      </w:r>
      <w:r w:rsidR="003D28D5">
        <w:rPr>
          <w:lang w:val="en-GB"/>
        </w:rPr>
        <w:t>of Crime</w:t>
      </w:r>
      <w:r w:rsidRPr="003A6023">
        <w:rPr>
          <w:lang w:val="en-GB"/>
        </w:rPr>
        <w:t>.</w:t>
      </w:r>
    </w:p>
    <w:p w14:paraId="1C03E4B8" w14:textId="0843FDFD"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11</w:t>
      </w:r>
      <w:r w:rsidRPr="003A6023">
        <w:rPr>
          <w:vertAlign w:val="superscript"/>
          <w:lang w:val="en-GB"/>
        </w:rPr>
        <w:t xml:space="preserve"> </w:t>
      </w:r>
      <w:r w:rsidRPr="003A6023">
        <w:rPr>
          <w:lang w:val="en-GB"/>
        </w:rPr>
        <w:t>UPR recommendations 131.52, 131.53, 131.54, 131.55, 131.56, 131.57, 131.58, 131.59 (partially noted), 131.59 (partially accepted), 131.60, 131.61 (partially noted), 131.61 (partially accepted), 131.62, 131.63, 131.64 (noted) and 131.165.</w:t>
      </w:r>
    </w:p>
    <w:p w14:paraId="5C6A21D0" w14:textId="733C2705"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12</w:t>
      </w:r>
      <w:r w:rsidRPr="003A6023">
        <w:rPr>
          <w:vertAlign w:val="superscript"/>
          <w:lang w:val="en-GB"/>
        </w:rPr>
        <w:t xml:space="preserve"> </w:t>
      </w:r>
      <w:r w:rsidRPr="003A6023">
        <w:rPr>
          <w:lang w:val="en-GB"/>
        </w:rPr>
        <w:t xml:space="preserve">Directive 2013/48/EU, of 22 October, on the right of access to a lawyer in criminal proceedings. </w:t>
      </w:r>
    </w:p>
    <w:p w14:paraId="6EA00087" w14:textId="4FE51FCD"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13</w:t>
      </w:r>
      <w:r w:rsidRPr="003A6023">
        <w:rPr>
          <w:vertAlign w:val="superscript"/>
          <w:lang w:val="en-GB"/>
        </w:rPr>
        <w:t xml:space="preserve"> </w:t>
      </w:r>
      <w:r w:rsidR="00BA2864">
        <w:rPr>
          <w:lang w:val="en-GB" w:eastAsia="en-US"/>
        </w:rPr>
        <w:t xml:space="preserve">This enables </w:t>
      </w:r>
      <w:r w:rsidRPr="003A6023">
        <w:rPr>
          <w:lang w:val="en-GB" w:eastAsia="en-US"/>
        </w:rPr>
        <w:t>m</w:t>
      </w:r>
      <w:r w:rsidR="00BA2864">
        <w:rPr>
          <w:lang w:val="en-GB" w:eastAsia="en-US"/>
        </w:rPr>
        <w:t xml:space="preserve">ore specific </w:t>
      </w:r>
      <w:r w:rsidR="00E212B7">
        <w:rPr>
          <w:lang w:val="en-GB" w:eastAsia="en-US"/>
        </w:rPr>
        <w:t xml:space="preserve">adaptation </w:t>
      </w:r>
      <w:r w:rsidR="00BA2864">
        <w:rPr>
          <w:lang w:val="en-GB" w:eastAsia="en-US"/>
        </w:rPr>
        <w:t xml:space="preserve">to the </w:t>
      </w:r>
      <w:r w:rsidRPr="003A6023">
        <w:rPr>
          <w:lang w:val="en-GB" w:eastAsia="en-US"/>
        </w:rPr>
        <w:t xml:space="preserve">circumstances </w:t>
      </w:r>
      <w:r w:rsidR="00BA2864">
        <w:rPr>
          <w:lang w:val="en-GB" w:eastAsia="en-US"/>
        </w:rPr>
        <w:t xml:space="preserve">of the </w:t>
      </w:r>
      <w:r w:rsidRPr="003A6023">
        <w:rPr>
          <w:lang w:val="en-GB" w:eastAsia="en-US"/>
        </w:rPr>
        <w:t>cas</w:t>
      </w:r>
      <w:r w:rsidR="00BA2864">
        <w:rPr>
          <w:lang w:val="en-GB" w:eastAsia="en-US"/>
        </w:rPr>
        <w:t>e</w:t>
      </w:r>
      <w:r w:rsidRPr="003A6023">
        <w:rPr>
          <w:lang w:val="en-GB" w:eastAsia="en-US"/>
        </w:rPr>
        <w:t xml:space="preserve">, </w:t>
      </w:r>
      <w:r w:rsidR="00E212B7">
        <w:rPr>
          <w:lang w:val="en-GB" w:eastAsia="en-US"/>
        </w:rPr>
        <w:t xml:space="preserve">which must be recorded in a decision stating the legal grounds on which it is based </w:t>
      </w:r>
      <w:r w:rsidR="00F027F9">
        <w:rPr>
          <w:lang w:val="en-GB" w:eastAsia="en-US"/>
        </w:rPr>
        <w:t>and</w:t>
      </w:r>
      <w:r w:rsidRPr="003A6023">
        <w:rPr>
          <w:lang w:val="en-GB" w:eastAsia="en-US"/>
        </w:rPr>
        <w:t xml:space="preserve"> </w:t>
      </w:r>
      <w:r w:rsidR="00E212B7">
        <w:rPr>
          <w:lang w:val="en-GB" w:eastAsia="en-US"/>
        </w:rPr>
        <w:t xml:space="preserve">only in the event of an </w:t>
      </w:r>
      <w:r w:rsidRPr="003A6023">
        <w:rPr>
          <w:lang w:val="en-GB" w:eastAsia="en-US"/>
        </w:rPr>
        <w:t>urgent</w:t>
      </w:r>
      <w:r w:rsidR="003D28D5">
        <w:rPr>
          <w:lang w:val="en-GB" w:eastAsia="en-US"/>
        </w:rPr>
        <w:t xml:space="preserve"> need</w:t>
      </w:r>
      <w:r w:rsidRPr="003A6023">
        <w:rPr>
          <w:lang w:val="en-GB" w:eastAsia="en-US"/>
        </w:rPr>
        <w:t xml:space="preserve"> </w:t>
      </w:r>
      <w:r w:rsidR="00E212B7">
        <w:rPr>
          <w:lang w:val="en-GB" w:eastAsia="en-US"/>
        </w:rPr>
        <w:t xml:space="preserve">to avoid </w:t>
      </w:r>
      <w:r w:rsidRPr="003A6023">
        <w:rPr>
          <w:lang w:val="en-GB" w:eastAsia="en-US"/>
        </w:rPr>
        <w:t>serious adverse consequences for the life, liberty or physical integrity of a person o</w:t>
      </w:r>
      <w:r w:rsidR="00AE0D44">
        <w:rPr>
          <w:lang w:val="en-GB" w:eastAsia="en-US"/>
        </w:rPr>
        <w:t>r</w:t>
      </w:r>
      <w:r w:rsidRPr="003A6023">
        <w:rPr>
          <w:lang w:val="en-GB" w:eastAsia="en-US"/>
        </w:rPr>
        <w:t xml:space="preserve"> </w:t>
      </w:r>
      <w:r w:rsidR="00AE0D44">
        <w:rPr>
          <w:lang w:val="en-GB" w:eastAsia="en-US"/>
        </w:rPr>
        <w:t xml:space="preserve">an </w:t>
      </w:r>
      <w:r w:rsidRPr="003A6023">
        <w:rPr>
          <w:lang w:val="en-GB" w:eastAsia="en-US"/>
        </w:rPr>
        <w:t>urgent</w:t>
      </w:r>
      <w:r w:rsidR="003D28D5">
        <w:rPr>
          <w:lang w:val="en-GB" w:eastAsia="en-US"/>
        </w:rPr>
        <w:t xml:space="preserve"> need</w:t>
      </w:r>
      <w:r w:rsidRPr="003A6023">
        <w:rPr>
          <w:lang w:val="en-GB" w:eastAsia="en-US"/>
        </w:rPr>
        <w:t xml:space="preserve"> </w:t>
      </w:r>
      <w:r w:rsidR="00AE0D44">
        <w:rPr>
          <w:lang w:val="en-GB" w:eastAsia="en-US"/>
        </w:rPr>
        <w:t xml:space="preserve">for immediate action </w:t>
      </w:r>
      <w:r w:rsidR="00E375AC">
        <w:rPr>
          <w:lang w:val="en-GB" w:eastAsia="en-US"/>
        </w:rPr>
        <w:t xml:space="preserve">of the </w:t>
      </w:r>
      <w:r w:rsidR="00AE0D44">
        <w:rPr>
          <w:lang w:val="en-GB" w:eastAsia="en-US"/>
        </w:rPr>
        <w:t xml:space="preserve">prosecuting </w:t>
      </w:r>
      <w:r w:rsidRPr="003A6023">
        <w:rPr>
          <w:lang w:val="en-GB" w:eastAsia="en-US"/>
        </w:rPr>
        <w:t xml:space="preserve">authorities </w:t>
      </w:r>
      <w:r w:rsidR="00452891">
        <w:rPr>
          <w:lang w:val="en-GB" w:eastAsia="en-US"/>
        </w:rPr>
        <w:t xml:space="preserve">to avoid </w:t>
      </w:r>
      <w:r w:rsidR="00E375AC">
        <w:rPr>
          <w:lang w:val="en-GB" w:eastAsia="en-US"/>
        </w:rPr>
        <w:t xml:space="preserve">seriously jeopardizing the criminal </w:t>
      </w:r>
      <w:r w:rsidR="00F01EDD">
        <w:rPr>
          <w:lang w:val="en-GB" w:eastAsia="en-US"/>
        </w:rPr>
        <w:t>proceedings</w:t>
      </w:r>
      <w:r w:rsidRPr="003A6023">
        <w:rPr>
          <w:lang w:val="en-GB" w:eastAsia="en-US"/>
        </w:rPr>
        <w:t xml:space="preserve">. </w:t>
      </w:r>
      <w:r w:rsidR="00F027F9">
        <w:rPr>
          <w:lang w:val="en-GB" w:eastAsia="en-US"/>
        </w:rPr>
        <w:t xml:space="preserve">For further information see the midterm report </w:t>
      </w:r>
      <w:r w:rsidRPr="003A6023">
        <w:rPr>
          <w:lang w:val="en-GB"/>
        </w:rPr>
        <w:t>(2018), p</w:t>
      </w:r>
      <w:r w:rsidR="00452891">
        <w:rPr>
          <w:lang w:val="en-GB"/>
        </w:rPr>
        <w:t>p</w:t>
      </w:r>
      <w:r w:rsidRPr="003A6023">
        <w:rPr>
          <w:lang w:val="en-GB"/>
        </w:rPr>
        <w:t xml:space="preserve">.23 </w:t>
      </w:r>
      <w:r w:rsidR="00F027F9">
        <w:rPr>
          <w:lang w:val="en-GB"/>
        </w:rPr>
        <w:t>and</w:t>
      </w:r>
      <w:r w:rsidRPr="003A6023">
        <w:rPr>
          <w:lang w:val="en-GB"/>
        </w:rPr>
        <w:t xml:space="preserve"> 24.</w:t>
      </w:r>
    </w:p>
    <w:p w14:paraId="0B411E54" w14:textId="1B034561"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14</w:t>
      </w:r>
      <w:r w:rsidRPr="003A6023">
        <w:rPr>
          <w:vertAlign w:val="superscript"/>
          <w:lang w:val="en-GB"/>
        </w:rPr>
        <w:t xml:space="preserve"> </w:t>
      </w:r>
      <w:r w:rsidRPr="003A6023">
        <w:rPr>
          <w:lang w:val="en-GB"/>
        </w:rPr>
        <w:t>Instruc</w:t>
      </w:r>
      <w:r w:rsidR="003D28D5">
        <w:rPr>
          <w:lang w:val="en-GB"/>
        </w:rPr>
        <w:t>tion</w:t>
      </w:r>
      <w:r w:rsidRPr="003A6023">
        <w:rPr>
          <w:lang w:val="en-GB"/>
        </w:rPr>
        <w:t xml:space="preserve"> 4/2018, </w:t>
      </w:r>
      <w:r w:rsidR="00E375AC">
        <w:rPr>
          <w:lang w:val="en-GB"/>
        </w:rPr>
        <w:t xml:space="preserve">of the </w:t>
      </w:r>
      <w:r w:rsidR="00F027F9">
        <w:rPr>
          <w:lang w:val="en-GB"/>
        </w:rPr>
        <w:t>State Secretariat</w:t>
      </w:r>
      <w:r w:rsidRPr="003A6023">
        <w:rPr>
          <w:lang w:val="en-GB"/>
        </w:rPr>
        <w:t xml:space="preserve"> </w:t>
      </w:r>
      <w:r w:rsidR="00F027F9">
        <w:rPr>
          <w:lang w:val="en-GB"/>
        </w:rPr>
        <w:t>for Security</w:t>
      </w:r>
      <w:r w:rsidRPr="003A6023">
        <w:rPr>
          <w:lang w:val="en-GB"/>
        </w:rPr>
        <w:t xml:space="preserve"> </w:t>
      </w:r>
      <w:r w:rsidR="00CF7801">
        <w:rPr>
          <w:lang w:val="en-GB"/>
        </w:rPr>
        <w:t xml:space="preserve">approving the updating </w:t>
      </w:r>
      <w:r w:rsidR="00E375AC">
        <w:rPr>
          <w:lang w:val="en-GB"/>
        </w:rPr>
        <w:t xml:space="preserve">of the </w:t>
      </w:r>
      <w:r w:rsidR="00452891">
        <w:rPr>
          <w:lang w:val="en-GB"/>
        </w:rPr>
        <w:t xml:space="preserve">action </w:t>
      </w:r>
      <w:r w:rsidRPr="003A6023">
        <w:rPr>
          <w:lang w:val="en-GB"/>
        </w:rPr>
        <w:t xml:space="preserve">protocol </w:t>
      </w:r>
      <w:r w:rsidR="00F01EDD">
        <w:rPr>
          <w:lang w:val="en-GB"/>
        </w:rPr>
        <w:t>regarding</w:t>
      </w:r>
      <w:r w:rsidR="00452891">
        <w:rPr>
          <w:lang w:val="en-GB"/>
        </w:rPr>
        <w:t xml:space="preserve"> </w:t>
      </w:r>
      <w:r w:rsidR="00F01EDD">
        <w:rPr>
          <w:lang w:val="en-GB"/>
        </w:rPr>
        <w:t>spaces in which detainees are held in</w:t>
      </w:r>
      <w:r w:rsidR="00E212B7">
        <w:rPr>
          <w:lang w:val="en-GB"/>
        </w:rPr>
        <w:t xml:space="preserve"> </w:t>
      </w:r>
      <w:r w:rsidR="00CF7801">
        <w:rPr>
          <w:lang w:val="en-GB"/>
        </w:rPr>
        <w:t xml:space="preserve">custody </w:t>
      </w:r>
      <w:r w:rsidR="00F01EDD">
        <w:rPr>
          <w:lang w:val="en-GB"/>
        </w:rPr>
        <w:t>by</w:t>
      </w:r>
      <w:r w:rsidR="00E375AC">
        <w:rPr>
          <w:lang w:val="en-GB"/>
        </w:rPr>
        <w:t xml:space="preserve"> law enforcement</w:t>
      </w:r>
      <w:r w:rsidR="00F01EDD">
        <w:rPr>
          <w:lang w:val="en-GB"/>
        </w:rPr>
        <w:t>,</w:t>
      </w:r>
      <w:r w:rsidR="00E375AC">
        <w:rPr>
          <w:lang w:val="en-GB"/>
        </w:rPr>
        <w:t xml:space="preserve"> </w:t>
      </w:r>
      <w:r w:rsidR="00F027F9">
        <w:rPr>
          <w:lang w:val="en-GB"/>
        </w:rPr>
        <w:t>and</w:t>
      </w:r>
      <w:r w:rsidRPr="003A6023">
        <w:rPr>
          <w:lang w:val="en-GB"/>
        </w:rPr>
        <w:t xml:space="preserve"> </w:t>
      </w:r>
      <w:r w:rsidR="00E212B7">
        <w:rPr>
          <w:lang w:val="en-GB"/>
        </w:rPr>
        <w:t xml:space="preserve">revoking </w:t>
      </w:r>
      <w:r w:rsidR="00F027F9" w:rsidRPr="003A6023">
        <w:rPr>
          <w:lang w:val="en-GB"/>
        </w:rPr>
        <w:t>Instruction</w:t>
      </w:r>
      <w:r w:rsidRPr="003A6023">
        <w:rPr>
          <w:lang w:val="en-GB"/>
        </w:rPr>
        <w:t xml:space="preserve"> 12/2015.</w:t>
      </w:r>
    </w:p>
    <w:p w14:paraId="5C35238D" w14:textId="511C975B"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15</w:t>
      </w:r>
      <w:r w:rsidRPr="003A6023">
        <w:rPr>
          <w:vertAlign w:val="superscript"/>
          <w:lang w:val="en-GB"/>
        </w:rPr>
        <w:t xml:space="preserve"> </w:t>
      </w:r>
      <w:r w:rsidRPr="003A6023">
        <w:rPr>
          <w:lang w:val="en-GB"/>
        </w:rPr>
        <w:t>Instruc</w:t>
      </w:r>
      <w:r w:rsidR="003D28D5">
        <w:rPr>
          <w:lang w:val="en-GB"/>
        </w:rPr>
        <w:t>tion</w:t>
      </w:r>
      <w:r w:rsidRPr="003A6023">
        <w:rPr>
          <w:lang w:val="en-GB"/>
        </w:rPr>
        <w:t xml:space="preserve"> 1/2017, </w:t>
      </w:r>
      <w:r w:rsidR="00E375AC">
        <w:rPr>
          <w:lang w:val="en-GB"/>
        </w:rPr>
        <w:t xml:space="preserve">of the </w:t>
      </w:r>
      <w:r w:rsidR="00F027F9">
        <w:rPr>
          <w:lang w:val="en-GB"/>
        </w:rPr>
        <w:t>State Secretariat</w:t>
      </w:r>
      <w:r w:rsidRPr="003A6023">
        <w:rPr>
          <w:lang w:val="en-GB"/>
        </w:rPr>
        <w:t xml:space="preserve"> </w:t>
      </w:r>
      <w:r w:rsidR="00F027F9">
        <w:rPr>
          <w:lang w:val="en-GB"/>
        </w:rPr>
        <w:t>for Security</w:t>
      </w:r>
      <w:r w:rsidRPr="003A6023">
        <w:rPr>
          <w:lang w:val="en-GB"/>
        </w:rPr>
        <w:t xml:space="preserve">, </w:t>
      </w:r>
      <w:r w:rsidR="00452891">
        <w:rPr>
          <w:lang w:val="en-GB"/>
        </w:rPr>
        <w:t xml:space="preserve">updating the </w:t>
      </w:r>
      <w:r w:rsidRPr="003A6023">
        <w:rPr>
          <w:lang w:val="en-GB"/>
        </w:rPr>
        <w:t>“</w:t>
      </w:r>
      <w:r w:rsidR="00E375AC">
        <w:rPr>
          <w:lang w:val="en-GB"/>
        </w:rPr>
        <w:t xml:space="preserve">Police </w:t>
      </w:r>
      <w:r w:rsidR="00F027F9">
        <w:rPr>
          <w:lang w:val="en-GB"/>
        </w:rPr>
        <w:t xml:space="preserve">Action </w:t>
      </w:r>
      <w:r w:rsidRPr="003A6023">
        <w:rPr>
          <w:lang w:val="en-GB"/>
        </w:rPr>
        <w:t xml:space="preserve">Protocol </w:t>
      </w:r>
      <w:r w:rsidR="00E375AC">
        <w:rPr>
          <w:lang w:val="en-GB"/>
        </w:rPr>
        <w:t xml:space="preserve">regarding </w:t>
      </w:r>
      <w:r w:rsidR="00BA2864">
        <w:rPr>
          <w:lang w:val="en-GB"/>
        </w:rPr>
        <w:t>Minors</w:t>
      </w:r>
      <w:r w:rsidRPr="003A6023">
        <w:rPr>
          <w:lang w:val="en-GB"/>
        </w:rPr>
        <w:t>”.</w:t>
      </w:r>
    </w:p>
    <w:p w14:paraId="7DA1CA69" w14:textId="58432BC8"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16</w:t>
      </w:r>
      <w:r w:rsidRPr="003A6023">
        <w:rPr>
          <w:vertAlign w:val="superscript"/>
          <w:lang w:val="en-GB"/>
        </w:rPr>
        <w:t xml:space="preserve"> </w:t>
      </w:r>
      <w:r w:rsidRPr="003A6023">
        <w:rPr>
          <w:lang w:val="en-GB"/>
        </w:rPr>
        <w:t>Instruc</w:t>
      </w:r>
      <w:r w:rsidR="003D28D5">
        <w:rPr>
          <w:lang w:val="en-GB"/>
        </w:rPr>
        <w:t>tion</w:t>
      </w:r>
      <w:r w:rsidRPr="003A6023">
        <w:rPr>
          <w:lang w:val="en-GB"/>
        </w:rPr>
        <w:t xml:space="preserve"> 1/2017, </w:t>
      </w:r>
      <w:r w:rsidR="00E375AC">
        <w:rPr>
          <w:lang w:val="en-GB"/>
        </w:rPr>
        <w:t xml:space="preserve">of the </w:t>
      </w:r>
      <w:r w:rsidR="00F027F9">
        <w:rPr>
          <w:lang w:val="en-GB"/>
        </w:rPr>
        <w:t>State Secretariat</w:t>
      </w:r>
      <w:r w:rsidRPr="003A6023">
        <w:rPr>
          <w:lang w:val="en-GB"/>
        </w:rPr>
        <w:t xml:space="preserve"> </w:t>
      </w:r>
      <w:r w:rsidR="00F027F9">
        <w:rPr>
          <w:lang w:val="en-GB"/>
        </w:rPr>
        <w:t>for Security</w:t>
      </w:r>
      <w:r w:rsidRPr="003A6023">
        <w:rPr>
          <w:lang w:val="en-GB"/>
        </w:rPr>
        <w:t xml:space="preserve">, </w:t>
      </w:r>
      <w:r w:rsidR="00452891">
        <w:rPr>
          <w:lang w:val="en-GB"/>
        </w:rPr>
        <w:t xml:space="preserve">updating the </w:t>
      </w:r>
      <w:r w:rsidRPr="003A6023">
        <w:rPr>
          <w:lang w:val="en-GB"/>
        </w:rPr>
        <w:t>“</w:t>
      </w:r>
      <w:r w:rsidR="00CF7801">
        <w:rPr>
          <w:lang w:val="en-GB"/>
        </w:rPr>
        <w:t xml:space="preserve">Police </w:t>
      </w:r>
      <w:r w:rsidR="00F027F9">
        <w:rPr>
          <w:lang w:val="en-GB"/>
        </w:rPr>
        <w:t xml:space="preserve">Action </w:t>
      </w:r>
      <w:r w:rsidRPr="003A6023">
        <w:rPr>
          <w:lang w:val="en-GB"/>
        </w:rPr>
        <w:t xml:space="preserve">Protocol </w:t>
      </w:r>
      <w:r w:rsidR="00CF7801">
        <w:rPr>
          <w:lang w:val="en-GB"/>
        </w:rPr>
        <w:t xml:space="preserve">regarding </w:t>
      </w:r>
      <w:r w:rsidRPr="003A6023">
        <w:rPr>
          <w:lang w:val="en-GB"/>
        </w:rPr>
        <w:t>M</w:t>
      </w:r>
      <w:r w:rsidR="00452891">
        <w:rPr>
          <w:lang w:val="en-GB"/>
        </w:rPr>
        <w:t>i</w:t>
      </w:r>
      <w:r w:rsidRPr="003A6023">
        <w:rPr>
          <w:lang w:val="en-GB"/>
        </w:rPr>
        <w:t>nors”.</w:t>
      </w:r>
    </w:p>
    <w:p w14:paraId="42DF1774" w14:textId="5146D96A"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17</w:t>
      </w:r>
      <w:r w:rsidRPr="003A6023">
        <w:rPr>
          <w:vertAlign w:val="superscript"/>
          <w:lang w:val="en-GB"/>
        </w:rPr>
        <w:t xml:space="preserve"> </w:t>
      </w:r>
      <w:r w:rsidRPr="003A6023">
        <w:rPr>
          <w:lang w:val="en-GB"/>
        </w:rPr>
        <w:t>Instruc</w:t>
      </w:r>
      <w:r w:rsidR="003D28D5">
        <w:rPr>
          <w:lang w:val="en-GB"/>
        </w:rPr>
        <w:t>tion</w:t>
      </w:r>
      <w:r w:rsidRPr="003A6023">
        <w:rPr>
          <w:lang w:val="en-GB"/>
        </w:rPr>
        <w:t xml:space="preserve"> 8/2019, </w:t>
      </w:r>
      <w:r w:rsidR="00E375AC">
        <w:rPr>
          <w:lang w:val="en-GB"/>
        </w:rPr>
        <w:t xml:space="preserve">of the </w:t>
      </w:r>
      <w:r w:rsidR="00F027F9">
        <w:rPr>
          <w:lang w:val="en-GB"/>
        </w:rPr>
        <w:t>State Secretariat</w:t>
      </w:r>
      <w:r w:rsidRPr="003A6023">
        <w:rPr>
          <w:lang w:val="en-GB"/>
        </w:rPr>
        <w:t xml:space="preserve"> </w:t>
      </w:r>
      <w:r w:rsidR="00F027F9">
        <w:rPr>
          <w:lang w:val="en-GB"/>
        </w:rPr>
        <w:t>for Security</w:t>
      </w:r>
      <w:r w:rsidRPr="003A6023">
        <w:rPr>
          <w:lang w:val="en-GB"/>
        </w:rPr>
        <w:t xml:space="preserve">, </w:t>
      </w:r>
      <w:r w:rsidR="00452891">
        <w:rPr>
          <w:lang w:val="en-GB"/>
        </w:rPr>
        <w:t xml:space="preserve">publishing the </w:t>
      </w:r>
      <w:r w:rsidR="00BA2864">
        <w:rPr>
          <w:lang w:val="en-GB"/>
        </w:rPr>
        <w:t>guide on good practices</w:t>
      </w:r>
      <w:r w:rsidRPr="003A6023">
        <w:rPr>
          <w:lang w:val="en-GB"/>
        </w:rPr>
        <w:t xml:space="preserve"> </w:t>
      </w:r>
      <w:r w:rsidR="00BA2864">
        <w:rPr>
          <w:lang w:val="en-GB"/>
        </w:rPr>
        <w:t>i</w:t>
      </w:r>
      <w:r w:rsidRPr="003A6023">
        <w:rPr>
          <w:lang w:val="en-GB"/>
        </w:rPr>
        <w:t xml:space="preserve">n </w:t>
      </w:r>
      <w:r w:rsidR="00BA2864">
        <w:rPr>
          <w:lang w:val="en-GB"/>
        </w:rPr>
        <w:t xml:space="preserve">the </w:t>
      </w:r>
      <w:r w:rsidRPr="003A6023">
        <w:rPr>
          <w:lang w:val="en-GB"/>
        </w:rPr>
        <w:t>proce</w:t>
      </w:r>
      <w:r w:rsidR="00BA2864">
        <w:rPr>
          <w:lang w:val="en-GB"/>
        </w:rPr>
        <w:t>ssing of complaints and suggestions</w:t>
      </w:r>
      <w:r w:rsidRPr="003A6023">
        <w:rPr>
          <w:lang w:val="en-GB"/>
        </w:rPr>
        <w:t>.</w:t>
      </w:r>
    </w:p>
    <w:p w14:paraId="039399FB" w14:textId="6515AE1F"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18</w:t>
      </w:r>
      <w:r w:rsidRPr="003A6023">
        <w:rPr>
          <w:vertAlign w:val="superscript"/>
          <w:lang w:val="en-GB"/>
        </w:rPr>
        <w:t xml:space="preserve"> </w:t>
      </w:r>
      <w:r w:rsidRPr="003A6023">
        <w:rPr>
          <w:lang w:val="en-GB"/>
        </w:rPr>
        <w:t>Instruc</w:t>
      </w:r>
      <w:r w:rsidR="003D28D5">
        <w:rPr>
          <w:lang w:val="en-GB"/>
        </w:rPr>
        <w:t>tion</w:t>
      </w:r>
      <w:r w:rsidRPr="003A6023">
        <w:rPr>
          <w:lang w:val="en-GB"/>
        </w:rPr>
        <w:t xml:space="preserve"> 3/2018, </w:t>
      </w:r>
      <w:r w:rsidR="00BA2864">
        <w:rPr>
          <w:lang w:val="en-GB"/>
        </w:rPr>
        <w:t xml:space="preserve">of the </w:t>
      </w:r>
      <w:r w:rsidRPr="003A6023">
        <w:rPr>
          <w:lang w:val="en-GB"/>
        </w:rPr>
        <w:t>Secretar</w:t>
      </w:r>
      <w:r w:rsidR="00BA2864">
        <w:rPr>
          <w:lang w:val="en-GB"/>
        </w:rPr>
        <w:t>iat-</w:t>
      </w:r>
      <w:r w:rsidRPr="003A6023">
        <w:rPr>
          <w:lang w:val="en-GB"/>
        </w:rPr>
        <w:t xml:space="preserve">General </w:t>
      </w:r>
      <w:r w:rsidR="00BA2864">
        <w:rPr>
          <w:lang w:val="en-GB"/>
        </w:rPr>
        <w:t>for Prisons</w:t>
      </w:r>
      <w:r w:rsidRPr="003A6023">
        <w:rPr>
          <w:lang w:val="en-GB"/>
        </w:rPr>
        <w:t xml:space="preserve">, </w:t>
      </w:r>
      <w:r w:rsidR="00BA2864">
        <w:rPr>
          <w:lang w:val="en-GB"/>
        </w:rPr>
        <w:t xml:space="preserve">on </w:t>
      </w:r>
      <w:r w:rsidR="00AE0D44">
        <w:rPr>
          <w:lang w:val="en-GB"/>
        </w:rPr>
        <w:t xml:space="preserve">means of coercion </w:t>
      </w:r>
      <w:r w:rsidR="00F027F9">
        <w:rPr>
          <w:lang w:val="en-GB"/>
        </w:rPr>
        <w:t>and</w:t>
      </w:r>
      <w:r w:rsidRPr="003A6023">
        <w:rPr>
          <w:lang w:val="en-GB"/>
        </w:rPr>
        <w:t xml:space="preserve"> </w:t>
      </w:r>
      <w:r w:rsidR="00CF7801">
        <w:rPr>
          <w:lang w:val="en-GB"/>
        </w:rPr>
        <w:t xml:space="preserve">the </w:t>
      </w:r>
      <w:r w:rsidRPr="003A6023">
        <w:rPr>
          <w:lang w:val="en-GB"/>
        </w:rPr>
        <w:t>protocol</w:t>
      </w:r>
      <w:r w:rsidR="00452891">
        <w:rPr>
          <w:lang w:val="en-GB"/>
        </w:rPr>
        <w:t xml:space="preserve"> for the </w:t>
      </w:r>
      <w:r w:rsidRPr="003A6023">
        <w:rPr>
          <w:lang w:val="en-GB"/>
        </w:rPr>
        <w:t>a</w:t>
      </w:r>
      <w:r w:rsidR="00452891">
        <w:rPr>
          <w:lang w:val="en-GB"/>
        </w:rPr>
        <w:t>p</w:t>
      </w:r>
      <w:r w:rsidRPr="003A6023">
        <w:rPr>
          <w:lang w:val="en-GB"/>
        </w:rPr>
        <w:t>plica</w:t>
      </w:r>
      <w:r w:rsidR="003D28D5">
        <w:rPr>
          <w:lang w:val="en-GB"/>
        </w:rPr>
        <w:t>tion</w:t>
      </w:r>
      <w:r w:rsidRPr="003A6023">
        <w:rPr>
          <w:lang w:val="en-GB"/>
        </w:rPr>
        <w:t xml:space="preserve"> </w:t>
      </w:r>
      <w:r w:rsidR="00CF7801">
        <w:rPr>
          <w:lang w:val="en-GB"/>
        </w:rPr>
        <w:t xml:space="preserve">of mechanical restraints on </w:t>
      </w:r>
      <w:r w:rsidR="00FF43A7">
        <w:rPr>
          <w:lang w:val="en-GB"/>
        </w:rPr>
        <w:t>disciplinary</w:t>
      </w:r>
      <w:r w:rsidR="00CF7801">
        <w:rPr>
          <w:lang w:val="en-GB"/>
        </w:rPr>
        <w:t xml:space="preserve"> grounds</w:t>
      </w:r>
      <w:r w:rsidRPr="003A6023">
        <w:rPr>
          <w:lang w:val="en-GB"/>
        </w:rPr>
        <w:t>.</w:t>
      </w:r>
    </w:p>
    <w:p w14:paraId="5086E7AF" w14:textId="149D07BE"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19</w:t>
      </w:r>
      <w:r w:rsidRPr="003A6023">
        <w:rPr>
          <w:vertAlign w:val="superscript"/>
          <w:lang w:val="en-GB"/>
        </w:rPr>
        <w:t xml:space="preserve"> </w:t>
      </w:r>
      <w:r w:rsidRPr="003A6023">
        <w:rPr>
          <w:lang w:val="en-GB"/>
        </w:rPr>
        <w:t xml:space="preserve">UPR recommendations 131.75, 131.87, 131.88, 131.89, 131.90, 131.91, 131.92 and 131.93.  </w:t>
      </w:r>
    </w:p>
    <w:p w14:paraId="6272F293" w14:textId="6DECC5D5"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20</w:t>
      </w:r>
      <w:r w:rsidRPr="003A6023">
        <w:rPr>
          <w:vertAlign w:val="superscript"/>
          <w:lang w:val="en-GB"/>
        </w:rPr>
        <w:t xml:space="preserve"> </w:t>
      </w:r>
      <w:r w:rsidR="003D28D5">
        <w:rPr>
          <w:lang w:val="en-GB"/>
        </w:rPr>
        <w:t xml:space="preserve">See midterm report </w:t>
      </w:r>
      <w:r w:rsidRPr="003A6023">
        <w:rPr>
          <w:lang w:val="en-GB"/>
        </w:rPr>
        <w:t>(2018), p</w:t>
      </w:r>
      <w:r w:rsidR="00207906">
        <w:rPr>
          <w:lang w:val="en-GB"/>
        </w:rPr>
        <w:t>.</w:t>
      </w:r>
      <w:r w:rsidRPr="003A6023">
        <w:rPr>
          <w:lang w:val="en-GB"/>
        </w:rPr>
        <w:t xml:space="preserve"> 27.</w:t>
      </w:r>
    </w:p>
    <w:p w14:paraId="6ED0CE9C" w14:textId="5EE6B04C" w:rsidR="00816067" w:rsidRPr="003A6023" w:rsidRDefault="00816067" w:rsidP="00816067">
      <w:pPr>
        <w:pStyle w:val="Textonotaalfinal"/>
        <w:jc w:val="both"/>
        <w:rPr>
          <w:lang w:val="en-GB"/>
        </w:rPr>
      </w:pPr>
      <w:r w:rsidRPr="003A6023">
        <w:rPr>
          <w:vertAlign w:val="superscript"/>
          <w:lang w:val="en-GB"/>
        </w:rPr>
        <w:footnoteRef/>
      </w:r>
      <w:r w:rsidR="0010672D" w:rsidRPr="0010672D">
        <w:rPr>
          <w:vertAlign w:val="superscript"/>
          <w:lang w:val="en-GB"/>
        </w:rPr>
        <w:t>21</w:t>
      </w:r>
      <w:r w:rsidRPr="003A6023">
        <w:rPr>
          <w:vertAlign w:val="superscript"/>
          <w:lang w:val="en-GB"/>
        </w:rPr>
        <w:t xml:space="preserve"> </w:t>
      </w:r>
      <w:r w:rsidRPr="003A6023">
        <w:rPr>
          <w:lang w:val="en-GB"/>
        </w:rPr>
        <w:t xml:space="preserve">Directive 2011/36/EU of 5 April 2011 on preventing and combating trafficking in human beings and protecting its victims. </w:t>
      </w:r>
    </w:p>
    <w:p w14:paraId="5B933560" w14:textId="0817A495" w:rsidR="00816067" w:rsidRPr="003A6023" w:rsidRDefault="00816067" w:rsidP="00816067">
      <w:pPr>
        <w:pStyle w:val="Textonotaalfinal"/>
        <w:jc w:val="both"/>
        <w:rPr>
          <w:lang w:val="en-GB"/>
        </w:rPr>
      </w:pPr>
      <w:r w:rsidRPr="003A6023">
        <w:rPr>
          <w:vertAlign w:val="superscript"/>
          <w:lang w:val="en-GB"/>
        </w:rPr>
        <w:footnoteRef/>
      </w:r>
      <w:r w:rsidR="0010672D">
        <w:rPr>
          <w:vertAlign w:val="superscript"/>
          <w:lang w:val="en-GB"/>
        </w:rPr>
        <w:t>22</w:t>
      </w:r>
      <w:r w:rsidRPr="003A6023">
        <w:rPr>
          <w:vertAlign w:val="superscript"/>
          <w:lang w:val="en-GB"/>
        </w:rPr>
        <w:t xml:space="preserve"> </w:t>
      </w:r>
      <w:r w:rsidRPr="003A6023">
        <w:rPr>
          <w:lang w:val="en-GB"/>
        </w:rPr>
        <w:t xml:space="preserve">Organic Law 1/2019, of 20 February, amending Organic Law 10/1995, of 23 November, on the Criminal Code, to transpose European Union Directives </w:t>
      </w:r>
      <w:r w:rsidR="007806A4">
        <w:rPr>
          <w:lang w:val="en-GB"/>
        </w:rPr>
        <w:t>relating to</w:t>
      </w:r>
      <w:r w:rsidRPr="003A6023">
        <w:rPr>
          <w:lang w:val="en-GB"/>
        </w:rPr>
        <w:t xml:space="preserve"> financial </w:t>
      </w:r>
      <w:r w:rsidR="007806A4">
        <w:rPr>
          <w:lang w:val="en-GB"/>
        </w:rPr>
        <w:t>matters</w:t>
      </w:r>
      <w:r w:rsidRPr="003A6023">
        <w:rPr>
          <w:lang w:val="en-GB"/>
        </w:rPr>
        <w:t xml:space="preserve"> and </w:t>
      </w:r>
      <w:r w:rsidR="007806A4">
        <w:rPr>
          <w:lang w:val="en-GB"/>
        </w:rPr>
        <w:t>to</w:t>
      </w:r>
      <w:r w:rsidRPr="003A6023">
        <w:rPr>
          <w:lang w:val="en-GB"/>
        </w:rPr>
        <w:t xml:space="preserve"> terrorism, and to address international issues.</w:t>
      </w:r>
    </w:p>
    <w:p w14:paraId="397383B6" w14:textId="6A0638ED" w:rsidR="00816067" w:rsidRPr="003A6023" w:rsidRDefault="00816067" w:rsidP="00816067">
      <w:pPr>
        <w:pStyle w:val="Textonotaalfinal"/>
        <w:jc w:val="both"/>
        <w:rPr>
          <w:lang w:val="en-GB"/>
        </w:rPr>
      </w:pPr>
      <w:r w:rsidRPr="003A6023">
        <w:rPr>
          <w:rStyle w:val="Refdenotaalfinal"/>
          <w:lang w:val="en-GB"/>
        </w:rPr>
        <w:footnoteRef/>
      </w:r>
      <w:r w:rsidR="0010672D" w:rsidRPr="0010672D">
        <w:rPr>
          <w:vertAlign w:val="superscript"/>
          <w:lang w:val="en-GB"/>
        </w:rPr>
        <w:t>23</w:t>
      </w:r>
      <w:r w:rsidRPr="003A6023">
        <w:rPr>
          <w:lang w:val="en-GB"/>
        </w:rPr>
        <w:t xml:space="preserve"> </w:t>
      </w:r>
      <w:hyperlink r:id="rId20" w:history="1">
        <w:r w:rsidRPr="003A6023">
          <w:rPr>
            <w:rStyle w:val="Hipervnculo"/>
            <w:lang w:val="en-GB"/>
          </w:rPr>
          <w:t>http://www.interior.gob.es/documents/10180/7146983/Balance_2017_Trata.pdf/153296b3-be9b-44be-921d-0b034f772a76</w:t>
        </w:r>
      </w:hyperlink>
      <w:r w:rsidRPr="003A6023">
        <w:rPr>
          <w:lang w:val="en-GB"/>
        </w:rPr>
        <w:t xml:space="preserve"> </w:t>
      </w:r>
    </w:p>
    <w:p w14:paraId="1F909CCF" w14:textId="17651293" w:rsidR="00816067" w:rsidRPr="003A6023" w:rsidRDefault="00816067" w:rsidP="00816067">
      <w:pPr>
        <w:pStyle w:val="Textonotaalfinal"/>
        <w:jc w:val="both"/>
        <w:rPr>
          <w:lang w:val="en-GB"/>
        </w:rPr>
      </w:pPr>
      <w:r w:rsidRPr="003A6023">
        <w:rPr>
          <w:lang w:val="en-GB"/>
        </w:rPr>
        <w:t xml:space="preserve"> </w:t>
      </w:r>
      <w:r w:rsidRPr="003A6023">
        <w:rPr>
          <w:rStyle w:val="Refdenotaalfinal"/>
          <w:lang w:val="en-GB"/>
        </w:rPr>
        <w:footnoteRef/>
      </w:r>
      <w:r w:rsidR="00FF4BB0" w:rsidRPr="00FF4BB0">
        <w:rPr>
          <w:vertAlign w:val="superscript"/>
          <w:lang w:val="en-GB"/>
        </w:rPr>
        <w:t>24</w:t>
      </w:r>
      <w:r w:rsidRPr="003A6023">
        <w:rPr>
          <w:lang w:val="en-GB"/>
        </w:rPr>
        <w:t xml:space="preserve"> </w:t>
      </w:r>
      <w:hyperlink r:id="rId21" w:history="1">
        <w:r w:rsidRPr="003A6023">
          <w:rPr>
            <w:rStyle w:val="Hipervnculo"/>
            <w:lang w:val="en-GB"/>
          </w:rPr>
          <w:t>http://www.poderjudicial.es/stfls/SALA%20DE%20PRENSA/DOCUMENTOS%20DE%20INTERES/Guia%20de%20criterios.%20de%20actuaci%C3%B3n%20judicial%20frente%20a%20la%20trata%20de%20serres%20humanos.pdf</w:t>
        </w:r>
      </w:hyperlink>
      <w:r w:rsidRPr="003A6023">
        <w:rPr>
          <w:lang w:val="en-GB"/>
        </w:rPr>
        <w:t xml:space="preserve"> </w:t>
      </w:r>
    </w:p>
    <w:p w14:paraId="09DC73D0" w14:textId="10EBBAD6"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25</w:t>
      </w:r>
      <w:r w:rsidRPr="003A6023">
        <w:rPr>
          <w:vertAlign w:val="superscript"/>
          <w:lang w:val="en-GB"/>
        </w:rPr>
        <w:t xml:space="preserve"> </w:t>
      </w:r>
      <w:r w:rsidRPr="003A6023">
        <w:rPr>
          <w:lang w:val="en-GB"/>
        </w:rPr>
        <w:t>For further information see the midterm report (2018), p. 29.</w:t>
      </w:r>
    </w:p>
    <w:p w14:paraId="6953B865" w14:textId="397354B2"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26</w:t>
      </w:r>
      <w:r w:rsidRPr="003A6023">
        <w:rPr>
          <w:vertAlign w:val="superscript"/>
          <w:lang w:val="en-GB"/>
        </w:rPr>
        <w:t xml:space="preserve"> </w:t>
      </w:r>
      <w:r w:rsidRPr="003A6023">
        <w:rPr>
          <w:lang w:val="en-GB"/>
        </w:rPr>
        <w:t xml:space="preserve">Resolution 2331 (2016) on trafficking in persons in conflict. </w:t>
      </w:r>
    </w:p>
    <w:p w14:paraId="4BD5DF9F" w14:textId="524C74D8" w:rsidR="00816067" w:rsidRPr="003A6023" w:rsidRDefault="00816067" w:rsidP="00816067">
      <w:pPr>
        <w:pStyle w:val="Textonotaalfinal"/>
        <w:jc w:val="both"/>
        <w:rPr>
          <w:lang w:val="en-GB"/>
        </w:rPr>
      </w:pPr>
      <w:r w:rsidRPr="003A6023">
        <w:rPr>
          <w:vertAlign w:val="superscript"/>
          <w:lang w:val="en-GB"/>
        </w:rPr>
        <w:lastRenderedPageBreak/>
        <w:footnoteRef/>
      </w:r>
      <w:r w:rsidR="00FF4BB0">
        <w:rPr>
          <w:vertAlign w:val="superscript"/>
          <w:lang w:val="en-GB"/>
        </w:rPr>
        <w:t>27</w:t>
      </w:r>
      <w:r w:rsidR="007806A4">
        <w:rPr>
          <w:vertAlign w:val="superscript"/>
          <w:lang w:val="en-GB"/>
        </w:rPr>
        <w:t xml:space="preserve"> </w:t>
      </w:r>
      <w:r w:rsidRPr="003A6023">
        <w:rPr>
          <w:lang w:val="en-GB"/>
        </w:rPr>
        <w:t>Resolution 71/322 (2017) on strengthening and promoting effective measures and international cooperation on organ donation and transplantation to prevent and combat trafficking in persons for the purpose of organ removal and trafficking in human organs.</w:t>
      </w:r>
    </w:p>
    <w:p w14:paraId="66F0A3F0" w14:textId="6A54105B"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28</w:t>
      </w:r>
      <w:r w:rsidRPr="003A6023">
        <w:rPr>
          <w:vertAlign w:val="superscript"/>
          <w:lang w:val="en-GB"/>
        </w:rPr>
        <w:t xml:space="preserve"> </w:t>
      </w:r>
      <w:r w:rsidRPr="003A6023">
        <w:rPr>
          <w:lang w:val="en-GB"/>
        </w:rPr>
        <w:t xml:space="preserve">UPR recommendations 131.97, 131.98, 131.99, 131.100 (noted), 131.101, 131.102, 131.103 and 131.104.  </w:t>
      </w:r>
    </w:p>
    <w:p w14:paraId="38CE0B79" w14:textId="63118B28"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29</w:t>
      </w:r>
      <w:r w:rsidRPr="003A6023">
        <w:rPr>
          <w:vertAlign w:val="superscript"/>
          <w:lang w:val="en-GB"/>
        </w:rPr>
        <w:t xml:space="preserve"> </w:t>
      </w:r>
      <w:r w:rsidRPr="003A6023">
        <w:rPr>
          <w:lang w:val="en-GB"/>
        </w:rPr>
        <w:t>Act 52/2007, of 26 December, recognizing and extending rights and setting forth measures in favour of those who suffered persecution or violence during the civil war and the dictatorship.</w:t>
      </w:r>
    </w:p>
    <w:p w14:paraId="539B0044" w14:textId="32C11723"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30</w:t>
      </w:r>
      <w:r w:rsidRPr="003A6023">
        <w:rPr>
          <w:vertAlign w:val="superscript"/>
          <w:lang w:val="en-GB"/>
        </w:rPr>
        <w:t xml:space="preserve"> </w:t>
      </w:r>
      <w:r w:rsidRPr="003A6023">
        <w:rPr>
          <w:lang w:val="en-GB"/>
        </w:rPr>
        <w:t>UPR recommendations 131.17, 131.48, 131.121, 131.122, 131.130, 131.140, 131.141, 131.142, 131.143, 131.144, 131.145, 131.146, 131.147, 131.148, 131.149, 131.150, 131.151 and 131.160.</w:t>
      </w:r>
    </w:p>
    <w:p w14:paraId="7C660C56" w14:textId="2D7F66ED"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31</w:t>
      </w:r>
      <w:r w:rsidRPr="003A6023">
        <w:rPr>
          <w:vertAlign w:val="superscript"/>
          <w:lang w:val="en-GB"/>
        </w:rPr>
        <w:t xml:space="preserve"> </w:t>
      </w:r>
      <w:r w:rsidRPr="003A6023">
        <w:rPr>
          <w:lang w:val="en-GB"/>
        </w:rPr>
        <w:t xml:space="preserve">Act 4/2019, of 7 March, </w:t>
      </w:r>
      <w:r w:rsidR="00E375AC">
        <w:rPr>
          <w:lang w:val="en-GB"/>
        </w:rPr>
        <w:t xml:space="preserve">on improving the </w:t>
      </w:r>
      <w:r w:rsidRPr="003A6023">
        <w:rPr>
          <w:lang w:val="en-GB"/>
        </w:rPr>
        <w:t>condi</w:t>
      </w:r>
      <w:r w:rsidR="00207906">
        <w:rPr>
          <w:lang w:val="en-GB"/>
        </w:rPr>
        <w:t>t</w:t>
      </w:r>
      <w:r w:rsidRPr="003A6023">
        <w:rPr>
          <w:lang w:val="en-GB"/>
        </w:rPr>
        <w:t xml:space="preserve">ions </w:t>
      </w:r>
      <w:r w:rsidR="00207906">
        <w:rPr>
          <w:lang w:val="en-GB"/>
        </w:rPr>
        <w:t xml:space="preserve">for </w:t>
      </w:r>
      <w:r w:rsidR="00BA2864">
        <w:rPr>
          <w:lang w:val="en-GB"/>
        </w:rPr>
        <w:t>teaching and education i</w:t>
      </w:r>
      <w:r w:rsidRPr="003A6023">
        <w:rPr>
          <w:lang w:val="en-GB"/>
        </w:rPr>
        <w:t xml:space="preserve">n </w:t>
      </w:r>
      <w:r w:rsidR="00BA2864">
        <w:rPr>
          <w:lang w:val="en-GB"/>
        </w:rPr>
        <w:t xml:space="preserve">the sphere of </w:t>
      </w:r>
      <w:r w:rsidRPr="003A6023">
        <w:rPr>
          <w:lang w:val="en-GB"/>
        </w:rPr>
        <w:t>non-university education.</w:t>
      </w:r>
    </w:p>
    <w:p w14:paraId="71F44510" w14:textId="0D4A0B7F"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32</w:t>
      </w:r>
      <w:r w:rsidRPr="003A6023">
        <w:rPr>
          <w:vertAlign w:val="superscript"/>
          <w:lang w:val="en-GB"/>
        </w:rPr>
        <w:t xml:space="preserve"> </w:t>
      </w:r>
      <w:r w:rsidRPr="003A6023">
        <w:rPr>
          <w:lang w:val="en-GB"/>
        </w:rPr>
        <w:t xml:space="preserve">Royal </w:t>
      </w:r>
      <w:r w:rsidR="007806A4">
        <w:rPr>
          <w:lang w:val="en-GB"/>
        </w:rPr>
        <w:t>Decree-L</w:t>
      </w:r>
      <w:r w:rsidRPr="003A6023">
        <w:rPr>
          <w:lang w:val="en-GB"/>
        </w:rPr>
        <w:t>aw 14/2012, of 20 April, on urgent measures to streamline public spending on education.</w:t>
      </w:r>
    </w:p>
    <w:p w14:paraId="430A6089" w14:textId="77B7E156"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33</w:t>
      </w:r>
      <w:r w:rsidRPr="003A6023">
        <w:rPr>
          <w:vertAlign w:val="superscript"/>
          <w:lang w:val="en-GB"/>
        </w:rPr>
        <w:t xml:space="preserve"> </w:t>
      </w:r>
      <w:r w:rsidRPr="003A6023">
        <w:rPr>
          <w:lang w:val="en-GB"/>
        </w:rPr>
        <w:t xml:space="preserve">Organic Law 2/2006, of 3 May, on </w:t>
      </w:r>
      <w:r w:rsidR="007806A4">
        <w:rPr>
          <w:lang w:val="en-GB"/>
        </w:rPr>
        <w:t>e</w:t>
      </w:r>
      <w:r w:rsidRPr="003A6023">
        <w:rPr>
          <w:lang w:val="en-GB"/>
        </w:rPr>
        <w:t>ducation.</w:t>
      </w:r>
    </w:p>
    <w:p w14:paraId="00264D00" w14:textId="06229E20"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34</w:t>
      </w:r>
      <w:r w:rsidRPr="003A6023">
        <w:rPr>
          <w:vertAlign w:val="superscript"/>
          <w:lang w:val="en-GB"/>
        </w:rPr>
        <w:t xml:space="preserve"> </w:t>
      </w:r>
      <w:r w:rsidR="007B4C62">
        <w:rPr>
          <w:lang w:val="en-GB"/>
        </w:rPr>
        <w:t xml:space="preserve">This subject will pay particular </w:t>
      </w:r>
      <w:r w:rsidRPr="003A6023">
        <w:rPr>
          <w:lang w:val="en-GB" w:eastAsia="en-US"/>
        </w:rPr>
        <w:t>at</w:t>
      </w:r>
      <w:r w:rsidR="007B4C62">
        <w:rPr>
          <w:lang w:val="en-GB" w:eastAsia="en-US"/>
        </w:rPr>
        <w:t>t</w:t>
      </w:r>
      <w:r w:rsidRPr="003A6023">
        <w:rPr>
          <w:lang w:val="en-GB" w:eastAsia="en-US"/>
        </w:rPr>
        <w:t>en</w:t>
      </w:r>
      <w:r w:rsidR="003D28D5">
        <w:rPr>
          <w:lang w:val="en-GB" w:eastAsia="en-US"/>
        </w:rPr>
        <w:t>tion</w:t>
      </w:r>
      <w:r w:rsidRPr="003A6023">
        <w:rPr>
          <w:lang w:val="en-GB" w:eastAsia="en-US"/>
        </w:rPr>
        <w:t xml:space="preserve"> </w:t>
      </w:r>
      <w:r w:rsidR="007B4C62">
        <w:rPr>
          <w:lang w:val="en-GB" w:eastAsia="en-US"/>
        </w:rPr>
        <w:t xml:space="preserve">to </w:t>
      </w:r>
      <w:r w:rsidR="00BA2864">
        <w:rPr>
          <w:lang w:val="en-GB" w:eastAsia="en-US"/>
        </w:rPr>
        <w:t>knowledge</w:t>
      </w:r>
      <w:r w:rsidRPr="003A6023">
        <w:rPr>
          <w:lang w:val="en-GB" w:eastAsia="en-US"/>
        </w:rPr>
        <w:t xml:space="preserve"> </w:t>
      </w:r>
      <w:r w:rsidR="007B4C62">
        <w:rPr>
          <w:lang w:val="en-GB" w:eastAsia="en-US"/>
        </w:rPr>
        <w:t xml:space="preserve">of </w:t>
      </w:r>
      <w:r w:rsidR="00F027F9">
        <w:rPr>
          <w:lang w:val="en-GB" w:eastAsia="en-US"/>
        </w:rPr>
        <w:t>and</w:t>
      </w:r>
      <w:r w:rsidRPr="003A6023">
        <w:rPr>
          <w:lang w:val="en-GB" w:eastAsia="en-US"/>
        </w:rPr>
        <w:t xml:space="preserve"> respe</w:t>
      </w:r>
      <w:r w:rsidR="00BA2864">
        <w:rPr>
          <w:lang w:val="en-GB" w:eastAsia="en-US"/>
        </w:rPr>
        <w:t>c</w:t>
      </w:r>
      <w:r w:rsidRPr="003A6023">
        <w:rPr>
          <w:lang w:val="en-GB" w:eastAsia="en-US"/>
        </w:rPr>
        <w:t xml:space="preserve">t </w:t>
      </w:r>
      <w:r w:rsidR="00BA2864">
        <w:rPr>
          <w:lang w:val="en-GB" w:eastAsia="en-US"/>
        </w:rPr>
        <w:t xml:space="preserve">for </w:t>
      </w:r>
      <w:r w:rsidRPr="003A6023">
        <w:rPr>
          <w:lang w:val="en-GB" w:eastAsia="en-US"/>
        </w:rPr>
        <w:t xml:space="preserve">human rights and the rights of the child, </w:t>
      </w:r>
      <w:r w:rsidR="00FF4BB0">
        <w:rPr>
          <w:lang w:val="en-GB" w:eastAsia="en-US"/>
        </w:rPr>
        <w:t xml:space="preserve">to the </w:t>
      </w:r>
      <w:r w:rsidRPr="003A6023">
        <w:rPr>
          <w:lang w:val="en-GB" w:eastAsia="en-US"/>
        </w:rPr>
        <w:t xml:space="preserve">Spanish Constitution, </w:t>
      </w:r>
      <w:r w:rsidR="00FF4BB0">
        <w:rPr>
          <w:lang w:val="en-GB" w:eastAsia="en-US"/>
        </w:rPr>
        <w:t xml:space="preserve">to </w:t>
      </w:r>
      <w:r w:rsidRPr="003A6023">
        <w:rPr>
          <w:lang w:val="en-GB" w:eastAsia="en-US"/>
        </w:rPr>
        <w:t>educa</w:t>
      </w:r>
      <w:r w:rsidR="003D28D5">
        <w:rPr>
          <w:lang w:val="en-GB" w:eastAsia="en-US"/>
        </w:rPr>
        <w:t>tion</w:t>
      </w:r>
      <w:r w:rsidRPr="003A6023">
        <w:rPr>
          <w:lang w:val="en-GB" w:eastAsia="en-US"/>
        </w:rPr>
        <w:t xml:space="preserve"> </w:t>
      </w:r>
      <w:r w:rsidR="00452891">
        <w:rPr>
          <w:lang w:val="en-GB" w:eastAsia="en-US"/>
        </w:rPr>
        <w:t xml:space="preserve">for </w:t>
      </w:r>
      <w:r w:rsidRPr="003A6023">
        <w:rPr>
          <w:lang w:val="en-GB" w:eastAsia="en-US"/>
        </w:rPr>
        <w:t xml:space="preserve">sustainable development </w:t>
      </w:r>
      <w:r w:rsidR="00F027F9">
        <w:rPr>
          <w:lang w:val="en-GB" w:eastAsia="en-US"/>
        </w:rPr>
        <w:t>and</w:t>
      </w:r>
      <w:r w:rsidRPr="003A6023">
        <w:rPr>
          <w:lang w:val="en-GB" w:eastAsia="en-US"/>
        </w:rPr>
        <w:t xml:space="preserve"> </w:t>
      </w:r>
      <w:r w:rsidR="00BA2864">
        <w:rPr>
          <w:lang w:val="en-GB" w:eastAsia="en-US"/>
        </w:rPr>
        <w:t>world citizenry</w:t>
      </w:r>
      <w:r w:rsidRPr="003A6023">
        <w:rPr>
          <w:lang w:val="en-GB" w:eastAsia="en-US"/>
        </w:rPr>
        <w:t>, respe</w:t>
      </w:r>
      <w:r w:rsidR="00BA2864">
        <w:rPr>
          <w:lang w:val="en-GB" w:eastAsia="en-US"/>
        </w:rPr>
        <w:t>c</w:t>
      </w:r>
      <w:r w:rsidRPr="003A6023">
        <w:rPr>
          <w:lang w:val="en-GB" w:eastAsia="en-US"/>
        </w:rPr>
        <w:t xml:space="preserve">t </w:t>
      </w:r>
      <w:r w:rsidR="00BA2864">
        <w:rPr>
          <w:lang w:val="en-GB" w:eastAsia="en-US"/>
        </w:rPr>
        <w:t xml:space="preserve">for other </w:t>
      </w:r>
      <w:r w:rsidRPr="003A6023">
        <w:rPr>
          <w:lang w:val="en-GB" w:eastAsia="en-US"/>
        </w:rPr>
        <w:t>cultur</w:t>
      </w:r>
      <w:r w:rsidR="00BA2864">
        <w:rPr>
          <w:lang w:val="en-GB" w:eastAsia="en-US"/>
        </w:rPr>
        <w:t>e</w:t>
      </w:r>
      <w:r w:rsidRPr="003A6023">
        <w:rPr>
          <w:lang w:val="en-GB" w:eastAsia="en-US"/>
        </w:rPr>
        <w:t xml:space="preserve">s, </w:t>
      </w:r>
      <w:r w:rsidR="00F027F9">
        <w:rPr>
          <w:lang w:val="en-GB" w:eastAsia="en-US"/>
        </w:rPr>
        <w:t>equality</w:t>
      </w:r>
      <w:r w:rsidRPr="003A6023">
        <w:rPr>
          <w:lang w:val="en-GB" w:eastAsia="en-US"/>
        </w:rPr>
        <w:t xml:space="preserve"> </w:t>
      </w:r>
      <w:r w:rsidR="00BA2864">
        <w:rPr>
          <w:lang w:val="en-GB" w:eastAsia="en-US"/>
        </w:rPr>
        <w:t xml:space="preserve">between </w:t>
      </w:r>
      <w:r w:rsidRPr="003A6023">
        <w:rPr>
          <w:lang w:val="en-GB" w:eastAsia="en-US"/>
        </w:rPr>
        <w:t xml:space="preserve">men and women </w:t>
      </w:r>
      <w:r w:rsidR="00F027F9">
        <w:rPr>
          <w:lang w:val="en-GB" w:eastAsia="en-US"/>
        </w:rPr>
        <w:t>and</w:t>
      </w:r>
      <w:r w:rsidRPr="003A6023">
        <w:rPr>
          <w:lang w:val="en-GB" w:eastAsia="en-US"/>
        </w:rPr>
        <w:t xml:space="preserve"> </w:t>
      </w:r>
      <w:r w:rsidR="00452891">
        <w:rPr>
          <w:lang w:val="en-GB" w:eastAsia="en-US"/>
        </w:rPr>
        <w:t xml:space="preserve">the value of </w:t>
      </w:r>
      <w:r w:rsidRPr="003A6023">
        <w:rPr>
          <w:lang w:val="en-GB" w:eastAsia="en-US"/>
        </w:rPr>
        <w:t>respe</w:t>
      </w:r>
      <w:r w:rsidR="00BA2864">
        <w:rPr>
          <w:lang w:val="en-GB" w:eastAsia="en-US"/>
        </w:rPr>
        <w:t>c</w:t>
      </w:r>
      <w:r w:rsidRPr="003A6023">
        <w:rPr>
          <w:lang w:val="en-GB" w:eastAsia="en-US"/>
        </w:rPr>
        <w:t>t</w:t>
      </w:r>
      <w:r w:rsidR="00FF4BB0">
        <w:rPr>
          <w:lang w:val="en-GB" w:eastAsia="en-US"/>
        </w:rPr>
        <w:t>ing</w:t>
      </w:r>
      <w:r w:rsidRPr="003A6023">
        <w:rPr>
          <w:lang w:val="en-GB" w:eastAsia="en-US"/>
        </w:rPr>
        <w:t xml:space="preserve"> diversity, </w:t>
      </w:r>
      <w:r w:rsidR="007B4C62">
        <w:rPr>
          <w:lang w:val="en-GB" w:eastAsia="en-US"/>
        </w:rPr>
        <w:t xml:space="preserve">promoting critical thinking </w:t>
      </w:r>
      <w:r w:rsidR="00F027F9">
        <w:rPr>
          <w:lang w:val="en-GB" w:eastAsia="en-US"/>
        </w:rPr>
        <w:t>and</w:t>
      </w:r>
      <w:r w:rsidRPr="003A6023">
        <w:rPr>
          <w:lang w:val="en-GB" w:eastAsia="en-US"/>
        </w:rPr>
        <w:t xml:space="preserve"> </w:t>
      </w:r>
      <w:r w:rsidR="007B4C62">
        <w:rPr>
          <w:lang w:val="en-GB" w:eastAsia="en-US"/>
        </w:rPr>
        <w:t xml:space="preserve">a </w:t>
      </w:r>
      <w:r w:rsidRPr="003A6023">
        <w:rPr>
          <w:lang w:val="en-GB" w:eastAsia="en-US"/>
        </w:rPr>
        <w:t>culture of peace and non-violence.</w:t>
      </w:r>
    </w:p>
    <w:p w14:paraId="5864BBAF" w14:textId="1B751EBD"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35</w:t>
      </w:r>
      <w:r w:rsidRPr="003A6023">
        <w:rPr>
          <w:vertAlign w:val="superscript"/>
          <w:lang w:val="en-GB"/>
        </w:rPr>
        <w:t xml:space="preserve"> </w:t>
      </w:r>
      <w:r w:rsidRPr="003A6023">
        <w:rPr>
          <w:lang w:val="en-GB"/>
        </w:rPr>
        <w:t>See the midterm report (2018), p. 39.</w:t>
      </w:r>
    </w:p>
    <w:p w14:paraId="2B811BBE" w14:textId="786AC736"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36</w:t>
      </w:r>
      <w:r w:rsidRPr="003A6023">
        <w:rPr>
          <w:vertAlign w:val="superscript"/>
          <w:lang w:val="en-GB"/>
        </w:rPr>
        <w:t xml:space="preserve"> </w:t>
      </w:r>
      <w:r w:rsidRPr="003A6023">
        <w:rPr>
          <w:lang w:val="en-GB"/>
        </w:rPr>
        <w:t>See the midterm report (2018), p</w:t>
      </w:r>
      <w:r w:rsidR="00BA2864">
        <w:rPr>
          <w:lang w:val="en-GB"/>
        </w:rPr>
        <w:t>p</w:t>
      </w:r>
      <w:r w:rsidRPr="003A6023">
        <w:rPr>
          <w:lang w:val="en-GB"/>
        </w:rPr>
        <w:t xml:space="preserve">. 39 </w:t>
      </w:r>
      <w:r w:rsidR="00F027F9">
        <w:rPr>
          <w:lang w:val="en-GB"/>
        </w:rPr>
        <w:t>and</w:t>
      </w:r>
      <w:r w:rsidRPr="003A6023">
        <w:rPr>
          <w:lang w:val="en-GB"/>
        </w:rPr>
        <w:t xml:space="preserve"> 40.</w:t>
      </w:r>
    </w:p>
    <w:p w14:paraId="131210DB" w14:textId="6B407835" w:rsidR="00816067" w:rsidRPr="003A6023" w:rsidRDefault="00816067" w:rsidP="00816067">
      <w:pPr>
        <w:pStyle w:val="Textonotaalfinal"/>
        <w:jc w:val="both"/>
        <w:rPr>
          <w:lang w:val="en-GB"/>
        </w:rPr>
      </w:pPr>
      <w:r w:rsidRPr="003A6023">
        <w:rPr>
          <w:rStyle w:val="Refdenotaalfinal"/>
          <w:lang w:val="en-GB"/>
        </w:rPr>
        <w:footnoteRef/>
      </w:r>
      <w:r w:rsidR="00FF4BB0" w:rsidRPr="00FF4BB0">
        <w:rPr>
          <w:vertAlign w:val="superscript"/>
          <w:lang w:val="en-GB"/>
        </w:rPr>
        <w:t>37</w:t>
      </w:r>
      <w:r w:rsidRPr="003A6023">
        <w:rPr>
          <w:lang w:val="en-GB"/>
        </w:rPr>
        <w:t xml:space="preserve"> </w:t>
      </w:r>
      <w:hyperlink r:id="rId22" w:history="1">
        <w:r w:rsidRPr="003A6023">
          <w:rPr>
            <w:rStyle w:val="Hipervnculo"/>
            <w:lang w:val="en-GB"/>
          </w:rPr>
          <w:t>https://www.educacionyfp.gob.es/educacion/mc/cniie/convivencia-escolar/instrumentos/acoso-escolar.html</w:t>
        </w:r>
      </w:hyperlink>
      <w:r w:rsidRPr="003A6023">
        <w:rPr>
          <w:lang w:val="en-GB"/>
        </w:rPr>
        <w:t xml:space="preserve"> </w:t>
      </w:r>
    </w:p>
    <w:p w14:paraId="371D6A51" w14:textId="488A859A"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38</w:t>
      </w:r>
      <w:r w:rsidRPr="003A6023">
        <w:rPr>
          <w:vertAlign w:val="superscript"/>
          <w:lang w:val="en-GB"/>
        </w:rPr>
        <w:t xml:space="preserve"> </w:t>
      </w:r>
      <w:r w:rsidR="007B4C62">
        <w:rPr>
          <w:lang w:val="en-GB"/>
        </w:rPr>
        <w:t xml:space="preserve">These </w:t>
      </w:r>
      <w:r w:rsidRPr="003A6023">
        <w:rPr>
          <w:lang w:val="en-GB"/>
        </w:rPr>
        <w:t>Semina</w:t>
      </w:r>
      <w:r w:rsidR="007B4C62">
        <w:rPr>
          <w:lang w:val="en-GB"/>
        </w:rPr>
        <w:t>r</w:t>
      </w:r>
      <w:r w:rsidRPr="003A6023">
        <w:rPr>
          <w:lang w:val="en-GB"/>
        </w:rPr>
        <w:t xml:space="preserve">s, </w:t>
      </w:r>
      <w:r w:rsidR="007B4C62">
        <w:rPr>
          <w:lang w:val="en-GB"/>
        </w:rPr>
        <w:t xml:space="preserve">which are each devoted to a </w:t>
      </w:r>
      <w:r w:rsidR="007B4C62" w:rsidRPr="003A6023">
        <w:rPr>
          <w:lang w:val="en-GB"/>
        </w:rPr>
        <w:t>spec</w:t>
      </w:r>
      <w:r w:rsidR="007B4C62">
        <w:rPr>
          <w:lang w:val="en-GB"/>
        </w:rPr>
        <w:t>i</w:t>
      </w:r>
      <w:r w:rsidR="007B4C62" w:rsidRPr="003A6023">
        <w:rPr>
          <w:lang w:val="en-GB"/>
        </w:rPr>
        <w:t>fic</w:t>
      </w:r>
      <w:r w:rsidR="007B4C62">
        <w:rPr>
          <w:lang w:val="en-GB"/>
        </w:rPr>
        <w:t xml:space="preserve"> theme and are attended by </w:t>
      </w:r>
      <w:r w:rsidRPr="003A6023">
        <w:rPr>
          <w:lang w:val="en-GB" w:eastAsia="en-US"/>
        </w:rPr>
        <w:t>representat</w:t>
      </w:r>
      <w:r w:rsidR="00BA2864">
        <w:rPr>
          <w:lang w:val="en-GB" w:eastAsia="en-US"/>
        </w:rPr>
        <w:t>iv</w:t>
      </w:r>
      <w:r w:rsidRPr="003A6023">
        <w:rPr>
          <w:lang w:val="en-GB" w:eastAsia="en-US"/>
        </w:rPr>
        <w:t xml:space="preserve">es </w:t>
      </w:r>
      <w:r w:rsidR="007B4C62">
        <w:rPr>
          <w:lang w:val="en-GB" w:eastAsia="en-US"/>
        </w:rPr>
        <w:t xml:space="preserve">of </w:t>
      </w:r>
      <w:r w:rsidR="007B4C62" w:rsidRPr="003A6023">
        <w:rPr>
          <w:lang w:val="en-GB" w:eastAsia="en-US"/>
        </w:rPr>
        <w:t>civil</w:t>
      </w:r>
      <w:r w:rsidR="007B4C62">
        <w:rPr>
          <w:lang w:val="en-GB" w:eastAsia="en-US"/>
        </w:rPr>
        <w:t xml:space="preserve"> society</w:t>
      </w:r>
      <w:r w:rsidR="007B4C62" w:rsidRPr="003A6023">
        <w:rPr>
          <w:lang w:val="en-GB" w:eastAsia="en-US"/>
        </w:rPr>
        <w:t xml:space="preserve"> </w:t>
      </w:r>
      <w:r w:rsidRPr="003A6023">
        <w:rPr>
          <w:lang w:val="en-GB" w:eastAsia="en-US"/>
        </w:rPr>
        <w:t>organiza</w:t>
      </w:r>
      <w:r w:rsidR="00BA2864">
        <w:rPr>
          <w:lang w:val="en-GB" w:eastAsia="en-US"/>
        </w:rPr>
        <w:t>t</w:t>
      </w:r>
      <w:r w:rsidRPr="003A6023">
        <w:rPr>
          <w:lang w:val="en-GB" w:eastAsia="en-US"/>
        </w:rPr>
        <w:t xml:space="preserve">ions, </w:t>
      </w:r>
      <w:r w:rsidR="007B4C62">
        <w:rPr>
          <w:lang w:val="en-GB" w:eastAsia="en-US"/>
        </w:rPr>
        <w:t>lawyers</w:t>
      </w:r>
      <w:r w:rsidRPr="003A6023">
        <w:rPr>
          <w:lang w:val="en-GB" w:eastAsia="en-US"/>
        </w:rPr>
        <w:t xml:space="preserve">, </w:t>
      </w:r>
      <w:r w:rsidR="00BA2864">
        <w:rPr>
          <w:lang w:val="en-GB" w:eastAsia="en-US"/>
        </w:rPr>
        <w:t>journalists</w:t>
      </w:r>
      <w:r w:rsidRPr="003A6023">
        <w:rPr>
          <w:lang w:val="en-GB" w:eastAsia="en-US"/>
        </w:rPr>
        <w:t xml:space="preserve">, </w:t>
      </w:r>
      <w:r w:rsidR="00BA2864">
        <w:rPr>
          <w:lang w:val="en-GB" w:eastAsia="en-US"/>
        </w:rPr>
        <w:t xml:space="preserve">post-graduate </w:t>
      </w:r>
      <w:r w:rsidRPr="003A6023">
        <w:rPr>
          <w:lang w:val="en-GB" w:eastAsia="en-US"/>
        </w:rPr>
        <w:t>stud</w:t>
      </w:r>
      <w:r w:rsidR="00BA2864">
        <w:rPr>
          <w:lang w:val="en-GB" w:eastAsia="en-US"/>
        </w:rPr>
        <w:t xml:space="preserve">ents </w:t>
      </w:r>
      <w:r w:rsidR="00F027F9">
        <w:rPr>
          <w:lang w:val="en-GB" w:eastAsia="en-US"/>
        </w:rPr>
        <w:t>and</w:t>
      </w:r>
      <w:r w:rsidRPr="003A6023">
        <w:rPr>
          <w:lang w:val="en-GB" w:eastAsia="en-US"/>
        </w:rPr>
        <w:t xml:space="preserve"> </w:t>
      </w:r>
      <w:r w:rsidR="00BA2864">
        <w:rPr>
          <w:lang w:val="en-GB" w:eastAsia="en-US"/>
        </w:rPr>
        <w:t>civil servants</w:t>
      </w:r>
      <w:r w:rsidRPr="003A6023">
        <w:rPr>
          <w:lang w:val="en-GB" w:eastAsia="en-US"/>
        </w:rPr>
        <w:t xml:space="preserve">, </w:t>
      </w:r>
      <w:r w:rsidR="007B4C62">
        <w:rPr>
          <w:lang w:val="en-GB" w:eastAsia="en-US"/>
        </w:rPr>
        <w:t xml:space="preserve">are </w:t>
      </w:r>
      <w:r w:rsidR="00CE490F">
        <w:rPr>
          <w:lang w:val="en-GB" w:eastAsia="en-US"/>
        </w:rPr>
        <w:t>being held</w:t>
      </w:r>
      <w:r w:rsidR="007B4C62">
        <w:rPr>
          <w:lang w:val="en-GB" w:eastAsia="en-US"/>
        </w:rPr>
        <w:t xml:space="preserve"> for the 13</w:t>
      </w:r>
      <w:r w:rsidR="007B4C62" w:rsidRPr="007B4C62">
        <w:rPr>
          <w:vertAlign w:val="superscript"/>
          <w:lang w:val="en-GB" w:eastAsia="en-US"/>
        </w:rPr>
        <w:t>th</w:t>
      </w:r>
      <w:r w:rsidR="007B4C62">
        <w:rPr>
          <w:lang w:val="en-GB" w:eastAsia="en-US"/>
        </w:rPr>
        <w:t xml:space="preserve"> time</w:t>
      </w:r>
      <w:r w:rsidR="007B4C62">
        <w:rPr>
          <w:lang w:val="en-GB"/>
        </w:rPr>
        <w:t>.</w:t>
      </w:r>
      <w:r w:rsidRPr="003A6023">
        <w:rPr>
          <w:lang w:val="en-GB"/>
        </w:rPr>
        <w:t xml:space="preserve"> </w:t>
      </w:r>
      <w:r w:rsidR="00BA2864">
        <w:rPr>
          <w:lang w:val="en-GB"/>
        </w:rPr>
        <w:t xml:space="preserve">In </w:t>
      </w:r>
      <w:r w:rsidRPr="003A6023">
        <w:rPr>
          <w:lang w:val="en-GB"/>
        </w:rPr>
        <w:t xml:space="preserve">2018 </w:t>
      </w:r>
      <w:r w:rsidR="00BA2864">
        <w:rPr>
          <w:lang w:val="en-GB"/>
        </w:rPr>
        <w:t>the</w:t>
      </w:r>
      <w:r w:rsidRPr="003A6023">
        <w:rPr>
          <w:lang w:val="en-GB"/>
        </w:rPr>
        <w:t xml:space="preserve"> Seminar </w:t>
      </w:r>
      <w:r w:rsidR="00BA2864">
        <w:rPr>
          <w:lang w:val="en-GB"/>
        </w:rPr>
        <w:t xml:space="preserve">was </w:t>
      </w:r>
      <w:r w:rsidRPr="003A6023">
        <w:rPr>
          <w:lang w:val="en-GB"/>
        </w:rPr>
        <w:t>dedi</w:t>
      </w:r>
      <w:r w:rsidR="00BA2864">
        <w:rPr>
          <w:lang w:val="en-GB"/>
        </w:rPr>
        <w:t>cated</w:t>
      </w:r>
      <w:r w:rsidRPr="003A6023">
        <w:rPr>
          <w:lang w:val="en-GB"/>
        </w:rPr>
        <w:t xml:space="preserve"> </w:t>
      </w:r>
      <w:r w:rsidR="00BA2864">
        <w:rPr>
          <w:lang w:val="en-GB"/>
        </w:rPr>
        <w:t xml:space="preserve">to </w:t>
      </w:r>
      <w:r w:rsidRPr="003A6023">
        <w:rPr>
          <w:lang w:val="en-GB"/>
        </w:rPr>
        <w:t xml:space="preserve">human rights defenders and, in 2019, </w:t>
      </w:r>
      <w:r w:rsidR="007B4C62">
        <w:rPr>
          <w:lang w:val="en-GB"/>
        </w:rPr>
        <w:t>to children’s rights</w:t>
      </w:r>
      <w:r w:rsidRPr="003A6023">
        <w:rPr>
          <w:lang w:val="en-GB"/>
        </w:rPr>
        <w:t xml:space="preserve">. </w:t>
      </w:r>
    </w:p>
    <w:p w14:paraId="7E846736" w14:textId="4AEF23B7" w:rsidR="00816067" w:rsidRPr="003A6023" w:rsidRDefault="00816067" w:rsidP="00816067">
      <w:pPr>
        <w:pStyle w:val="Textonotaalfinal"/>
        <w:jc w:val="both"/>
        <w:rPr>
          <w:lang w:val="en-GB"/>
        </w:rPr>
      </w:pPr>
      <w:r w:rsidRPr="003A6023">
        <w:rPr>
          <w:rStyle w:val="Refdenotaalfinal"/>
          <w:lang w:val="en-GB"/>
        </w:rPr>
        <w:footnoteRef/>
      </w:r>
      <w:r w:rsidR="00FF4BB0" w:rsidRPr="00FF4BB0">
        <w:rPr>
          <w:vertAlign w:val="superscript"/>
          <w:lang w:val="en-GB"/>
        </w:rPr>
        <w:t>39</w:t>
      </w:r>
      <w:r w:rsidRPr="003A6023">
        <w:rPr>
          <w:lang w:val="en-GB"/>
        </w:rPr>
        <w:t xml:space="preserve"> </w:t>
      </w:r>
      <w:r w:rsidR="00CE490F">
        <w:rPr>
          <w:lang w:val="en-GB"/>
        </w:rPr>
        <w:t>T</w:t>
      </w:r>
      <w:r w:rsidR="00183D92">
        <w:rPr>
          <w:lang w:val="en-GB" w:eastAsia="en-US"/>
        </w:rPr>
        <w:t xml:space="preserve">he </w:t>
      </w:r>
      <w:r w:rsidR="00183D92" w:rsidRPr="003A6023">
        <w:rPr>
          <w:lang w:val="en-GB" w:eastAsia="en-US"/>
        </w:rPr>
        <w:t xml:space="preserve">Vicente Ferrer </w:t>
      </w:r>
      <w:r w:rsidR="00CE490F" w:rsidRPr="003A6023">
        <w:rPr>
          <w:lang w:val="en-GB" w:eastAsia="en-US"/>
        </w:rPr>
        <w:t>Na</w:t>
      </w:r>
      <w:r w:rsidR="00CE490F">
        <w:rPr>
          <w:lang w:val="en-GB" w:eastAsia="en-US"/>
        </w:rPr>
        <w:t>t</w:t>
      </w:r>
      <w:r w:rsidR="00CE490F" w:rsidRPr="003A6023">
        <w:rPr>
          <w:lang w:val="en-GB" w:eastAsia="en-US"/>
        </w:rPr>
        <w:t xml:space="preserve">ional </w:t>
      </w:r>
      <w:r w:rsidR="00CE490F">
        <w:rPr>
          <w:lang w:val="en-GB" w:eastAsia="en-US"/>
        </w:rPr>
        <w:t>Award</w:t>
      </w:r>
      <w:r w:rsidR="00CE490F" w:rsidRPr="00CE490F">
        <w:rPr>
          <w:lang w:val="en-GB" w:eastAsia="en-US"/>
        </w:rPr>
        <w:t xml:space="preserve"> </w:t>
      </w:r>
      <w:r w:rsidR="00CE490F">
        <w:rPr>
          <w:lang w:val="en-GB" w:eastAsia="en-US"/>
        </w:rPr>
        <w:t xml:space="preserve">for </w:t>
      </w:r>
      <w:r w:rsidRPr="003A6023">
        <w:rPr>
          <w:lang w:val="en-GB" w:eastAsia="en-US"/>
        </w:rPr>
        <w:t>Educa</w:t>
      </w:r>
      <w:r w:rsidR="003D28D5">
        <w:rPr>
          <w:lang w:val="en-GB" w:eastAsia="en-US"/>
        </w:rPr>
        <w:t>tion</w:t>
      </w:r>
      <w:r w:rsidRPr="003A6023">
        <w:rPr>
          <w:lang w:val="en-GB" w:eastAsia="en-US"/>
        </w:rPr>
        <w:t xml:space="preserve"> </w:t>
      </w:r>
      <w:r w:rsidR="00452891">
        <w:rPr>
          <w:lang w:val="en-GB" w:eastAsia="en-US"/>
        </w:rPr>
        <w:t xml:space="preserve">for Development </w:t>
      </w:r>
      <w:r w:rsidR="00CE490F">
        <w:rPr>
          <w:lang w:val="en-GB" w:eastAsia="en-US"/>
        </w:rPr>
        <w:t>is conferred</w:t>
      </w:r>
      <w:r w:rsidR="00CE490F" w:rsidRPr="00CE490F">
        <w:rPr>
          <w:lang w:val="en-GB" w:eastAsia="en-US"/>
        </w:rPr>
        <w:t xml:space="preserve"> </w:t>
      </w:r>
      <w:r w:rsidR="00CE490F">
        <w:rPr>
          <w:lang w:val="en-GB" w:eastAsia="en-US"/>
        </w:rPr>
        <w:t>in the framework of the Teachers for Development</w:t>
      </w:r>
      <w:r w:rsidR="00CE490F" w:rsidRPr="003A6023">
        <w:rPr>
          <w:lang w:val="en-GB" w:eastAsia="en-US"/>
        </w:rPr>
        <w:t xml:space="preserve"> programme</w:t>
      </w:r>
      <w:r w:rsidRPr="003A6023">
        <w:rPr>
          <w:lang w:val="en-GB" w:eastAsia="en-US"/>
        </w:rPr>
        <w:t xml:space="preserve">. </w:t>
      </w:r>
      <w:r w:rsidR="00BA2864">
        <w:rPr>
          <w:lang w:val="en-GB" w:eastAsia="en-US"/>
        </w:rPr>
        <w:t>See</w:t>
      </w:r>
      <w:r w:rsidRPr="003A6023">
        <w:rPr>
          <w:lang w:val="en-GB" w:eastAsia="en-US"/>
        </w:rPr>
        <w:t xml:space="preserve"> </w:t>
      </w:r>
      <w:hyperlink r:id="rId23" w:history="1">
        <w:r w:rsidRPr="003A6023">
          <w:rPr>
            <w:rStyle w:val="Hipervnculo"/>
            <w:lang w:val="en-GB"/>
          </w:rPr>
          <w:t>https://sede.educacion.gob.es/publiventa/viii-premio-nacional-de-educacion-para-el-desarrollo-vicente-ferrer/ensenanza-sociologia/22494</w:t>
        </w:r>
      </w:hyperlink>
      <w:r w:rsidRPr="003A6023">
        <w:rPr>
          <w:lang w:val="en-GB"/>
        </w:rPr>
        <w:t xml:space="preserve"> </w:t>
      </w:r>
    </w:p>
    <w:p w14:paraId="38786EE4" w14:textId="139EBEA7"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40</w:t>
      </w:r>
      <w:r w:rsidRPr="003A6023">
        <w:rPr>
          <w:vertAlign w:val="superscript"/>
          <w:lang w:val="en-GB"/>
        </w:rPr>
        <w:t xml:space="preserve"> </w:t>
      </w:r>
      <w:r w:rsidRPr="003A6023">
        <w:rPr>
          <w:lang w:val="en-GB"/>
        </w:rPr>
        <w:t xml:space="preserve">UPR recommendations 131.48, 131.116, 131.117, 131.118, 131.119, 131.120, 131.132 and 131.160. </w:t>
      </w:r>
    </w:p>
    <w:p w14:paraId="7F42E66F" w14:textId="730F6907"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41</w:t>
      </w:r>
      <w:r w:rsidRPr="003A6023">
        <w:rPr>
          <w:vertAlign w:val="superscript"/>
          <w:lang w:val="en-GB"/>
        </w:rPr>
        <w:t xml:space="preserve"> </w:t>
      </w:r>
      <w:r w:rsidRPr="003A6023">
        <w:rPr>
          <w:lang w:val="en-GB"/>
        </w:rPr>
        <w:t>Royal Legislative Decree 2/2015, of 23 October, approving the consolidated text of the Workers Statute Act.</w:t>
      </w:r>
    </w:p>
    <w:p w14:paraId="448F26B6" w14:textId="3A8F6D86"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42</w:t>
      </w:r>
      <w:r w:rsidRPr="003A6023">
        <w:rPr>
          <w:vertAlign w:val="superscript"/>
          <w:lang w:val="en-GB"/>
        </w:rPr>
        <w:t xml:space="preserve"> </w:t>
      </w:r>
      <w:r w:rsidRPr="003A6023">
        <w:rPr>
          <w:lang w:val="en-GB"/>
        </w:rPr>
        <w:t xml:space="preserve">Act 23/2015, of 21 July, </w:t>
      </w:r>
      <w:r w:rsidR="0040504C">
        <w:rPr>
          <w:lang w:val="en-GB"/>
        </w:rPr>
        <w:t>regulating</w:t>
      </w:r>
      <w:r w:rsidR="00E375AC">
        <w:rPr>
          <w:lang w:val="en-GB"/>
        </w:rPr>
        <w:t xml:space="preserve"> the </w:t>
      </w:r>
      <w:r w:rsidR="00207906">
        <w:rPr>
          <w:lang w:val="en-GB"/>
        </w:rPr>
        <w:t xml:space="preserve">Labour and Social Security </w:t>
      </w:r>
      <w:r w:rsidRPr="003A6023">
        <w:rPr>
          <w:lang w:val="en-GB"/>
        </w:rPr>
        <w:t>Inspec</w:t>
      </w:r>
      <w:r w:rsidR="003D28D5">
        <w:rPr>
          <w:lang w:val="en-GB"/>
        </w:rPr>
        <w:t>t</w:t>
      </w:r>
      <w:r w:rsidR="00207906">
        <w:rPr>
          <w:lang w:val="en-GB"/>
        </w:rPr>
        <w:t>orate System</w:t>
      </w:r>
      <w:r w:rsidRPr="003A6023">
        <w:rPr>
          <w:lang w:val="en-GB"/>
        </w:rPr>
        <w:t xml:space="preserve"> </w:t>
      </w:r>
    </w:p>
    <w:p w14:paraId="42CCEDA8" w14:textId="6C758711" w:rsidR="00816067" w:rsidRPr="008102B5" w:rsidRDefault="00816067" w:rsidP="00816067">
      <w:pPr>
        <w:pStyle w:val="Textonotaalfinal"/>
        <w:jc w:val="both"/>
        <w:rPr>
          <w:i/>
          <w:lang w:val="en-GB"/>
        </w:rPr>
      </w:pPr>
      <w:r w:rsidRPr="003A6023">
        <w:rPr>
          <w:vertAlign w:val="superscript"/>
          <w:lang w:val="en-GB"/>
        </w:rPr>
        <w:footnoteRef/>
      </w:r>
      <w:r w:rsidR="00FF4BB0">
        <w:rPr>
          <w:vertAlign w:val="superscript"/>
          <w:lang w:val="en-GB"/>
        </w:rPr>
        <w:t>43</w:t>
      </w:r>
      <w:r w:rsidRPr="003A6023">
        <w:rPr>
          <w:vertAlign w:val="superscript"/>
          <w:lang w:val="en-GB"/>
        </w:rPr>
        <w:t xml:space="preserve"> </w:t>
      </w:r>
      <w:r w:rsidRPr="003A6023">
        <w:rPr>
          <w:i/>
          <w:lang w:val="en-GB" w:eastAsia="en-US"/>
        </w:rPr>
        <w:t xml:space="preserve">At Risk </w:t>
      </w:r>
      <w:r w:rsidR="00E375AC">
        <w:rPr>
          <w:i/>
          <w:lang w:val="en-GB" w:eastAsia="en-US"/>
        </w:rPr>
        <w:t>o</w:t>
      </w:r>
      <w:r w:rsidRPr="003A6023">
        <w:rPr>
          <w:i/>
          <w:lang w:val="en-GB" w:eastAsia="en-US"/>
        </w:rPr>
        <w:t xml:space="preserve">f Poverty and/or Exclusion </w:t>
      </w:r>
      <w:r w:rsidRPr="008102B5">
        <w:rPr>
          <w:i/>
          <w:lang w:val="en-GB" w:eastAsia="en-US"/>
        </w:rPr>
        <w:t>(AROPE).</w:t>
      </w:r>
    </w:p>
    <w:p w14:paraId="4AC62231" w14:textId="31A454AB"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44</w:t>
      </w:r>
      <w:r w:rsidRPr="003A6023">
        <w:rPr>
          <w:vertAlign w:val="superscript"/>
          <w:lang w:val="en-GB"/>
        </w:rPr>
        <w:t xml:space="preserve"> </w:t>
      </w:r>
      <w:r w:rsidRPr="003A6023">
        <w:rPr>
          <w:lang w:val="en-GB" w:eastAsia="en-US"/>
        </w:rPr>
        <w:t>Royal Decree-</w:t>
      </w:r>
      <w:r w:rsidR="00497F3C">
        <w:rPr>
          <w:lang w:val="en-GB" w:eastAsia="en-US"/>
        </w:rPr>
        <w:t>L</w:t>
      </w:r>
      <w:r w:rsidRPr="003A6023">
        <w:rPr>
          <w:lang w:val="en-GB" w:eastAsia="en-US"/>
        </w:rPr>
        <w:t xml:space="preserve">aw 6/2016, of 23 December, </w:t>
      </w:r>
      <w:r w:rsidR="00452891">
        <w:rPr>
          <w:lang w:val="en-GB" w:eastAsia="en-US"/>
        </w:rPr>
        <w:t xml:space="preserve">on urgent measures for the promotion of the </w:t>
      </w:r>
      <w:r w:rsidR="00183D92">
        <w:rPr>
          <w:lang w:val="en-GB" w:eastAsia="en-US"/>
        </w:rPr>
        <w:t xml:space="preserve">National Youth Guarantee </w:t>
      </w:r>
      <w:r w:rsidRPr="003A6023">
        <w:rPr>
          <w:lang w:val="en-GB" w:eastAsia="en-US"/>
        </w:rPr>
        <w:t>S</w:t>
      </w:r>
      <w:r w:rsidR="00183D92">
        <w:rPr>
          <w:lang w:val="en-GB" w:eastAsia="en-US"/>
        </w:rPr>
        <w:t>y</w:t>
      </w:r>
      <w:r w:rsidRPr="003A6023">
        <w:rPr>
          <w:lang w:val="en-GB" w:eastAsia="en-US"/>
        </w:rPr>
        <w:t>stem</w:t>
      </w:r>
      <w:r w:rsidRPr="003A6023">
        <w:rPr>
          <w:lang w:val="en-GB"/>
        </w:rPr>
        <w:t>. For further information see the midterm report (2018), p. 47.</w:t>
      </w:r>
    </w:p>
    <w:p w14:paraId="2E1A9BAD" w14:textId="356A9162"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45</w:t>
      </w:r>
      <w:r w:rsidRPr="003A6023">
        <w:rPr>
          <w:vertAlign w:val="superscript"/>
          <w:lang w:val="en-GB"/>
        </w:rPr>
        <w:t xml:space="preserve"> </w:t>
      </w:r>
      <w:r w:rsidRPr="003A6023">
        <w:rPr>
          <w:lang w:val="en-GB"/>
        </w:rPr>
        <w:t xml:space="preserve">Royal Decree 1032/2017, of 15 December, approving </w:t>
      </w:r>
      <w:r w:rsidR="00497F3C">
        <w:rPr>
          <w:lang w:val="en-GB"/>
        </w:rPr>
        <w:t>Spain’s</w:t>
      </w:r>
      <w:r w:rsidRPr="003A6023">
        <w:rPr>
          <w:lang w:val="en-GB"/>
        </w:rPr>
        <w:t xml:space="preserve"> </w:t>
      </w:r>
      <w:r w:rsidR="005E04C2">
        <w:rPr>
          <w:lang w:val="en-GB"/>
        </w:rPr>
        <w:t xml:space="preserve">Employment </w:t>
      </w:r>
      <w:r w:rsidRPr="003A6023">
        <w:rPr>
          <w:lang w:val="en-GB"/>
        </w:rPr>
        <w:t>Activa</w:t>
      </w:r>
      <w:r w:rsidR="003D28D5">
        <w:rPr>
          <w:lang w:val="en-GB"/>
        </w:rPr>
        <w:t>tion</w:t>
      </w:r>
      <w:r w:rsidRPr="003A6023">
        <w:rPr>
          <w:lang w:val="en-GB"/>
        </w:rPr>
        <w:t xml:space="preserve"> </w:t>
      </w:r>
      <w:r w:rsidR="005E04C2">
        <w:rPr>
          <w:lang w:val="en-GB"/>
        </w:rPr>
        <w:t>S</w:t>
      </w:r>
      <w:r w:rsidR="00497F3C" w:rsidRPr="003A6023">
        <w:rPr>
          <w:lang w:val="en-GB"/>
        </w:rPr>
        <w:t xml:space="preserve">trategy </w:t>
      </w:r>
      <w:r w:rsidRPr="003A6023">
        <w:rPr>
          <w:lang w:val="en-GB"/>
        </w:rPr>
        <w:t>2017-2020.</w:t>
      </w:r>
    </w:p>
    <w:p w14:paraId="4DD30893" w14:textId="05053376"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46</w:t>
      </w:r>
      <w:r w:rsidRPr="003A6023">
        <w:rPr>
          <w:vertAlign w:val="superscript"/>
          <w:lang w:val="en-GB"/>
        </w:rPr>
        <w:t xml:space="preserve"> </w:t>
      </w:r>
      <w:r w:rsidRPr="003A6023">
        <w:rPr>
          <w:lang w:val="en-GB"/>
        </w:rPr>
        <w:t>See the midterm report (2018), p. 48.</w:t>
      </w:r>
    </w:p>
    <w:p w14:paraId="33FCC93E" w14:textId="74A41801"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47</w:t>
      </w:r>
      <w:r w:rsidRPr="003A6023">
        <w:rPr>
          <w:vertAlign w:val="superscript"/>
          <w:lang w:val="en-GB"/>
        </w:rPr>
        <w:t xml:space="preserve"> </w:t>
      </w:r>
      <w:r w:rsidRPr="003A6023">
        <w:rPr>
          <w:lang w:val="en-GB"/>
        </w:rPr>
        <w:t xml:space="preserve">UPR recommendations 131.188 and 131.189 (noted). </w:t>
      </w:r>
    </w:p>
    <w:p w14:paraId="03C12133" w14:textId="44333B0A"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48</w:t>
      </w:r>
      <w:r w:rsidRPr="003A6023">
        <w:rPr>
          <w:vertAlign w:val="superscript"/>
          <w:lang w:val="en-GB"/>
        </w:rPr>
        <w:t xml:space="preserve"> </w:t>
      </w:r>
      <w:r w:rsidRPr="003A6023">
        <w:rPr>
          <w:lang w:val="en-GB"/>
        </w:rPr>
        <w:t>UPR recommendations 131.21, 131.123, 131.124, 131.125, 131.126, 131.127, 131.128, 131.129, 131.132 and 131.172.</w:t>
      </w:r>
    </w:p>
    <w:p w14:paraId="2323548E" w14:textId="38BD295F"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49</w:t>
      </w:r>
      <w:r w:rsidRPr="003A6023">
        <w:rPr>
          <w:vertAlign w:val="superscript"/>
          <w:lang w:val="en-GB"/>
        </w:rPr>
        <w:t xml:space="preserve"> </w:t>
      </w:r>
      <w:r w:rsidRPr="003A6023">
        <w:rPr>
          <w:lang w:val="en-GB"/>
        </w:rPr>
        <w:t xml:space="preserve">Royal Decree 1462/2018, of 21 December, </w:t>
      </w:r>
      <w:r w:rsidR="00207906">
        <w:rPr>
          <w:lang w:val="en-GB"/>
        </w:rPr>
        <w:t xml:space="preserve">setting the minimum wage </w:t>
      </w:r>
      <w:r w:rsidRPr="003A6023">
        <w:rPr>
          <w:lang w:val="en-GB"/>
        </w:rPr>
        <w:t>for 2019.</w:t>
      </w:r>
    </w:p>
    <w:p w14:paraId="1D6F99D0" w14:textId="1078DE60"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50</w:t>
      </w:r>
      <w:r w:rsidRPr="003A6023">
        <w:rPr>
          <w:vertAlign w:val="superscript"/>
          <w:lang w:val="en-GB"/>
        </w:rPr>
        <w:t xml:space="preserve"> </w:t>
      </w:r>
      <w:r w:rsidR="00497F3C">
        <w:rPr>
          <w:lang w:val="en-GB"/>
        </w:rPr>
        <w:t>Royal Decree-L</w:t>
      </w:r>
      <w:r w:rsidRPr="003A6023">
        <w:rPr>
          <w:lang w:val="en-GB"/>
        </w:rPr>
        <w:t xml:space="preserve">aw 8/2019, of 8 March, on urgent measures for social protection and to combat </w:t>
      </w:r>
      <w:r w:rsidR="001372EA">
        <w:rPr>
          <w:lang w:val="en-GB"/>
        </w:rPr>
        <w:t>situations relating to precarious working hours</w:t>
      </w:r>
      <w:r w:rsidRPr="003A6023">
        <w:rPr>
          <w:lang w:val="en-GB"/>
        </w:rPr>
        <w:t>.</w:t>
      </w:r>
    </w:p>
    <w:p w14:paraId="5D6C8C50" w14:textId="32AC95F4"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51</w:t>
      </w:r>
      <w:r w:rsidRPr="003A6023">
        <w:rPr>
          <w:vertAlign w:val="superscript"/>
          <w:lang w:val="en-GB"/>
        </w:rPr>
        <w:t xml:space="preserve"> </w:t>
      </w:r>
      <w:r w:rsidRPr="003A6023">
        <w:rPr>
          <w:lang w:val="en-GB"/>
        </w:rPr>
        <w:t>For further information on this strategy see the midterm report (2018), p</w:t>
      </w:r>
      <w:r w:rsidR="00BA2864">
        <w:rPr>
          <w:lang w:val="en-GB"/>
        </w:rPr>
        <w:t>p</w:t>
      </w:r>
      <w:r w:rsidRPr="003A6023">
        <w:rPr>
          <w:lang w:val="en-GB"/>
        </w:rPr>
        <w:t>. 44 and 45.</w:t>
      </w:r>
    </w:p>
    <w:p w14:paraId="284FCB68" w14:textId="1C76F246" w:rsidR="00816067" w:rsidRPr="003A6023" w:rsidRDefault="00816067" w:rsidP="00816067">
      <w:pPr>
        <w:pStyle w:val="Textonotaalfinal"/>
        <w:jc w:val="both"/>
        <w:rPr>
          <w:lang w:val="en-GB"/>
        </w:rPr>
      </w:pPr>
      <w:r w:rsidRPr="003A6023">
        <w:rPr>
          <w:vertAlign w:val="superscript"/>
          <w:lang w:val="en-GB"/>
        </w:rPr>
        <w:footnoteRef/>
      </w:r>
      <w:r w:rsidR="00FF4BB0">
        <w:rPr>
          <w:vertAlign w:val="superscript"/>
          <w:lang w:val="en-GB"/>
        </w:rPr>
        <w:t>52</w:t>
      </w:r>
      <w:r w:rsidRPr="003A6023">
        <w:rPr>
          <w:vertAlign w:val="superscript"/>
          <w:lang w:val="en-GB"/>
        </w:rPr>
        <w:t xml:space="preserve"> </w:t>
      </w:r>
      <w:r w:rsidRPr="003A6023">
        <w:rPr>
          <w:lang w:val="en-GB"/>
        </w:rPr>
        <w:t>UPR recommendations 131</w:t>
      </w:r>
      <w:r w:rsidR="00DC3F6D">
        <w:rPr>
          <w:lang w:val="en-GB"/>
        </w:rPr>
        <w:t>.</w:t>
      </w:r>
      <w:r w:rsidRPr="003A6023">
        <w:rPr>
          <w:lang w:val="en-GB"/>
        </w:rPr>
        <w:t>121, 131.122, 131.125, 131.130, 131.131, 131.136, 131.137, 131.138, 131.139, 131.140 and 131.160.</w:t>
      </w:r>
    </w:p>
    <w:p w14:paraId="183B0F4E" w14:textId="24282614" w:rsidR="00816067" w:rsidRPr="003A6023" w:rsidRDefault="00816067" w:rsidP="00816067">
      <w:pPr>
        <w:pStyle w:val="Textonotaalfinal"/>
        <w:jc w:val="both"/>
        <w:rPr>
          <w:lang w:val="en-GB"/>
        </w:rPr>
      </w:pPr>
      <w:r w:rsidRPr="003A6023">
        <w:rPr>
          <w:vertAlign w:val="superscript"/>
          <w:lang w:val="en-GB"/>
        </w:rPr>
        <w:footnoteRef/>
      </w:r>
      <w:r w:rsidR="004F2531">
        <w:rPr>
          <w:vertAlign w:val="superscript"/>
          <w:lang w:val="en-GB"/>
        </w:rPr>
        <w:t>53</w:t>
      </w:r>
      <w:r w:rsidRPr="003A6023">
        <w:rPr>
          <w:vertAlign w:val="superscript"/>
          <w:lang w:val="en-GB"/>
        </w:rPr>
        <w:t xml:space="preserve"> </w:t>
      </w:r>
      <w:r w:rsidRPr="003A6023">
        <w:rPr>
          <w:lang w:val="en-GB"/>
        </w:rPr>
        <w:t>R</w:t>
      </w:r>
      <w:r w:rsidR="00BA2864">
        <w:rPr>
          <w:lang w:val="en-GB"/>
        </w:rPr>
        <w:t>oy</w:t>
      </w:r>
      <w:r w:rsidR="00497F3C">
        <w:rPr>
          <w:lang w:val="en-GB"/>
        </w:rPr>
        <w:t>al Decree-L</w:t>
      </w:r>
      <w:r w:rsidRPr="003A6023">
        <w:rPr>
          <w:lang w:val="en-GB"/>
        </w:rPr>
        <w:t>aw 7/2018, of 27 July, on universal access to the National Health System.</w:t>
      </w:r>
    </w:p>
    <w:p w14:paraId="2CC6D17E" w14:textId="54340D59" w:rsidR="00816067" w:rsidRPr="003A6023" w:rsidRDefault="00816067" w:rsidP="00816067">
      <w:pPr>
        <w:pStyle w:val="Textonotaalfinal"/>
        <w:jc w:val="both"/>
        <w:rPr>
          <w:lang w:val="en-GB"/>
        </w:rPr>
      </w:pPr>
      <w:r w:rsidRPr="003A6023">
        <w:rPr>
          <w:vertAlign w:val="superscript"/>
          <w:lang w:val="en-GB"/>
        </w:rPr>
        <w:footnoteRef/>
      </w:r>
      <w:r w:rsidR="004F2531">
        <w:rPr>
          <w:vertAlign w:val="superscript"/>
          <w:lang w:val="en-GB"/>
        </w:rPr>
        <w:t>54</w:t>
      </w:r>
      <w:r w:rsidRPr="003A6023">
        <w:rPr>
          <w:vertAlign w:val="superscript"/>
          <w:lang w:val="en-GB"/>
        </w:rPr>
        <w:t xml:space="preserve"> </w:t>
      </w:r>
      <w:r w:rsidR="00BA2864">
        <w:rPr>
          <w:lang w:val="en-GB"/>
        </w:rPr>
        <w:t xml:space="preserve">Through </w:t>
      </w:r>
      <w:r w:rsidRPr="003A6023">
        <w:rPr>
          <w:lang w:val="en-GB"/>
        </w:rPr>
        <w:t xml:space="preserve">Royal Decree 1047/2018, of 24 August, </w:t>
      </w:r>
      <w:r w:rsidR="00BA2864">
        <w:rPr>
          <w:lang w:val="en-GB"/>
        </w:rPr>
        <w:t xml:space="preserve">implementing the </w:t>
      </w:r>
      <w:r w:rsidRPr="003A6023">
        <w:rPr>
          <w:lang w:val="en-GB"/>
        </w:rPr>
        <w:t>basic organizational structure of the Ministry of Health, Consumer Affairs and Social Welfare and amending Royal Decree 595/2018, of 22 June, setting forth the basic organizational structure of the Ministries.</w:t>
      </w:r>
    </w:p>
    <w:p w14:paraId="625FA46A" w14:textId="74876B8D" w:rsidR="00816067" w:rsidRPr="003A6023" w:rsidRDefault="00816067" w:rsidP="00816067">
      <w:pPr>
        <w:pStyle w:val="Textonotaalfinal"/>
        <w:jc w:val="both"/>
        <w:rPr>
          <w:lang w:val="en-GB"/>
        </w:rPr>
      </w:pPr>
      <w:r w:rsidRPr="003A6023">
        <w:rPr>
          <w:vertAlign w:val="superscript"/>
          <w:lang w:val="en-GB"/>
        </w:rPr>
        <w:footnoteRef/>
      </w:r>
      <w:r w:rsidR="004F2531">
        <w:rPr>
          <w:vertAlign w:val="superscript"/>
          <w:lang w:val="en-GB"/>
        </w:rPr>
        <w:t>55</w:t>
      </w:r>
      <w:r w:rsidRPr="003A6023">
        <w:rPr>
          <w:vertAlign w:val="superscript"/>
          <w:lang w:val="en-GB"/>
        </w:rPr>
        <w:t xml:space="preserve"> </w:t>
      </w:r>
      <w:r w:rsidRPr="003A6023">
        <w:rPr>
          <w:lang w:val="en-GB"/>
        </w:rPr>
        <w:t xml:space="preserve">UPR recommendations 131.48, 131.121, 131.125, 131.126, 131.127, 131.129, 131.130, 131.133, 131.134, 131.135 and 131.160. </w:t>
      </w:r>
    </w:p>
    <w:p w14:paraId="0A3367F4" w14:textId="117F5620" w:rsidR="00816067" w:rsidRPr="003A6023" w:rsidRDefault="00816067" w:rsidP="00816067">
      <w:pPr>
        <w:pStyle w:val="Textonotaalfinal"/>
        <w:jc w:val="both"/>
        <w:rPr>
          <w:lang w:val="en-GB"/>
        </w:rPr>
      </w:pPr>
      <w:r w:rsidRPr="003A6023">
        <w:rPr>
          <w:vertAlign w:val="superscript"/>
          <w:lang w:val="en-GB"/>
        </w:rPr>
        <w:footnoteRef/>
      </w:r>
      <w:r w:rsidR="004F2531">
        <w:rPr>
          <w:vertAlign w:val="superscript"/>
          <w:lang w:val="en-GB"/>
        </w:rPr>
        <w:t>56</w:t>
      </w:r>
      <w:r w:rsidRPr="003A6023">
        <w:rPr>
          <w:vertAlign w:val="superscript"/>
          <w:lang w:val="en-GB"/>
        </w:rPr>
        <w:t xml:space="preserve"> </w:t>
      </w:r>
      <w:r w:rsidRPr="003A6023">
        <w:rPr>
          <w:lang w:val="en-GB"/>
        </w:rPr>
        <w:t xml:space="preserve">Act 5/2018, of 11 June, amending Act 1/2000, of 7 January, </w:t>
      </w:r>
      <w:r w:rsidR="00BA2864">
        <w:rPr>
          <w:lang w:val="en-GB"/>
        </w:rPr>
        <w:t>on</w:t>
      </w:r>
      <w:r w:rsidRPr="003A6023">
        <w:rPr>
          <w:lang w:val="en-GB"/>
        </w:rPr>
        <w:t xml:space="preserve"> Civil</w:t>
      </w:r>
      <w:r w:rsidR="00BA2864">
        <w:rPr>
          <w:lang w:val="en-GB"/>
        </w:rPr>
        <w:t xml:space="preserve"> Procedure</w:t>
      </w:r>
      <w:r w:rsidRPr="003A6023">
        <w:rPr>
          <w:lang w:val="en-GB"/>
        </w:rPr>
        <w:t>, in relation to the illegal occupation of homes.</w:t>
      </w:r>
    </w:p>
    <w:p w14:paraId="7127AF43" w14:textId="78C0B5CC" w:rsidR="00816067" w:rsidRPr="003A6023" w:rsidRDefault="00816067" w:rsidP="00816067">
      <w:pPr>
        <w:pStyle w:val="Textonotaalfinal"/>
        <w:jc w:val="both"/>
        <w:rPr>
          <w:lang w:val="en-GB"/>
        </w:rPr>
      </w:pPr>
      <w:r w:rsidRPr="003A6023">
        <w:rPr>
          <w:vertAlign w:val="superscript"/>
          <w:lang w:val="en-GB"/>
        </w:rPr>
        <w:footnoteRef/>
      </w:r>
      <w:r w:rsidR="004F2531">
        <w:rPr>
          <w:vertAlign w:val="superscript"/>
          <w:lang w:val="en-GB"/>
        </w:rPr>
        <w:t>57</w:t>
      </w:r>
      <w:r w:rsidRPr="003A6023">
        <w:rPr>
          <w:vertAlign w:val="superscript"/>
          <w:lang w:val="en-GB"/>
        </w:rPr>
        <w:t xml:space="preserve"> </w:t>
      </w:r>
      <w:r w:rsidRPr="003A6023">
        <w:rPr>
          <w:lang w:val="en-GB" w:eastAsia="en-US"/>
        </w:rPr>
        <w:t>Act 5/2019, of 15 March, regulating real estate credit agreements.</w:t>
      </w:r>
    </w:p>
    <w:p w14:paraId="1A7BA350" w14:textId="3FF4E977" w:rsidR="00816067" w:rsidRPr="003A6023" w:rsidRDefault="00816067" w:rsidP="00DC3F6D">
      <w:pPr>
        <w:pStyle w:val="Textonotaalfinal"/>
        <w:ind w:left="708" w:hanging="708"/>
        <w:rPr>
          <w:lang w:val="en-GB"/>
        </w:rPr>
      </w:pPr>
      <w:r w:rsidRPr="003A6023">
        <w:rPr>
          <w:rStyle w:val="Refdenotaalfinal"/>
          <w:lang w:val="en-GB"/>
        </w:rPr>
        <w:footnoteRef/>
      </w:r>
      <w:r w:rsidR="004F2531">
        <w:rPr>
          <w:vertAlign w:val="superscript"/>
          <w:lang w:val="en-GB"/>
        </w:rPr>
        <w:t>58</w:t>
      </w:r>
      <w:r w:rsidRPr="003A6023">
        <w:rPr>
          <w:lang w:val="en-GB"/>
        </w:rPr>
        <w:t xml:space="preserve"> </w:t>
      </w:r>
      <w:r w:rsidR="00DC3F6D">
        <w:rPr>
          <w:lang w:val="en-GB"/>
        </w:rPr>
        <w:t xml:space="preserve">The list of </w:t>
      </w:r>
      <w:r w:rsidR="00BA2864" w:rsidRPr="00DC3F6D">
        <w:rPr>
          <w:lang w:val="en-GB"/>
        </w:rPr>
        <w:t>entities</w:t>
      </w:r>
      <w:r w:rsidR="00DC3F6D" w:rsidRPr="00DC3F6D">
        <w:rPr>
          <w:lang w:val="en-GB"/>
        </w:rPr>
        <w:t xml:space="preserve"> that </w:t>
      </w:r>
      <w:r w:rsidR="00DC3F6D">
        <w:rPr>
          <w:lang w:val="en-GB"/>
        </w:rPr>
        <w:t>have undertaken to apply the Code</w:t>
      </w:r>
      <w:r w:rsidR="00BA2864" w:rsidRPr="00DC3F6D">
        <w:rPr>
          <w:lang w:val="en-GB"/>
        </w:rPr>
        <w:t xml:space="preserve"> </w:t>
      </w:r>
      <w:r w:rsidR="00183D92" w:rsidRPr="00DC3F6D">
        <w:rPr>
          <w:lang w:val="en-GB"/>
        </w:rPr>
        <w:t>can</w:t>
      </w:r>
      <w:r w:rsidR="00183D92">
        <w:rPr>
          <w:lang w:val="en-GB"/>
        </w:rPr>
        <w:t xml:space="preserve"> be consulted at </w:t>
      </w:r>
      <w:hyperlink r:id="rId24" w:history="1">
        <w:r w:rsidRPr="003A6023">
          <w:rPr>
            <w:rStyle w:val="Hipervnculo"/>
            <w:lang w:val="en-GB"/>
          </w:rPr>
          <w:t>https://www.boe.es/diario_boe/txt.php?id=BOE-A-2019-9508</w:t>
        </w:r>
      </w:hyperlink>
      <w:r w:rsidRPr="003A6023">
        <w:rPr>
          <w:lang w:val="en-GB"/>
        </w:rPr>
        <w:t xml:space="preserve"> </w:t>
      </w:r>
    </w:p>
    <w:p w14:paraId="14350536" w14:textId="44CC88EE" w:rsidR="00816067" w:rsidRPr="003A6023" w:rsidRDefault="00816067" w:rsidP="00816067">
      <w:pPr>
        <w:pStyle w:val="Textonotaalfinal"/>
        <w:jc w:val="both"/>
        <w:rPr>
          <w:lang w:val="en-GB"/>
        </w:rPr>
      </w:pPr>
      <w:r w:rsidRPr="003A6023">
        <w:rPr>
          <w:vertAlign w:val="superscript"/>
          <w:lang w:val="en-GB"/>
        </w:rPr>
        <w:footnoteRef/>
      </w:r>
      <w:r w:rsidR="004F2531">
        <w:rPr>
          <w:vertAlign w:val="superscript"/>
          <w:lang w:val="en-GB"/>
        </w:rPr>
        <w:t>59</w:t>
      </w:r>
      <w:r w:rsidRPr="003A6023">
        <w:rPr>
          <w:vertAlign w:val="superscript"/>
          <w:lang w:val="en-GB"/>
        </w:rPr>
        <w:t xml:space="preserve"> </w:t>
      </w:r>
      <w:r w:rsidRPr="003A6023">
        <w:rPr>
          <w:lang w:val="en-GB"/>
        </w:rPr>
        <w:t>See the midterm report (2018), p. 44.</w:t>
      </w:r>
    </w:p>
    <w:p w14:paraId="5115B797" w14:textId="74BBA85A" w:rsidR="00816067" w:rsidRPr="003A6023" w:rsidRDefault="00816067" w:rsidP="00816067">
      <w:pPr>
        <w:pStyle w:val="Textonotaalfinal"/>
        <w:jc w:val="both"/>
        <w:rPr>
          <w:lang w:val="en-GB"/>
        </w:rPr>
      </w:pPr>
      <w:r w:rsidRPr="003A6023">
        <w:rPr>
          <w:vertAlign w:val="superscript"/>
          <w:lang w:val="en-GB"/>
        </w:rPr>
        <w:lastRenderedPageBreak/>
        <w:footnoteRef/>
      </w:r>
      <w:r w:rsidR="004F2531">
        <w:rPr>
          <w:vertAlign w:val="superscript"/>
          <w:lang w:val="en-GB"/>
        </w:rPr>
        <w:t>60</w:t>
      </w:r>
      <w:r w:rsidRPr="003A6023">
        <w:rPr>
          <w:vertAlign w:val="superscript"/>
          <w:lang w:val="en-GB"/>
        </w:rPr>
        <w:t xml:space="preserve"> </w:t>
      </w:r>
      <w:r w:rsidR="00A1679E">
        <w:rPr>
          <w:lang w:val="en-GB"/>
        </w:rPr>
        <w:t>Royal Decree-L</w:t>
      </w:r>
      <w:r w:rsidRPr="003A6023">
        <w:rPr>
          <w:lang w:val="en-GB"/>
        </w:rPr>
        <w:t>aw 7/2019, of 1 March, on urgent measures regarding housing and renting.</w:t>
      </w:r>
    </w:p>
    <w:p w14:paraId="493106EE" w14:textId="466C3CE3" w:rsidR="00816067" w:rsidRPr="003A6023" w:rsidRDefault="00816067" w:rsidP="00816067">
      <w:pPr>
        <w:pStyle w:val="Textonotaalfinal"/>
        <w:jc w:val="both"/>
        <w:rPr>
          <w:lang w:val="en-GB"/>
        </w:rPr>
      </w:pPr>
      <w:r w:rsidRPr="003A6023">
        <w:rPr>
          <w:vertAlign w:val="superscript"/>
          <w:lang w:val="en-GB"/>
        </w:rPr>
        <w:footnoteRef/>
      </w:r>
      <w:r w:rsidR="004F2531">
        <w:rPr>
          <w:vertAlign w:val="superscript"/>
          <w:lang w:val="en-GB"/>
        </w:rPr>
        <w:t>61</w:t>
      </w:r>
      <w:r w:rsidRPr="003A6023">
        <w:rPr>
          <w:vertAlign w:val="superscript"/>
          <w:lang w:val="en-GB"/>
        </w:rPr>
        <w:t xml:space="preserve"> </w:t>
      </w:r>
      <w:r w:rsidRPr="003A6023">
        <w:rPr>
          <w:lang w:val="en-GB" w:eastAsia="en-US"/>
        </w:rPr>
        <w:t xml:space="preserve">This aid </w:t>
      </w:r>
      <w:r w:rsidR="00A1679E">
        <w:rPr>
          <w:lang w:val="en-GB" w:eastAsia="en-US"/>
        </w:rPr>
        <w:t>shall be</w:t>
      </w:r>
      <w:r w:rsidR="007B4C62">
        <w:rPr>
          <w:lang w:val="en-GB" w:eastAsia="en-US"/>
        </w:rPr>
        <w:t xml:space="preserve"> granted depending on </w:t>
      </w:r>
      <w:r w:rsidR="00426E67" w:rsidRPr="003A6023">
        <w:rPr>
          <w:lang w:val="en-GB" w:eastAsia="en-US"/>
        </w:rPr>
        <w:t>economic income</w:t>
      </w:r>
      <w:r w:rsidR="00426E67">
        <w:rPr>
          <w:lang w:val="en-GB" w:eastAsia="en-US"/>
        </w:rPr>
        <w:t xml:space="preserve"> </w:t>
      </w:r>
      <w:r w:rsidR="00207906">
        <w:rPr>
          <w:lang w:val="en-GB" w:eastAsia="en-US"/>
        </w:rPr>
        <w:t>level</w:t>
      </w:r>
      <w:r w:rsidR="00426E67">
        <w:rPr>
          <w:lang w:val="en-GB" w:eastAsia="en-US"/>
        </w:rPr>
        <w:t>s</w:t>
      </w:r>
      <w:r w:rsidRPr="003A6023">
        <w:rPr>
          <w:lang w:val="en-GB" w:eastAsia="en-US"/>
        </w:rPr>
        <w:t xml:space="preserve">, </w:t>
      </w:r>
      <w:r w:rsidR="00207906">
        <w:rPr>
          <w:lang w:val="en-GB" w:eastAsia="en-US"/>
        </w:rPr>
        <w:t xml:space="preserve">on the </w:t>
      </w:r>
      <w:r w:rsidRPr="003A6023">
        <w:rPr>
          <w:lang w:val="en-GB" w:eastAsia="en-US"/>
        </w:rPr>
        <w:t>bas</w:t>
      </w:r>
      <w:r w:rsidR="00207906">
        <w:rPr>
          <w:lang w:val="en-GB" w:eastAsia="en-US"/>
        </w:rPr>
        <w:t>is</w:t>
      </w:r>
      <w:r w:rsidRPr="003A6023">
        <w:rPr>
          <w:lang w:val="en-GB" w:eastAsia="en-US"/>
        </w:rPr>
        <w:t xml:space="preserve"> </w:t>
      </w:r>
      <w:r w:rsidR="00207906">
        <w:rPr>
          <w:lang w:val="en-GB" w:eastAsia="en-US"/>
        </w:rPr>
        <w:t xml:space="preserve">of </w:t>
      </w:r>
      <w:r w:rsidR="00951453">
        <w:rPr>
          <w:lang w:val="en-GB" w:eastAsia="en-US"/>
        </w:rPr>
        <w:t>the</w:t>
      </w:r>
      <w:r w:rsidR="00207906">
        <w:rPr>
          <w:lang w:val="en-GB" w:eastAsia="en-US"/>
        </w:rPr>
        <w:t xml:space="preserve"> </w:t>
      </w:r>
      <w:r w:rsidRPr="003A6023">
        <w:rPr>
          <w:lang w:val="en-GB" w:eastAsia="en-US"/>
        </w:rPr>
        <w:t xml:space="preserve">universal and objective criterion </w:t>
      </w:r>
      <w:r w:rsidR="00951453">
        <w:rPr>
          <w:lang w:val="en-GB" w:eastAsia="en-US"/>
        </w:rPr>
        <w:t xml:space="preserve">of </w:t>
      </w:r>
      <w:r w:rsidR="00A1679E">
        <w:rPr>
          <w:lang w:val="en-GB" w:eastAsia="en-US"/>
        </w:rPr>
        <w:t>income</w:t>
      </w:r>
      <w:r w:rsidRPr="003A6023">
        <w:rPr>
          <w:lang w:val="en-GB" w:eastAsia="en-US"/>
        </w:rPr>
        <w:t xml:space="preserve">, </w:t>
      </w:r>
      <w:r w:rsidR="00207906">
        <w:rPr>
          <w:lang w:val="en-GB" w:eastAsia="en-US"/>
        </w:rPr>
        <w:t xml:space="preserve">with </w:t>
      </w:r>
      <w:r w:rsidR="00A1679E">
        <w:rPr>
          <w:lang w:val="en-GB" w:eastAsia="en-US"/>
        </w:rPr>
        <w:t>a</w:t>
      </w:r>
      <w:r w:rsidR="00207906">
        <w:rPr>
          <w:lang w:val="en-GB" w:eastAsia="en-US"/>
        </w:rPr>
        <w:t xml:space="preserve"> limit</w:t>
      </w:r>
      <w:r w:rsidR="00A1679E">
        <w:rPr>
          <w:lang w:val="en-GB" w:eastAsia="en-US"/>
        </w:rPr>
        <w:t xml:space="preserve"> amounting to 40%</w:t>
      </w:r>
      <w:r w:rsidR="00207906">
        <w:rPr>
          <w:lang w:val="en-GB" w:eastAsia="en-US"/>
        </w:rPr>
        <w:t xml:space="preserve"> </w:t>
      </w:r>
      <w:r w:rsidR="00E375AC">
        <w:rPr>
          <w:lang w:val="en-GB" w:eastAsia="en-US"/>
        </w:rPr>
        <w:t xml:space="preserve">of </w:t>
      </w:r>
      <w:r w:rsidR="00A1679E">
        <w:rPr>
          <w:lang w:val="en-GB" w:eastAsia="en-US"/>
        </w:rPr>
        <w:t xml:space="preserve">the aid recipient’s </w:t>
      </w:r>
      <w:r w:rsidR="00E375AC">
        <w:rPr>
          <w:lang w:val="en-GB" w:eastAsia="en-US"/>
        </w:rPr>
        <w:t>rent</w:t>
      </w:r>
      <w:r w:rsidR="00A1679E">
        <w:rPr>
          <w:lang w:val="en-GB" w:eastAsia="en-US"/>
        </w:rPr>
        <w:t>,</w:t>
      </w:r>
      <w:r w:rsidR="00E375AC">
        <w:rPr>
          <w:lang w:val="en-GB" w:eastAsia="en-US"/>
        </w:rPr>
        <w:t xml:space="preserve"> </w:t>
      </w:r>
      <w:r w:rsidR="00F027F9">
        <w:rPr>
          <w:lang w:val="en-GB" w:eastAsia="en-US"/>
        </w:rPr>
        <w:t>and</w:t>
      </w:r>
      <w:r w:rsidRPr="003A6023">
        <w:rPr>
          <w:lang w:val="en-GB" w:eastAsia="en-US"/>
        </w:rPr>
        <w:t xml:space="preserve"> general</w:t>
      </w:r>
      <w:r w:rsidR="00E212B7">
        <w:rPr>
          <w:lang w:val="en-GB" w:eastAsia="en-US"/>
        </w:rPr>
        <w:t>ly applied</w:t>
      </w:r>
      <w:r w:rsidRPr="003A6023">
        <w:rPr>
          <w:lang w:val="en-GB" w:eastAsia="en-US"/>
        </w:rPr>
        <w:t xml:space="preserve"> </w:t>
      </w:r>
      <w:r w:rsidR="00452891">
        <w:rPr>
          <w:lang w:val="en-GB" w:eastAsia="en-US"/>
        </w:rPr>
        <w:t xml:space="preserve">for rents of up to </w:t>
      </w:r>
      <w:r w:rsidR="00452891" w:rsidRPr="003A6023">
        <w:rPr>
          <w:lang w:val="en-GB" w:eastAsia="en-US"/>
        </w:rPr>
        <w:t>€</w:t>
      </w:r>
      <w:r w:rsidRPr="003A6023">
        <w:rPr>
          <w:lang w:val="en-GB" w:eastAsia="en-US"/>
        </w:rPr>
        <w:t xml:space="preserve">600 </w:t>
      </w:r>
      <w:r w:rsidR="00452891">
        <w:rPr>
          <w:lang w:val="en-GB" w:eastAsia="en-US"/>
        </w:rPr>
        <w:t>per month</w:t>
      </w:r>
      <w:r w:rsidRPr="003A6023">
        <w:rPr>
          <w:lang w:val="en-GB" w:eastAsia="en-US"/>
        </w:rPr>
        <w:t>.</w:t>
      </w:r>
    </w:p>
    <w:p w14:paraId="78E3A196" w14:textId="357C8F85" w:rsidR="00816067" w:rsidRPr="003A6023" w:rsidRDefault="00816067" w:rsidP="00816067">
      <w:pPr>
        <w:pStyle w:val="Textonotaalfinal"/>
        <w:jc w:val="both"/>
        <w:rPr>
          <w:lang w:val="en-GB"/>
        </w:rPr>
      </w:pPr>
      <w:r w:rsidRPr="003A6023">
        <w:rPr>
          <w:rStyle w:val="Refdenotaalfinal"/>
          <w:lang w:val="en-GB"/>
        </w:rPr>
        <w:footnoteRef/>
      </w:r>
      <w:r w:rsidR="004F2531" w:rsidRPr="004F2531">
        <w:rPr>
          <w:vertAlign w:val="superscript"/>
          <w:lang w:val="en-GB"/>
        </w:rPr>
        <w:t>62</w:t>
      </w:r>
      <w:r w:rsidRPr="003A6023">
        <w:rPr>
          <w:lang w:val="en-GB"/>
        </w:rPr>
        <w:t xml:space="preserve"> Not</w:t>
      </w:r>
      <w:r w:rsidR="00BA2864">
        <w:rPr>
          <w:lang w:val="en-GB"/>
        </w:rPr>
        <w:t>e</w:t>
      </w:r>
      <w:r w:rsidRPr="003A6023">
        <w:rPr>
          <w:lang w:val="en-GB"/>
        </w:rPr>
        <w:t xml:space="preserve"> Verbal</w:t>
      </w:r>
      <w:r w:rsidR="00BA2864">
        <w:rPr>
          <w:lang w:val="en-GB"/>
        </w:rPr>
        <w:t>e</w:t>
      </w:r>
      <w:r w:rsidRPr="003A6023">
        <w:rPr>
          <w:lang w:val="en-GB"/>
        </w:rPr>
        <w:t xml:space="preserve"> </w:t>
      </w:r>
      <w:r w:rsidR="00BA2864">
        <w:rPr>
          <w:lang w:val="en-GB"/>
        </w:rPr>
        <w:t xml:space="preserve">dated </w:t>
      </w:r>
      <w:r w:rsidRPr="003A6023">
        <w:rPr>
          <w:lang w:val="en-GB"/>
        </w:rPr>
        <w:t xml:space="preserve">8 September 2017 </w:t>
      </w:r>
      <w:r w:rsidR="00BA2864">
        <w:rPr>
          <w:lang w:val="en-GB"/>
        </w:rPr>
        <w:t xml:space="preserve">addressed to the </w:t>
      </w:r>
      <w:r w:rsidRPr="003A6023">
        <w:rPr>
          <w:lang w:val="en-GB"/>
        </w:rPr>
        <w:t xml:space="preserve">President </w:t>
      </w:r>
      <w:r w:rsidR="00BA2864">
        <w:rPr>
          <w:lang w:val="en-GB"/>
        </w:rPr>
        <w:t xml:space="preserve">of the </w:t>
      </w:r>
      <w:r w:rsidR="00BA2864" w:rsidRPr="003A6023">
        <w:rPr>
          <w:lang w:val="en-GB"/>
        </w:rPr>
        <w:t xml:space="preserve">General </w:t>
      </w:r>
      <w:r w:rsidRPr="003A6023">
        <w:rPr>
          <w:lang w:val="en-GB"/>
        </w:rPr>
        <w:t>A</w:t>
      </w:r>
      <w:r w:rsidR="00BA2864">
        <w:rPr>
          <w:lang w:val="en-GB"/>
        </w:rPr>
        <w:t>s</w:t>
      </w:r>
      <w:r w:rsidRPr="003A6023">
        <w:rPr>
          <w:lang w:val="en-GB"/>
        </w:rPr>
        <w:t>s</w:t>
      </w:r>
      <w:r w:rsidR="00BA2864">
        <w:rPr>
          <w:lang w:val="en-GB"/>
        </w:rPr>
        <w:t xml:space="preserve">embly by the </w:t>
      </w:r>
      <w:r w:rsidRPr="003A6023">
        <w:rPr>
          <w:lang w:val="en-GB"/>
        </w:rPr>
        <w:t xml:space="preserve">Permanent Mission of Spain to the UN in New York. Available at </w:t>
      </w:r>
      <w:hyperlink r:id="rId25" w:history="1">
        <w:r w:rsidR="00002656" w:rsidRPr="00394BFC">
          <w:rPr>
            <w:rStyle w:val="Hipervnculo"/>
            <w:lang w:val="en-GB"/>
          </w:rPr>
          <w:t>https://undocs.org/en/A/72/395</w:t>
        </w:r>
      </w:hyperlink>
      <w:bookmarkStart w:id="0" w:name="_GoBack"/>
      <w:bookmarkEnd w:id="0"/>
      <w:r w:rsidR="00002656" w:rsidRPr="00394BFC">
        <w:rPr>
          <w:lang w:val="en-GB"/>
        </w:rPr>
        <w:t xml:space="preserve"> </w:t>
      </w:r>
    </w:p>
    <w:p w14:paraId="4FBB027C" w14:textId="2C6C44BB" w:rsidR="00816067" w:rsidRPr="003A6023" w:rsidRDefault="00816067" w:rsidP="00816067">
      <w:pPr>
        <w:pStyle w:val="Textonotaalfinal"/>
        <w:jc w:val="both"/>
        <w:rPr>
          <w:lang w:val="en-GB"/>
        </w:rPr>
      </w:pPr>
      <w:r w:rsidRPr="003A6023">
        <w:rPr>
          <w:vertAlign w:val="superscript"/>
          <w:lang w:val="en-GB"/>
        </w:rPr>
        <w:footnoteRef/>
      </w:r>
      <w:r w:rsidR="004F2531">
        <w:rPr>
          <w:vertAlign w:val="superscript"/>
          <w:lang w:val="en-GB"/>
        </w:rPr>
        <w:t>63</w:t>
      </w:r>
      <w:r w:rsidRPr="003A6023">
        <w:rPr>
          <w:vertAlign w:val="superscript"/>
          <w:lang w:val="en-GB"/>
        </w:rPr>
        <w:t xml:space="preserve"> </w:t>
      </w:r>
      <w:r w:rsidR="00BA2864">
        <w:rPr>
          <w:lang w:val="en-GB"/>
        </w:rPr>
        <w:t xml:space="preserve">In which </w:t>
      </w:r>
      <w:r w:rsidRPr="003A6023">
        <w:rPr>
          <w:lang w:val="en-GB"/>
        </w:rPr>
        <w:t>OHCHR, United Nations Population Fund (UNFPA), UPR</w:t>
      </w:r>
      <w:r w:rsidR="00426E67">
        <w:rPr>
          <w:lang w:val="en-GB"/>
        </w:rPr>
        <w:t xml:space="preserve"> </w:t>
      </w:r>
      <w:r w:rsidRPr="003A6023">
        <w:rPr>
          <w:lang w:val="en-GB"/>
        </w:rPr>
        <w:t>Info and our NHRI</w:t>
      </w:r>
      <w:r w:rsidR="00FF4BB0">
        <w:rPr>
          <w:lang w:val="en-GB"/>
        </w:rPr>
        <w:t xml:space="preserve"> </w:t>
      </w:r>
      <w:r w:rsidR="00FF4BB0" w:rsidRPr="003A6023">
        <w:rPr>
          <w:lang w:val="en-GB"/>
        </w:rPr>
        <w:t>participa</w:t>
      </w:r>
      <w:r w:rsidR="00FF4BB0">
        <w:rPr>
          <w:lang w:val="en-GB"/>
        </w:rPr>
        <w:t>ted</w:t>
      </w:r>
      <w:r w:rsidRPr="003A6023">
        <w:rPr>
          <w:lang w:val="en-GB"/>
        </w:rPr>
        <w:t>.</w:t>
      </w:r>
    </w:p>
    <w:p w14:paraId="545B26C9" w14:textId="259FD751" w:rsidR="00816067" w:rsidRPr="003A6023" w:rsidRDefault="00816067" w:rsidP="00816067">
      <w:pPr>
        <w:pStyle w:val="Textonotaalfinal"/>
        <w:jc w:val="both"/>
        <w:rPr>
          <w:lang w:val="en-GB"/>
        </w:rPr>
      </w:pPr>
      <w:r w:rsidRPr="003A6023">
        <w:rPr>
          <w:vertAlign w:val="superscript"/>
          <w:lang w:val="en-GB"/>
        </w:rPr>
        <w:footnoteRef/>
      </w:r>
      <w:r w:rsidR="004F2531">
        <w:rPr>
          <w:vertAlign w:val="superscript"/>
          <w:lang w:val="en-GB"/>
        </w:rPr>
        <w:t>64</w:t>
      </w:r>
      <w:r w:rsidRPr="003A6023">
        <w:rPr>
          <w:vertAlign w:val="superscript"/>
          <w:lang w:val="en-GB"/>
        </w:rPr>
        <w:t xml:space="preserve"> </w:t>
      </w:r>
      <w:r w:rsidR="00426E67">
        <w:rPr>
          <w:lang w:val="en-GB" w:eastAsia="en-US"/>
        </w:rPr>
        <w:t>Among them</w:t>
      </w:r>
      <w:r w:rsidRPr="003A6023">
        <w:rPr>
          <w:lang w:val="en-GB" w:eastAsia="en-US"/>
        </w:rPr>
        <w:t xml:space="preserve">, the commitment to the just transition, </w:t>
      </w:r>
      <w:r w:rsidR="00426E67">
        <w:rPr>
          <w:lang w:val="en-GB" w:eastAsia="en-US"/>
        </w:rPr>
        <w:t xml:space="preserve">the commitment to </w:t>
      </w:r>
      <w:r w:rsidR="009B3EF7">
        <w:rPr>
          <w:lang w:val="en-GB" w:eastAsia="en-US"/>
        </w:rPr>
        <w:t>Gender and Climate Change</w:t>
      </w:r>
      <w:r w:rsidRPr="003A6023">
        <w:rPr>
          <w:lang w:val="en-GB" w:eastAsia="en-US"/>
        </w:rPr>
        <w:t xml:space="preserve">, </w:t>
      </w:r>
      <w:r w:rsidR="00002656">
        <w:rPr>
          <w:lang w:val="en-GB" w:eastAsia="en-US"/>
        </w:rPr>
        <w:t xml:space="preserve">the commitment to </w:t>
      </w:r>
      <w:r w:rsidR="009B3EF7">
        <w:rPr>
          <w:lang w:val="en-GB" w:eastAsia="en-US"/>
        </w:rPr>
        <w:t>Climate Change and Youth</w:t>
      </w:r>
      <w:r w:rsidRPr="003A6023">
        <w:rPr>
          <w:lang w:val="en-GB" w:eastAsia="en-US"/>
        </w:rPr>
        <w:t xml:space="preserve">, the commitment to achieve climate neutrality by 2050 and </w:t>
      </w:r>
      <w:r w:rsidR="009B3EF7">
        <w:rPr>
          <w:lang w:val="en-GB" w:eastAsia="en-US"/>
        </w:rPr>
        <w:t xml:space="preserve">to </w:t>
      </w:r>
      <w:r w:rsidRPr="003A6023">
        <w:rPr>
          <w:lang w:val="en-GB" w:eastAsia="en-US"/>
        </w:rPr>
        <w:t xml:space="preserve">raise the ambition of our </w:t>
      </w:r>
      <w:r w:rsidR="009B3EF7">
        <w:rPr>
          <w:lang w:val="en-GB" w:eastAsia="en-US"/>
        </w:rPr>
        <w:t>nationally determined</w:t>
      </w:r>
      <w:r w:rsidRPr="003A6023">
        <w:rPr>
          <w:lang w:val="en-GB" w:eastAsia="en-US"/>
        </w:rPr>
        <w:t xml:space="preserve"> contribution and the commitment to </w:t>
      </w:r>
      <w:r w:rsidR="00002656">
        <w:rPr>
          <w:lang w:val="en-GB" w:eastAsia="en-US"/>
        </w:rPr>
        <w:t xml:space="preserve">join the </w:t>
      </w:r>
      <w:r w:rsidRPr="003A6023">
        <w:rPr>
          <w:i/>
          <w:lang w:val="en-GB" w:eastAsia="en-US"/>
        </w:rPr>
        <w:t>Call for Action: Raising Ambition for Climate Adaptation and Resilience</w:t>
      </w:r>
    </w:p>
    <w:p w14:paraId="47EBE1C2" w14:textId="00A31BEE" w:rsidR="00816067" w:rsidRPr="003A6023" w:rsidRDefault="00816067" w:rsidP="00816067">
      <w:pPr>
        <w:rPr>
          <w:lang w:val="en-GB"/>
        </w:rPr>
      </w:pPr>
      <w:r w:rsidRPr="003A6023">
        <w:rPr>
          <w:vertAlign w:val="superscript"/>
          <w:lang w:val="en-GB"/>
        </w:rPr>
        <w:footnoteRef/>
      </w:r>
      <w:r w:rsidR="004F2531">
        <w:rPr>
          <w:vertAlign w:val="superscript"/>
          <w:lang w:val="en-GB"/>
        </w:rPr>
        <w:t>65</w:t>
      </w:r>
      <w:r w:rsidRPr="003A6023">
        <w:rPr>
          <w:vertAlign w:val="superscript"/>
          <w:lang w:val="en-GB"/>
        </w:rPr>
        <w:t xml:space="preserve"> </w:t>
      </w:r>
      <w:r w:rsidRPr="003A6023">
        <w:rPr>
          <w:lang w:val="en-GB"/>
        </w:rPr>
        <w:t xml:space="preserve">Recognized </w:t>
      </w:r>
      <w:r w:rsidRPr="003A6023">
        <w:rPr>
          <w:lang w:val="en-GB" w:eastAsia="en-US"/>
        </w:rPr>
        <w:t>in Article 27 of the Universal Declaration of Human Rights and in Article 15 of the International Covenant on Economic, Social and Cultural Rights.</w:t>
      </w:r>
    </w:p>
    <w:sectPr w:rsidR="00816067" w:rsidRPr="003A6023">
      <w:headerReference w:type="even" r:id="rId26"/>
      <w:headerReference w:type="default" r:id="rId27"/>
      <w:footerReference w:type="even" r:id="rId28"/>
      <w:footerReference w:type="default" r:id="rId29"/>
      <w:headerReference w:type="first" r:id="rId30"/>
      <w:footerReference w:type="first" r:id="rId3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2E04A" w16cid:durableId="21BF1C8C"/>
  <w16cid:commentId w16cid:paraId="055B6802" w16cid:durableId="21BF3D11"/>
  <w16cid:commentId w16cid:paraId="50C5B2DE" w16cid:durableId="21BF1CD3"/>
  <w16cid:commentId w16cid:paraId="4A55C730" w16cid:durableId="21BF3D5A"/>
  <w16cid:commentId w16cid:paraId="1AE6360C" w16cid:durableId="21BF3DF7"/>
  <w16cid:commentId w16cid:paraId="45BA8E5F" w16cid:durableId="21BF3E9F"/>
  <w16cid:commentId w16cid:paraId="3F40A92B" w16cid:durableId="21B9D7D1"/>
  <w16cid:commentId w16cid:paraId="5A730423" w16cid:durableId="21BF4024"/>
  <w16cid:commentId w16cid:paraId="2CC92489" w16cid:durableId="21BF4799"/>
  <w16cid:commentId w16cid:paraId="54A40488" w16cid:durableId="21BF4A11"/>
  <w16cid:commentId w16cid:paraId="5334EFAA" w16cid:durableId="21BED001"/>
  <w16cid:commentId w16cid:paraId="38170012" w16cid:durableId="21BED3E5"/>
  <w16cid:commentId w16cid:paraId="3BB2E3A4" w16cid:durableId="21BF4B1E"/>
  <w16cid:commentId w16cid:paraId="5BF69391" w16cid:durableId="21BED515"/>
  <w16cid:commentId w16cid:paraId="271D1653" w16cid:durableId="21BF4D40"/>
  <w16cid:commentId w16cid:paraId="66AD999F" w16cid:durableId="21BF4DDE"/>
  <w16cid:commentId w16cid:paraId="67DF9F95" w16cid:durableId="21BF4EAB"/>
  <w16cid:commentId w16cid:paraId="3ED0BA20" w16cid:durableId="21BF4F01"/>
  <w16cid:commentId w16cid:paraId="252CA556" w16cid:durableId="21BF4FE3"/>
  <w16cid:commentId w16cid:paraId="4F02D549" w16cid:durableId="21BF505A"/>
  <w16cid:commentId w16cid:paraId="022D4968" w16cid:durableId="21BF518E"/>
  <w16cid:commentId w16cid:paraId="079D6438" w16cid:durableId="21BF5437"/>
  <w16cid:commentId w16cid:paraId="59A2EEE0" w16cid:durableId="21BF5547"/>
  <w16cid:commentId w16cid:paraId="5BC681D4" w16cid:durableId="21BF5562"/>
  <w16cid:commentId w16cid:paraId="6498370E" w16cid:durableId="21BF55D3"/>
  <w16cid:commentId w16cid:paraId="5095816A" w16cid:durableId="21BF5775"/>
  <w16cid:commentId w16cid:paraId="4423B196" w16cid:durableId="21BF2507"/>
  <w16cid:commentId w16cid:paraId="2EA69A5C" w16cid:durableId="21B9D7D2"/>
  <w16cid:commentId w16cid:paraId="487C76B1" w16cid:durableId="21B9D7D3"/>
  <w16cid:commentId w16cid:paraId="2E8C4AE1" w16cid:durableId="21BF2975"/>
  <w16cid:commentId w16cid:paraId="179FBE9B" w16cid:durableId="21BF25BB"/>
  <w16cid:commentId w16cid:paraId="29CC4965" w16cid:durableId="21BF1B7C"/>
  <w16cid:commentId w16cid:paraId="29F15DED" w16cid:durableId="21BF1B82"/>
  <w16cid:commentId w16cid:paraId="416F0E6F" w16cid:durableId="21BF1BDF"/>
  <w16cid:commentId w16cid:paraId="69E231C6" w16cid:durableId="21B9D7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BAF1" w14:textId="77777777" w:rsidR="00B10390" w:rsidRPr="003A6023" w:rsidRDefault="00B10390" w:rsidP="00816067">
      <w:pPr>
        <w:rPr>
          <w:lang w:val="en-GB"/>
        </w:rPr>
      </w:pPr>
      <w:r w:rsidRPr="003A6023">
        <w:rPr>
          <w:lang w:val="en-GB"/>
        </w:rPr>
        <w:separator/>
      </w:r>
    </w:p>
  </w:endnote>
  <w:endnote w:type="continuationSeparator" w:id="0">
    <w:p w14:paraId="0FE8663F" w14:textId="77777777" w:rsidR="00B10390" w:rsidRPr="003A6023" w:rsidRDefault="00B10390" w:rsidP="00816067">
      <w:pPr>
        <w:rPr>
          <w:lang w:val="en-GB"/>
        </w:rPr>
      </w:pPr>
      <w:r w:rsidRPr="003A6023">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9F2B" w14:textId="77777777" w:rsidR="000E639A" w:rsidRPr="003A6023" w:rsidRDefault="000E639A">
    <w:pPr>
      <w:pStyle w:val="Piedepgina"/>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A42D" w14:textId="77777777" w:rsidR="000E639A" w:rsidRPr="003A6023" w:rsidRDefault="000E639A">
    <w:pPr>
      <w:pStyle w:val="Piedepgina"/>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C522" w14:textId="77777777" w:rsidR="000E639A" w:rsidRPr="003A6023" w:rsidRDefault="000E639A">
    <w:pPr>
      <w:pStyle w:val="Piedepgina"/>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B002" w14:textId="77777777" w:rsidR="00B10390" w:rsidRPr="003A6023" w:rsidRDefault="00B10390" w:rsidP="00816067">
      <w:pPr>
        <w:rPr>
          <w:lang w:val="en-GB"/>
        </w:rPr>
      </w:pPr>
      <w:r w:rsidRPr="003A6023">
        <w:rPr>
          <w:lang w:val="en-GB"/>
        </w:rPr>
        <w:separator/>
      </w:r>
    </w:p>
  </w:footnote>
  <w:footnote w:type="continuationSeparator" w:id="0">
    <w:p w14:paraId="55AD9BFE" w14:textId="77777777" w:rsidR="00B10390" w:rsidRPr="003A6023" w:rsidRDefault="00B10390" w:rsidP="00816067">
      <w:pPr>
        <w:rPr>
          <w:lang w:val="en-GB"/>
        </w:rPr>
      </w:pPr>
      <w:r w:rsidRPr="003A6023">
        <w:rPr>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98A7" w14:textId="77777777" w:rsidR="000E639A" w:rsidRPr="003A6023" w:rsidRDefault="000E639A">
    <w:pPr>
      <w:pStyle w:val="Encabezado"/>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F229" w14:textId="77777777" w:rsidR="000E639A" w:rsidRPr="003A6023" w:rsidRDefault="000E639A">
    <w:pPr>
      <w:pStyle w:val="Encabezado"/>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4CE0" w14:textId="77777777" w:rsidR="000E639A" w:rsidRPr="003A6023" w:rsidRDefault="000E639A">
    <w:pPr>
      <w:pStyle w:val="Encabezado"/>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B5"/>
    <w:rsid w:val="00002656"/>
    <w:rsid w:val="000152EE"/>
    <w:rsid w:val="000514C9"/>
    <w:rsid w:val="000E639A"/>
    <w:rsid w:val="0010672D"/>
    <w:rsid w:val="001372EA"/>
    <w:rsid w:val="00183D92"/>
    <w:rsid w:val="001D3BB9"/>
    <w:rsid w:val="001D45B6"/>
    <w:rsid w:val="00207906"/>
    <w:rsid w:val="002165EB"/>
    <w:rsid w:val="0021791B"/>
    <w:rsid w:val="002246D3"/>
    <w:rsid w:val="00290533"/>
    <w:rsid w:val="002B68B5"/>
    <w:rsid w:val="002F407D"/>
    <w:rsid w:val="003243EC"/>
    <w:rsid w:val="00346D74"/>
    <w:rsid w:val="00394BFC"/>
    <w:rsid w:val="00395797"/>
    <w:rsid w:val="003A01EE"/>
    <w:rsid w:val="003A6023"/>
    <w:rsid w:val="003A616D"/>
    <w:rsid w:val="003D28D5"/>
    <w:rsid w:val="00403A2E"/>
    <w:rsid w:val="0040504C"/>
    <w:rsid w:val="00426E67"/>
    <w:rsid w:val="00452891"/>
    <w:rsid w:val="00497F3C"/>
    <w:rsid w:val="004F2531"/>
    <w:rsid w:val="00505990"/>
    <w:rsid w:val="005146D9"/>
    <w:rsid w:val="005E04C2"/>
    <w:rsid w:val="005F0113"/>
    <w:rsid w:val="006744F7"/>
    <w:rsid w:val="00675740"/>
    <w:rsid w:val="007806A4"/>
    <w:rsid w:val="0078116D"/>
    <w:rsid w:val="007A0596"/>
    <w:rsid w:val="007B4C62"/>
    <w:rsid w:val="00804313"/>
    <w:rsid w:val="008102B5"/>
    <w:rsid w:val="00816067"/>
    <w:rsid w:val="00826BC7"/>
    <w:rsid w:val="0084106C"/>
    <w:rsid w:val="008948F0"/>
    <w:rsid w:val="008A6646"/>
    <w:rsid w:val="009072DC"/>
    <w:rsid w:val="00951453"/>
    <w:rsid w:val="009A4706"/>
    <w:rsid w:val="009B3EF7"/>
    <w:rsid w:val="00A118F5"/>
    <w:rsid w:val="00A1679E"/>
    <w:rsid w:val="00A368E5"/>
    <w:rsid w:val="00A92FEE"/>
    <w:rsid w:val="00AA66ED"/>
    <w:rsid w:val="00AE0D44"/>
    <w:rsid w:val="00B10390"/>
    <w:rsid w:val="00B11B96"/>
    <w:rsid w:val="00B36837"/>
    <w:rsid w:val="00BA2864"/>
    <w:rsid w:val="00BE6C99"/>
    <w:rsid w:val="00C153EE"/>
    <w:rsid w:val="00C179B8"/>
    <w:rsid w:val="00CA5DFF"/>
    <w:rsid w:val="00CE490F"/>
    <w:rsid w:val="00CF7801"/>
    <w:rsid w:val="00D05729"/>
    <w:rsid w:val="00D37F68"/>
    <w:rsid w:val="00DC026F"/>
    <w:rsid w:val="00DC3F6D"/>
    <w:rsid w:val="00E212B7"/>
    <w:rsid w:val="00E265F8"/>
    <w:rsid w:val="00E375AC"/>
    <w:rsid w:val="00E440E3"/>
    <w:rsid w:val="00E71B4F"/>
    <w:rsid w:val="00E94D83"/>
    <w:rsid w:val="00EB6272"/>
    <w:rsid w:val="00EC15C6"/>
    <w:rsid w:val="00EF7FF8"/>
    <w:rsid w:val="00F01EDD"/>
    <w:rsid w:val="00F027F9"/>
    <w:rsid w:val="00F36661"/>
    <w:rsid w:val="00FF43A7"/>
    <w:rsid w:val="00FF4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BB5E"/>
  <w15:docId w15:val="{A734F320-EF6A-44FA-86BF-D6E8405F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B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B68B5"/>
    <w:rPr>
      <w:color w:val="0000FF"/>
      <w:u w:val="single"/>
    </w:rPr>
  </w:style>
  <w:style w:type="paragraph" w:styleId="Textonotaalfinal">
    <w:name w:val="endnote text"/>
    <w:basedOn w:val="Normal"/>
    <w:link w:val="TextonotaalfinalCar"/>
    <w:rsid w:val="002B68B5"/>
  </w:style>
  <w:style w:type="character" w:customStyle="1" w:styleId="TextonotaalfinalCar">
    <w:name w:val="Texto nota al final Car"/>
    <w:basedOn w:val="Fuentedeprrafopredeter"/>
    <w:link w:val="Textonotaalfinal"/>
    <w:rsid w:val="002B68B5"/>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rsid w:val="002B68B5"/>
    <w:rPr>
      <w:vertAlign w:val="superscript"/>
    </w:rPr>
  </w:style>
  <w:style w:type="paragraph" w:styleId="Encabezado">
    <w:name w:val="header"/>
    <w:basedOn w:val="Normal"/>
    <w:link w:val="EncabezadoCar"/>
    <w:uiPriority w:val="99"/>
    <w:unhideWhenUsed/>
    <w:rsid w:val="00816067"/>
    <w:pPr>
      <w:tabs>
        <w:tab w:val="center" w:pos="4252"/>
        <w:tab w:val="right" w:pos="8504"/>
      </w:tabs>
    </w:pPr>
  </w:style>
  <w:style w:type="character" w:customStyle="1" w:styleId="EncabezadoCar">
    <w:name w:val="Encabezado Car"/>
    <w:basedOn w:val="Fuentedeprrafopredeter"/>
    <w:link w:val="Encabezado"/>
    <w:uiPriority w:val="99"/>
    <w:rsid w:val="0081606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16067"/>
    <w:pPr>
      <w:tabs>
        <w:tab w:val="center" w:pos="4252"/>
        <w:tab w:val="right" w:pos="8504"/>
      </w:tabs>
    </w:pPr>
  </w:style>
  <w:style w:type="character" w:customStyle="1" w:styleId="PiedepginaCar">
    <w:name w:val="Pie de página Car"/>
    <w:basedOn w:val="Fuentedeprrafopredeter"/>
    <w:link w:val="Piedepgina"/>
    <w:uiPriority w:val="99"/>
    <w:rsid w:val="00816067"/>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118F5"/>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8F5"/>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F36661"/>
    <w:rPr>
      <w:b/>
      <w:bCs/>
    </w:rPr>
  </w:style>
  <w:style w:type="character" w:customStyle="1" w:styleId="AsuntodelcomentarioCar">
    <w:name w:val="Asunto del comentario Car"/>
    <w:basedOn w:val="TextocomentarioCar"/>
    <w:link w:val="Asuntodelcomentario"/>
    <w:uiPriority w:val="99"/>
    <w:semiHidden/>
    <w:rsid w:val="00F36661"/>
    <w:rPr>
      <w:rFonts w:ascii="Times New Roman" w:eastAsia="Times New Roman" w:hAnsi="Times New Roman" w:cs="Times New Roman"/>
      <w:b/>
      <w:bCs/>
      <w:sz w:val="20"/>
      <w:szCs w:val="20"/>
      <w:lang w:val="es-ES_tradnl" w:eastAsia="es-ES"/>
    </w:rPr>
  </w:style>
  <w:style w:type="character" w:styleId="Hipervnculovisitado">
    <w:name w:val="FollowedHyperlink"/>
    <w:basedOn w:val="Fuentedeprrafopredeter"/>
    <w:uiPriority w:val="99"/>
    <w:semiHidden/>
    <w:unhideWhenUsed/>
    <w:rsid w:val="00F36661"/>
    <w:rPr>
      <w:color w:val="954F72" w:themeColor="followedHyperlink"/>
      <w:u w:val="single"/>
    </w:rPr>
  </w:style>
  <w:style w:type="character" w:customStyle="1" w:styleId="UnresolvedMention">
    <w:name w:val="Unresolved Mention"/>
    <w:basedOn w:val="Fuentedeprrafopredeter"/>
    <w:uiPriority w:val="99"/>
    <w:semiHidden/>
    <w:unhideWhenUsed/>
    <w:rsid w:val="00781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9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eco.gob.es/stfls/mineco/ministerio/ficheros/libreria/LibroBlancoFINAL.pdf" TargetMode="External"/><Relationship Id="rId18" Type="http://schemas.openxmlformats.org/officeDocument/2006/relationships/hyperlink" Target="http://www.inclusio.gva.es/documents/610740/167361274/Guia+de+Uso+seguro+responsable+Inet+Menores+Profesionales+Protecci%C3%B3n+Infancia+v1/c4a75e0e-f19b-4376-a597-e776d9b31047" TargetMode="External"/><Relationship Id="rId26" Type="http://schemas.openxmlformats.org/officeDocument/2006/relationships/header" Target="header1.xml"/><Relationship Id="rId21" Type="http://schemas.openxmlformats.org/officeDocument/2006/relationships/hyperlink" Target="http://www.poderjudicial.es/stfls/SALA%20DE%20PRENSA/DOCUMENTOS%20DE%20INTERES/Guia%20de%20criterios.%20de%20actuaci%C3%B3n%20judicial%20frente%20a%20la%20trata%20de%20serres%20humanos.pdf" TargetMode="External"/><Relationship Id="rId7" Type="http://schemas.openxmlformats.org/officeDocument/2006/relationships/hyperlink" Target="https://www.ohchr.org/Documents/HRBodies/UPR/3rdCycle_GuidanceNotePreparationReports_EN.docx" TargetMode="External"/><Relationship Id="rId12" Type="http://schemas.openxmlformats.org/officeDocument/2006/relationships/hyperlink" Target="http://www.mitramiss.gob.es/es/destacados/HOME/documentos/Informe_mujeres_febrero_2019.pdf" TargetMode="External"/><Relationship Id="rId17" Type="http://schemas.openxmlformats.org/officeDocument/2006/relationships/hyperlink" Target="http://www.observatoriodelainfancia.msssi.gob.es" TargetMode="External"/><Relationship Id="rId25" Type="http://schemas.openxmlformats.org/officeDocument/2006/relationships/hyperlink" Target="https://undocs.org/en/A/72/395" TargetMode="External"/><Relationship Id="rId33" Type="http://schemas.openxmlformats.org/officeDocument/2006/relationships/theme" Target="theme/theme1.xm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www.mscbs.gob.es/ciudadanos/enfLesiones/enfTransmisibles/sida/doc/PactoSocial_nov2018.pdf" TargetMode="External"/><Relationship Id="rId20" Type="http://schemas.openxmlformats.org/officeDocument/2006/relationships/hyperlink" Target="http://www.interior.gob.es/documents/10180/7146983/Balance_2017_Trata.pdf/153296b3-be9b-44be-921d-0b034f772a76"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ib.ohchr.org/HRBodies/UPR/Documents/Session21/ES/Report2ndCycle.PDF" TargetMode="External"/><Relationship Id="rId11" Type="http://schemas.openxmlformats.org/officeDocument/2006/relationships/hyperlink" Target="http://www.violenciagenero.igualdad.mpr.gob.es/violenciaEnCifras/estudios/investigaciones/2019/estudio/Tiempo_Tardan_Verbalizar_Situacion.htm" TargetMode="External"/><Relationship Id="rId24" Type="http://schemas.openxmlformats.org/officeDocument/2006/relationships/hyperlink" Target="https://www.boe.es/diario_boe/txt.php?id=BOE-A-2019-9508" TargetMode="External"/><Relationship Id="rId32" Type="http://schemas.openxmlformats.org/officeDocument/2006/relationships/fontTable" Target="fontTable.xml"/><Relationship Id="rId37"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www.mitramiss.gob.es/oberaxe/es/creadi/index.htm" TargetMode="External"/><Relationship Id="rId23" Type="http://schemas.openxmlformats.org/officeDocument/2006/relationships/hyperlink" Target="https://sede.educacion.gob.es/publiventa/viii-premio-nacional-de-educacion-para-el-desarrollo-vicente-ferrer/ensenanza-sociologia/22494" TargetMode="External"/><Relationship Id="rId28" Type="http://schemas.openxmlformats.org/officeDocument/2006/relationships/footer" Target="footer1.xml"/><Relationship Id="rId36" Type="http://schemas.openxmlformats.org/officeDocument/2006/relationships/customXml" Target="../customXml/item1.xml"/><Relationship Id="rId10" Type="http://schemas.openxmlformats.org/officeDocument/2006/relationships/hyperlink" Target="http://www.violenciagenero.igualdad.mpr.gob.es/pactoEstado/home.htm" TargetMode="External"/><Relationship Id="rId19" Type="http://schemas.openxmlformats.org/officeDocument/2006/relationships/hyperlink" Target="https://www.cnmv.es/Portal/consultas/busqueda.aspx?id=25"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ohchr.org/EN/AboutUs/Pages/OurDonors.aspx" TargetMode="External"/><Relationship Id="rId14" Type="http://schemas.openxmlformats.org/officeDocument/2006/relationships/hyperlink" Target="http://www.interior.gob.es/documents/10180/7146983/ESTUDIO+INCIDENTES+DELITOS+DE+ODIO+2017+v3.pdf/5d9f1996-87ee-4e30-bff4-e2c68fade874" TargetMode="External"/><Relationship Id="rId22" Type="http://schemas.openxmlformats.org/officeDocument/2006/relationships/hyperlink" Target="https://www.educacionyfp.gob.es/educacion/mc/cniie/convivencia-escolar/instrumentos/acoso-escolar.html"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6/09/relationships/commentsIds" Target="commentsIds.xml"/><Relationship Id="rId8" Type="http://schemas.openxmlformats.org/officeDocument/2006/relationships/hyperlink" Target="http://www.exteriores.gob.es/Portal/es/PoliticaExteriorCooperacion/DerechosHumanos/Paginas/Examen-Peri%C3%B3dico-Universal.aspx"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EF88DF-7881-4668-B55E-249BD41A3558}"/>
</file>

<file path=customXml/itemProps2.xml><?xml version="1.0" encoding="utf-8"?>
<ds:datastoreItem xmlns:ds="http://schemas.openxmlformats.org/officeDocument/2006/customXml" ds:itemID="{67CF1772-2E4A-447E-965E-88D11D6748E5}"/>
</file>

<file path=customXml/itemProps3.xml><?xml version="1.0" encoding="utf-8"?>
<ds:datastoreItem xmlns:ds="http://schemas.openxmlformats.org/officeDocument/2006/customXml" ds:itemID="{4C81491D-FF60-46C6-B6A8-D7FC79B1D342}"/>
</file>

<file path=docProps/app.xml><?xml version="1.0" encoding="utf-8"?>
<Properties xmlns="http://schemas.openxmlformats.org/officeDocument/2006/extended-properties" xmlns:vt="http://schemas.openxmlformats.org/officeDocument/2006/docPropsVTypes">
  <Template>Normal</Template>
  <TotalTime>161</TotalTime>
  <Pages>6</Pages>
  <Words>3965</Words>
  <Characters>21812</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MAEC</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De Murcia, Mireya Cecilia</dc:creator>
  <cp:lastModifiedBy>Garcia De Murcia, Mireya Cecilia</cp:lastModifiedBy>
  <cp:revision>34</cp:revision>
  <dcterms:created xsi:type="dcterms:W3CDTF">2020-01-08T08:57:00Z</dcterms:created>
  <dcterms:modified xsi:type="dcterms:W3CDTF">2020-01-13T11:59:00Z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1474200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