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Compilation on</w:t>
      </w:r>
      <w:r w:rsidR="004453BD" w:rsidRPr="004453BD">
        <w:rPr>
          <w:b w:val="0"/>
          <w:sz w:val="20"/>
        </w:rPr>
        <w:t xml:space="preserve"> </w:t>
      </w:r>
      <w:r w:rsidR="004453BD" w:rsidRPr="004453BD">
        <w:t>El Salvador</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4453BD" w:rsidRPr="00496F2A">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4453BD" w:rsidRPr="00496F2A">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4453BD" w:rsidRPr="004453BD" w:rsidRDefault="004453BD" w:rsidP="004453BD">
            <w:pPr>
              <w:spacing w:before="40" w:after="120"/>
              <w:ind w:right="113"/>
            </w:pPr>
            <w:r w:rsidRPr="004453BD">
              <w:t>ICERD (1979)</w:t>
            </w:r>
          </w:p>
          <w:p w:rsidR="004453BD" w:rsidRPr="004453BD" w:rsidRDefault="004453BD" w:rsidP="004453BD">
            <w:pPr>
              <w:spacing w:before="40" w:after="120"/>
              <w:ind w:right="113"/>
            </w:pPr>
            <w:r w:rsidRPr="004453BD">
              <w:t>ICESCR (1979)</w:t>
            </w:r>
          </w:p>
          <w:p w:rsidR="004453BD" w:rsidRPr="004453BD" w:rsidRDefault="004453BD" w:rsidP="004453BD">
            <w:pPr>
              <w:spacing w:before="40" w:after="120"/>
              <w:ind w:right="113"/>
            </w:pPr>
            <w:r w:rsidRPr="004453BD">
              <w:t>ICCPR (1979)</w:t>
            </w:r>
          </w:p>
          <w:p w:rsidR="004453BD" w:rsidRPr="004453BD" w:rsidRDefault="004453BD" w:rsidP="004453BD">
            <w:pPr>
              <w:spacing w:before="40" w:after="120"/>
              <w:ind w:right="113"/>
            </w:pPr>
            <w:r w:rsidRPr="004453BD">
              <w:t>ICCPR-OP 2 (2014)</w:t>
            </w:r>
          </w:p>
          <w:p w:rsidR="004453BD" w:rsidRPr="004453BD" w:rsidRDefault="004453BD" w:rsidP="004453BD">
            <w:pPr>
              <w:spacing w:before="40" w:after="120"/>
              <w:ind w:right="113"/>
            </w:pPr>
            <w:r w:rsidRPr="004453BD">
              <w:t>CEDAW (1981)</w:t>
            </w:r>
          </w:p>
          <w:p w:rsidR="004453BD" w:rsidRPr="004453BD" w:rsidRDefault="004453BD" w:rsidP="004453BD">
            <w:pPr>
              <w:spacing w:before="40" w:after="120"/>
              <w:ind w:right="113"/>
            </w:pPr>
            <w:r w:rsidRPr="004453BD">
              <w:t>CAT (1996)</w:t>
            </w:r>
          </w:p>
          <w:p w:rsidR="004453BD" w:rsidRPr="004453BD" w:rsidRDefault="004453BD" w:rsidP="004453BD">
            <w:pPr>
              <w:spacing w:before="40" w:after="120"/>
              <w:ind w:right="113"/>
            </w:pPr>
            <w:r w:rsidRPr="004453BD">
              <w:t>CRC (1990)</w:t>
            </w:r>
          </w:p>
          <w:p w:rsidR="004453BD" w:rsidRPr="004453BD" w:rsidRDefault="004453BD" w:rsidP="004453BD">
            <w:pPr>
              <w:spacing w:before="40" w:after="120"/>
              <w:ind w:right="113"/>
            </w:pPr>
            <w:r w:rsidRPr="004453BD">
              <w:t>OP-CRC-AC (2002)</w:t>
            </w:r>
          </w:p>
          <w:p w:rsidR="004453BD" w:rsidRPr="004453BD" w:rsidRDefault="004453BD" w:rsidP="004453BD">
            <w:pPr>
              <w:spacing w:before="40" w:after="120"/>
              <w:ind w:right="113"/>
            </w:pPr>
            <w:r w:rsidRPr="004453BD">
              <w:t>OP-CRC-SC (2004)</w:t>
            </w:r>
          </w:p>
          <w:p w:rsidR="004453BD" w:rsidRPr="004453BD" w:rsidRDefault="004453BD" w:rsidP="004453BD">
            <w:pPr>
              <w:spacing w:before="40" w:after="120"/>
              <w:ind w:right="113"/>
            </w:pPr>
            <w:r w:rsidRPr="004453BD">
              <w:t>ICRMW (2003)</w:t>
            </w:r>
          </w:p>
          <w:p w:rsidR="00521F07" w:rsidRPr="00A02BFB" w:rsidRDefault="004453BD" w:rsidP="004453BD">
            <w:pPr>
              <w:spacing w:before="40" w:after="120"/>
              <w:ind w:right="113"/>
            </w:pPr>
            <w:r w:rsidRPr="004453BD">
              <w:t>CRPD (2007)</w:t>
            </w:r>
          </w:p>
        </w:tc>
        <w:tc>
          <w:tcPr>
            <w:tcW w:w="2409" w:type="dxa"/>
            <w:shd w:val="clear" w:color="auto" w:fill="auto"/>
          </w:tcPr>
          <w:p w:rsidR="00A02BFB" w:rsidRPr="00A02BFB" w:rsidRDefault="004453BD" w:rsidP="00A4314D">
            <w:pPr>
              <w:spacing w:before="40" w:after="120"/>
              <w:ind w:right="113"/>
            </w:pPr>
            <w:r>
              <w:t>--</w:t>
            </w:r>
          </w:p>
        </w:tc>
        <w:tc>
          <w:tcPr>
            <w:tcW w:w="2410" w:type="dxa"/>
            <w:shd w:val="clear" w:color="auto" w:fill="auto"/>
          </w:tcPr>
          <w:p w:rsidR="004453BD" w:rsidRPr="004453BD" w:rsidRDefault="004453BD" w:rsidP="004453BD">
            <w:pPr>
              <w:spacing w:before="40" w:after="120"/>
              <w:ind w:right="113"/>
            </w:pPr>
            <w:r w:rsidRPr="004453BD">
              <w:t>OP-CAT</w:t>
            </w:r>
          </w:p>
          <w:p w:rsidR="00A02BFB" w:rsidRPr="00A02BFB" w:rsidRDefault="004453BD" w:rsidP="004453BD">
            <w:pPr>
              <w:spacing w:before="40" w:after="120"/>
              <w:ind w:right="113"/>
            </w:pPr>
            <w:r w:rsidRPr="004453BD">
              <w:t>ICPPED</w:t>
            </w:r>
          </w:p>
        </w:tc>
      </w:tr>
      <w:tr w:rsidR="00A02BFB" w:rsidRPr="00A02BFB" w:rsidTr="0028001D">
        <w:tc>
          <w:tcPr>
            <w:tcW w:w="2410" w:type="dxa"/>
            <w:tcBorders>
              <w:bottom w:val="single" w:sz="12" w:space="0" w:color="auto"/>
            </w:tcBorders>
            <w:shd w:val="clear" w:color="auto" w:fill="auto"/>
          </w:tcPr>
          <w:p w:rsidR="00A02BFB" w:rsidRPr="00A02BFB" w:rsidRDefault="00A4314D" w:rsidP="004453BD">
            <w:pPr>
              <w:spacing w:before="40" w:after="120"/>
              <w:ind w:right="113"/>
            </w:pPr>
            <w:r w:rsidRPr="00A4314D">
              <w:rPr>
                <w:i/>
              </w:rPr>
              <w:t xml:space="preserve">Complaints procedures, inquiries and </w:t>
            </w:r>
            <w:r w:rsidRPr="00A4314D">
              <w:rPr>
                <w:i/>
              </w:rPr>
              <w:br/>
              <w:t>urgent action</w:t>
            </w:r>
            <w:r w:rsidR="004453BD" w:rsidRPr="004453BD">
              <w:rPr>
                <w:i/>
                <w:vertAlign w:val="superscript"/>
              </w:rPr>
              <w:endnoteReference w:id="4"/>
            </w:r>
          </w:p>
        </w:tc>
        <w:tc>
          <w:tcPr>
            <w:tcW w:w="2408" w:type="dxa"/>
            <w:tcBorders>
              <w:bottom w:val="single" w:sz="12" w:space="0" w:color="auto"/>
            </w:tcBorders>
            <w:shd w:val="clear" w:color="auto" w:fill="auto"/>
          </w:tcPr>
          <w:p w:rsidR="004453BD" w:rsidRPr="004453BD" w:rsidRDefault="004453BD" w:rsidP="004453BD">
            <w:pPr>
              <w:spacing w:before="40" w:after="120"/>
              <w:ind w:right="113"/>
            </w:pPr>
            <w:r w:rsidRPr="004453BD">
              <w:t>OP-ICESCR, arts. 10 and 11 (2011)</w:t>
            </w:r>
          </w:p>
          <w:p w:rsidR="004453BD" w:rsidRPr="004453BD" w:rsidRDefault="004453BD" w:rsidP="004453BD">
            <w:pPr>
              <w:spacing w:before="40" w:after="120"/>
              <w:ind w:right="113"/>
            </w:pPr>
            <w:r w:rsidRPr="004453BD">
              <w:t>ICCPR-OP 1 (1995)</w:t>
            </w:r>
          </w:p>
          <w:p w:rsidR="004453BD" w:rsidRPr="004453BD" w:rsidRDefault="004453BD" w:rsidP="004453BD">
            <w:pPr>
              <w:spacing w:before="40" w:after="120"/>
              <w:ind w:right="113"/>
            </w:pPr>
            <w:r w:rsidRPr="004453BD">
              <w:t>OP-CEDAW (signature, 2001)</w:t>
            </w:r>
          </w:p>
          <w:p w:rsidR="004453BD" w:rsidRPr="004453BD" w:rsidRDefault="004453BD" w:rsidP="004453BD">
            <w:pPr>
              <w:spacing w:before="40" w:after="120"/>
              <w:ind w:right="113"/>
            </w:pPr>
            <w:r w:rsidRPr="004453BD">
              <w:t>CAT, art. 20 (1996)</w:t>
            </w:r>
          </w:p>
          <w:p w:rsidR="004453BD" w:rsidRPr="004453BD" w:rsidRDefault="004453BD" w:rsidP="004453BD">
            <w:pPr>
              <w:spacing w:before="40" w:after="120"/>
              <w:ind w:right="113"/>
            </w:pPr>
            <w:r w:rsidRPr="004453BD">
              <w:t>OP-CRC-IC (signature, 2013)</w:t>
            </w:r>
          </w:p>
          <w:p w:rsidR="00A02BFB" w:rsidRPr="00A02BFB" w:rsidRDefault="004453BD" w:rsidP="004453BD">
            <w:pPr>
              <w:spacing w:before="40" w:after="120"/>
              <w:ind w:right="113"/>
            </w:pPr>
            <w:r w:rsidRPr="004453BD">
              <w:t>OP-CRPD, art. 6 (2007)</w:t>
            </w:r>
          </w:p>
        </w:tc>
        <w:tc>
          <w:tcPr>
            <w:tcW w:w="2409" w:type="dxa"/>
            <w:tcBorders>
              <w:bottom w:val="single" w:sz="12" w:space="0" w:color="auto"/>
            </w:tcBorders>
            <w:shd w:val="clear" w:color="auto" w:fill="auto"/>
          </w:tcPr>
          <w:p w:rsidR="004453BD" w:rsidRPr="004453BD" w:rsidRDefault="004453BD" w:rsidP="004453BD">
            <w:pPr>
              <w:spacing w:before="40" w:after="120"/>
              <w:ind w:right="113"/>
            </w:pPr>
            <w:r w:rsidRPr="004453BD">
              <w:t>ICERD, art. 14 (2016)</w:t>
            </w:r>
          </w:p>
          <w:p w:rsidR="004453BD" w:rsidRPr="004453BD" w:rsidRDefault="004453BD" w:rsidP="004453BD">
            <w:pPr>
              <w:spacing w:before="40" w:after="120"/>
              <w:ind w:right="113"/>
            </w:pPr>
            <w:r w:rsidRPr="004453BD">
              <w:t xml:space="preserve">OP-CRC-IC, </w:t>
            </w:r>
            <w:r>
              <w:br/>
            </w:r>
            <w:r w:rsidRPr="004453BD">
              <w:t xml:space="preserve">art. 13 (2015) </w:t>
            </w:r>
          </w:p>
          <w:p w:rsidR="00A02BFB" w:rsidRPr="00A02BFB" w:rsidRDefault="004453BD" w:rsidP="004453BD">
            <w:pPr>
              <w:spacing w:before="40" w:after="120"/>
              <w:ind w:right="113"/>
            </w:pPr>
            <w:r w:rsidRPr="004453BD">
              <w:t>ICRMW, arts. 76 and 77 (2015)</w:t>
            </w:r>
          </w:p>
        </w:tc>
        <w:tc>
          <w:tcPr>
            <w:tcW w:w="2410" w:type="dxa"/>
            <w:tcBorders>
              <w:bottom w:val="single" w:sz="12" w:space="0" w:color="auto"/>
            </w:tcBorders>
            <w:shd w:val="clear" w:color="auto" w:fill="auto"/>
          </w:tcPr>
          <w:p w:rsidR="004453BD" w:rsidRPr="004453BD" w:rsidRDefault="004453BD" w:rsidP="004453BD">
            <w:pPr>
              <w:spacing w:before="40" w:after="120"/>
              <w:ind w:right="113"/>
            </w:pPr>
            <w:r w:rsidRPr="004453BD">
              <w:t>ICCPR, art. 41</w:t>
            </w:r>
          </w:p>
          <w:p w:rsidR="004453BD" w:rsidRPr="004453BD" w:rsidRDefault="004453BD" w:rsidP="004453BD">
            <w:pPr>
              <w:spacing w:before="40" w:after="120"/>
              <w:ind w:right="113"/>
            </w:pPr>
            <w:r w:rsidRPr="004453BD">
              <w:t>OP-CEDAW (signature, 2001)</w:t>
            </w:r>
          </w:p>
          <w:p w:rsidR="004453BD" w:rsidRPr="004453BD" w:rsidRDefault="004453BD" w:rsidP="004453BD">
            <w:pPr>
              <w:spacing w:before="40" w:after="120"/>
              <w:ind w:right="113"/>
            </w:pPr>
            <w:r w:rsidRPr="004453BD">
              <w:t>CAT, arts. 21 and 22</w:t>
            </w:r>
          </w:p>
          <w:p w:rsidR="004453BD" w:rsidRPr="004453BD" w:rsidRDefault="004453BD" w:rsidP="004453BD">
            <w:pPr>
              <w:spacing w:before="40" w:after="120"/>
              <w:ind w:right="113"/>
            </w:pPr>
            <w:r w:rsidRPr="004453BD">
              <w:t>OP-CRC-IC, art. 12</w:t>
            </w:r>
          </w:p>
          <w:p w:rsidR="00A02BFB" w:rsidRPr="00A02BFB" w:rsidRDefault="004453BD" w:rsidP="004453BD">
            <w:pPr>
              <w:spacing w:before="40" w:after="120"/>
              <w:ind w:right="113"/>
            </w:pPr>
            <w:r w:rsidRPr="004453BD">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720500" w:rsidP="0028001D">
            <w:pPr>
              <w:spacing w:before="40" w:after="120"/>
              <w:ind w:right="113"/>
            </w:pPr>
            <w:r w:rsidRPr="00720500">
              <w:t>ICCPR-OP 1 (Reservation, art. 9, para. 2, 1995)</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720500" w:rsidP="0028001D">
            <w:pPr>
              <w:spacing w:before="40" w:after="120"/>
              <w:ind w:right="113"/>
              <w:rPr>
                <w:lang w:val="es-ES"/>
              </w:rPr>
            </w:pPr>
            <w:r w:rsidRPr="00720500">
              <w:t>ICCPR-OP 1 (Reservation, art. 9, para. 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720500" w:rsidP="0028001D">
            <w:pPr>
              <w:spacing w:before="40" w:after="120"/>
              <w:ind w:right="113"/>
              <w:rPr>
                <w:lang w:val="fr-CH"/>
              </w:rPr>
            </w:pPr>
            <w:r w:rsidRPr="00720500">
              <w:t>ICCPR-OP 2 (Reservation, art. 2, 2014)</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720500" w:rsidP="0028001D">
            <w:pPr>
              <w:spacing w:before="40" w:after="120"/>
              <w:ind w:right="113"/>
              <w:rPr>
                <w:lang w:val="es-ES"/>
              </w:rPr>
            </w:pPr>
            <w:r w:rsidRPr="00720500">
              <w:t>ICCPR-OP 2 (Reservation, art. 2)</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720500" w:rsidP="0028001D">
            <w:pPr>
              <w:spacing w:before="40" w:after="120"/>
              <w:ind w:right="113"/>
            </w:pPr>
            <w:r w:rsidRPr="00720500">
              <w:t>CEDAW (Reservation, art. 29, para.1, 1981)</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517888" w:rsidRDefault="00720500" w:rsidP="0028001D">
            <w:pPr>
              <w:spacing w:before="40" w:after="120"/>
              <w:ind w:right="113"/>
            </w:pPr>
            <w:r w:rsidRPr="00720500">
              <w:t>CEDAW (Reservation, art. 29, para.1)</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720500" w:rsidP="0028001D">
            <w:pPr>
              <w:spacing w:before="40" w:after="120"/>
              <w:ind w:right="113"/>
            </w:pPr>
            <w:r w:rsidRPr="00720500">
              <w:t xml:space="preserve">OP-CRC-AC (Declaration, </w:t>
            </w:r>
            <w:r w:rsidRPr="00720500">
              <w:lastRenderedPageBreak/>
              <w:t>art. 3.2, minimum age of voluntary recruitment 16 years, 2002)</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517888" w:rsidRDefault="00720500" w:rsidP="0028001D">
            <w:pPr>
              <w:spacing w:before="40" w:after="120"/>
              <w:ind w:right="113"/>
            </w:pPr>
            <w:r w:rsidRPr="00720500">
              <w:t xml:space="preserve">OP-CRC-AC (Declaration, </w:t>
            </w:r>
            <w:r w:rsidRPr="00720500">
              <w:lastRenderedPageBreak/>
              <w:t>art. 3.2, minimum age of voluntary recruitment 16 years)</w:t>
            </w:r>
          </w:p>
        </w:tc>
      </w:tr>
      <w:tr w:rsidR="00DA2292" w:rsidRPr="00A02BFB" w:rsidTr="0066149A">
        <w:tc>
          <w:tcPr>
            <w:tcW w:w="2409" w:type="dxa"/>
            <w:shd w:val="clear" w:color="auto" w:fill="auto"/>
          </w:tcPr>
          <w:p w:rsidR="00DA2292" w:rsidRPr="00A02BFB" w:rsidRDefault="00DA2292" w:rsidP="0028001D">
            <w:pPr>
              <w:spacing w:before="40" w:after="120"/>
              <w:ind w:right="113"/>
            </w:pPr>
          </w:p>
        </w:tc>
        <w:tc>
          <w:tcPr>
            <w:tcW w:w="2409" w:type="dxa"/>
            <w:shd w:val="clear" w:color="auto" w:fill="auto"/>
          </w:tcPr>
          <w:p w:rsidR="00DA2292" w:rsidRPr="0066149A" w:rsidRDefault="00720500" w:rsidP="0028001D">
            <w:pPr>
              <w:spacing w:before="40" w:after="120"/>
              <w:ind w:right="113"/>
            </w:pPr>
            <w:r w:rsidRPr="00720500">
              <w:t>OP-CRC-SC (General declaration, 2004)</w:t>
            </w:r>
          </w:p>
        </w:tc>
        <w:tc>
          <w:tcPr>
            <w:tcW w:w="2409" w:type="dxa"/>
            <w:shd w:val="clear" w:color="auto" w:fill="auto"/>
          </w:tcPr>
          <w:p w:rsidR="00DA2292" w:rsidRDefault="00DA2292" w:rsidP="0028001D">
            <w:pPr>
              <w:spacing w:before="40" w:after="120"/>
              <w:ind w:right="113"/>
            </w:pPr>
          </w:p>
        </w:tc>
        <w:tc>
          <w:tcPr>
            <w:tcW w:w="2410" w:type="dxa"/>
            <w:shd w:val="clear" w:color="auto" w:fill="auto"/>
          </w:tcPr>
          <w:p w:rsidR="00DA2292" w:rsidRPr="00517888" w:rsidRDefault="00720500" w:rsidP="0028001D">
            <w:pPr>
              <w:spacing w:before="40" w:after="120"/>
              <w:ind w:right="113"/>
            </w:pPr>
            <w:r w:rsidRPr="00720500">
              <w:t>OP-CRC-SC (General declaration)</w:t>
            </w:r>
          </w:p>
        </w:tc>
      </w:tr>
      <w:tr w:rsidR="00720500" w:rsidRPr="00A02BFB" w:rsidTr="0066149A">
        <w:tc>
          <w:tcPr>
            <w:tcW w:w="2409" w:type="dxa"/>
            <w:shd w:val="clear" w:color="auto" w:fill="auto"/>
          </w:tcPr>
          <w:p w:rsidR="00720500" w:rsidRPr="00A02BFB" w:rsidRDefault="00720500" w:rsidP="0028001D">
            <w:pPr>
              <w:spacing w:before="40" w:after="120"/>
              <w:ind w:right="113"/>
            </w:pPr>
          </w:p>
        </w:tc>
        <w:tc>
          <w:tcPr>
            <w:tcW w:w="2409" w:type="dxa"/>
            <w:shd w:val="clear" w:color="auto" w:fill="auto"/>
          </w:tcPr>
          <w:p w:rsidR="00720500" w:rsidRPr="0066149A" w:rsidRDefault="00720500" w:rsidP="0028001D">
            <w:pPr>
              <w:spacing w:before="40" w:after="120"/>
              <w:ind w:right="113"/>
            </w:pPr>
            <w:r w:rsidRPr="00720500">
              <w:t>ICRMW (Reservation, art. 92, para. 1 / Declarations, arts. 32, 46–48 and 61, para. 4, 2003)</w:t>
            </w:r>
          </w:p>
        </w:tc>
        <w:tc>
          <w:tcPr>
            <w:tcW w:w="2409" w:type="dxa"/>
            <w:shd w:val="clear" w:color="auto" w:fill="auto"/>
          </w:tcPr>
          <w:p w:rsidR="00720500" w:rsidRDefault="00720500" w:rsidP="0028001D">
            <w:pPr>
              <w:spacing w:before="40" w:after="120"/>
              <w:ind w:right="113"/>
            </w:pPr>
          </w:p>
        </w:tc>
        <w:tc>
          <w:tcPr>
            <w:tcW w:w="2410" w:type="dxa"/>
            <w:shd w:val="clear" w:color="auto" w:fill="auto"/>
          </w:tcPr>
          <w:p w:rsidR="00720500" w:rsidRPr="00517888" w:rsidRDefault="00720500" w:rsidP="0028001D">
            <w:pPr>
              <w:spacing w:before="40" w:after="120"/>
              <w:ind w:right="113"/>
            </w:pPr>
            <w:r w:rsidRPr="00720500">
              <w:t>ICRMW (Reservation, art. 92, para. 1 / Declarations, arts. 32, 46–48 and 61, para. 4)</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720500" w:rsidP="0028001D">
            <w:pPr>
              <w:spacing w:before="40" w:after="120"/>
              <w:ind w:right="113"/>
            </w:pPr>
            <w:r w:rsidRPr="00720500">
              <w:t>CRPD (General reservation, 2007)</w:t>
            </w:r>
          </w:p>
        </w:tc>
        <w:tc>
          <w:tcPr>
            <w:tcW w:w="2409" w:type="dxa"/>
            <w:shd w:val="clear" w:color="auto" w:fill="auto"/>
          </w:tcPr>
          <w:p w:rsidR="0066149A" w:rsidRDefault="00754563" w:rsidP="0028001D">
            <w:pPr>
              <w:spacing w:before="40" w:after="120"/>
              <w:ind w:right="113"/>
            </w:pPr>
            <w:r w:rsidRPr="00754563">
              <w:t>CRPD (Withdrawal of general reservation, 2015)</w:t>
            </w:r>
          </w:p>
        </w:tc>
        <w:tc>
          <w:tcPr>
            <w:tcW w:w="2410" w:type="dxa"/>
            <w:shd w:val="clear" w:color="auto" w:fill="auto"/>
          </w:tcPr>
          <w:p w:rsidR="0066149A" w:rsidRPr="0066149A" w:rsidRDefault="0066149A" w:rsidP="0028001D">
            <w:pPr>
              <w:spacing w:before="40" w:after="120"/>
              <w:ind w:right="113"/>
            </w:pP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754563" w:rsidP="0028001D">
            <w:pPr>
              <w:spacing w:before="40" w:after="120"/>
              <w:ind w:right="113"/>
            </w:pPr>
            <w:r w:rsidRPr="00754563">
              <w:t>OP-CRPD (General reservation, 2007)</w:t>
            </w:r>
          </w:p>
        </w:tc>
        <w:tc>
          <w:tcPr>
            <w:tcW w:w="2409" w:type="dxa"/>
            <w:tcBorders>
              <w:bottom w:val="single" w:sz="12" w:space="0" w:color="auto"/>
            </w:tcBorders>
            <w:shd w:val="clear" w:color="auto" w:fill="auto"/>
          </w:tcPr>
          <w:p w:rsidR="0066149A" w:rsidRDefault="00754563" w:rsidP="0028001D">
            <w:pPr>
              <w:spacing w:before="40" w:after="120"/>
              <w:ind w:right="113"/>
            </w:pPr>
            <w:r w:rsidRPr="00754563">
              <w:t>OP-CRPD (Withdrawal of general reservation, 2015)</w:t>
            </w:r>
          </w:p>
        </w:tc>
        <w:tc>
          <w:tcPr>
            <w:tcW w:w="2410" w:type="dxa"/>
            <w:tcBorders>
              <w:bottom w:val="single" w:sz="12" w:space="0" w:color="auto"/>
            </w:tcBorders>
            <w:shd w:val="clear" w:color="auto" w:fill="auto"/>
          </w:tcPr>
          <w:p w:rsidR="0066149A" w:rsidRPr="0066149A" w:rsidRDefault="0066149A" w:rsidP="0028001D">
            <w:pPr>
              <w:spacing w:before="40" w:after="120"/>
              <w:ind w:right="113"/>
            </w:pP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754563" w:rsidP="0028001D">
            <w:pPr>
              <w:spacing w:before="40" w:after="120"/>
              <w:ind w:right="113"/>
              <w:rPr>
                <w:highlight w:val="yellow"/>
              </w:rPr>
            </w:pPr>
            <w:r w:rsidRPr="00754563">
              <w:t>Convention on the Prevention and Punishment of the Crime of Genocide</w:t>
            </w:r>
          </w:p>
        </w:tc>
        <w:tc>
          <w:tcPr>
            <w:tcW w:w="2409" w:type="dxa"/>
            <w:shd w:val="clear" w:color="auto" w:fill="auto"/>
          </w:tcPr>
          <w:p w:rsidR="00A02BFB" w:rsidRPr="00A02BFB" w:rsidRDefault="00754563" w:rsidP="0028001D">
            <w:pPr>
              <w:spacing w:before="40" w:after="120"/>
              <w:ind w:right="113"/>
            </w:pPr>
            <w:r w:rsidRPr="00754563">
              <w:t>Rome Statute of the International Criminal Court (2016)</w:t>
            </w: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754563" w:rsidP="0028001D">
            <w:pPr>
              <w:spacing w:before="40" w:after="120"/>
              <w:ind w:right="113"/>
            </w:pPr>
            <w:r w:rsidRPr="00754563">
              <w:t>Geneva Conventions of 12 August 1949 and Additional Protocols thereto</w:t>
            </w:r>
            <w:r w:rsidRPr="00754563">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754563" w:rsidP="0028001D">
            <w:pPr>
              <w:spacing w:before="40" w:after="120"/>
              <w:ind w:right="113"/>
            </w:pPr>
            <w:r w:rsidRPr="00754563">
              <w:t>Refugee Convention</w:t>
            </w:r>
            <w:r w:rsidRPr="00754563">
              <w:rPr>
                <w:rStyle w:val="EndnoteReference"/>
              </w:rPr>
              <w:endnoteReference w:id="6"/>
            </w:r>
          </w:p>
        </w:tc>
        <w:tc>
          <w:tcPr>
            <w:tcW w:w="2409" w:type="dxa"/>
            <w:shd w:val="clear" w:color="auto" w:fill="auto"/>
          </w:tcPr>
          <w:p w:rsidR="00C32D5E" w:rsidRDefault="00754563" w:rsidP="0028001D">
            <w:pPr>
              <w:spacing w:before="40" w:after="120"/>
              <w:ind w:right="113"/>
            </w:pPr>
            <w:r w:rsidRPr="00754563">
              <w:t>Convention related to the Status of stateless persons</w:t>
            </w:r>
            <w:r w:rsidRPr="00754563">
              <w:rPr>
                <w:rStyle w:val="EndnoteReference"/>
              </w:rPr>
              <w:endnoteReference w:id="7"/>
            </w: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754563" w:rsidP="0028001D">
            <w:pPr>
              <w:spacing w:before="40" w:after="120"/>
              <w:ind w:right="113"/>
            </w:pPr>
            <w:r w:rsidRPr="00754563">
              <w:t>Palermo Protocol</w:t>
            </w:r>
            <w:r w:rsidRPr="00754563">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754563" w:rsidP="0028001D">
            <w:pPr>
              <w:spacing w:before="40" w:after="120"/>
              <w:ind w:right="113"/>
            </w:pPr>
            <w:r w:rsidRPr="00754563">
              <w:t>ILO fundamental Conventions</w:t>
            </w:r>
            <w:r w:rsidRPr="00754563">
              <w:rPr>
                <w:rStyle w:val="EndnoteReference"/>
              </w:rPr>
              <w:endnoteReference w:id="9"/>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754563" w:rsidP="0028001D">
            <w:pPr>
              <w:spacing w:before="40" w:after="120"/>
              <w:ind w:right="113"/>
            </w:pPr>
            <w:r w:rsidRPr="00754563">
              <w:t>ILO Conventions Nos. 169 and 189</w:t>
            </w:r>
            <w:r w:rsidRPr="00754563">
              <w:rPr>
                <w:rStyle w:val="EndnoteReference"/>
              </w:rPr>
              <w:endnoteReference w:id="10"/>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2E5BE3" w:rsidP="0028001D">
            <w:pPr>
              <w:spacing w:before="40" w:after="120"/>
              <w:ind w:right="113"/>
              <w:rPr>
                <w:lang w:val="es-ES"/>
              </w:rPr>
            </w:pP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754563" w:rsidP="0028001D">
            <w:pPr>
              <w:spacing w:before="40" w:after="120"/>
              <w:ind w:right="113"/>
            </w:pPr>
            <w:r w:rsidRPr="00754563">
              <w:t>Convention against Discrimination in Education</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BA5FBA" w:rsidRPr="00496F2A">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0A6F50" w:rsidP="0028001D">
            <w:pPr>
              <w:spacing w:before="40" w:after="120"/>
              <w:ind w:right="113"/>
            </w:pPr>
            <w:r>
              <w:t>August 2010</w:t>
            </w:r>
          </w:p>
        </w:tc>
        <w:tc>
          <w:tcPr>
            <w:tcW w:w="1927" w:type="dxa"/>
            <w:shd w:val="clear" w:color="auto" w:fill="auto"/>
          </w:tcPr>
          <w:p w:rsidR="00A02BFB" w:rsidRPr="00A02BFB" w:rsidRDefault="000A6F50" w:rsidP="0028001D">
            <w:pPr>
              <w:spacing w:before="40" w:after="120"/>
              <w:ind w:right="113"/>
            </w:pPr>
            <w:r>
              <w:t>2013/2018</w:t>
            </w:r>
          </w:p>
        </w:tc>
        <w:tc>
          <w:tcPr>
            <w:tcW w:w="1927" w:type="dxa"/>
            <w:shd w:val="clear" w:color="auto" w:fill="auto"/>
          </w:tcPr>
          <w:p w:rsidR="00A02BFB" w:rsidRPr="00A02BFB" w:rsidRDefault="000A6F50" w:rsidP="0028001D">
            <w:pPr>
              <w:spacing w:before="40" w:after="120"/>
              <w:ind w:right="113"/>
            </w:pPr>
            <w:r>
              <w:t>August 2014</w:t>
            </w:r>
          </w:p>
        </w:tc>
        <w:tc>
          <w:tcPr>
            <w:tcW w:w="1927" w:type="dxa"/>
            <w:shd w:val="clear" w:color="auto" w:fill="auto"/>
          </w:tcPr>
          <w:p w:rsidR="00A02BFB" w:rsidRPr="00A02BFB" w:rsidRDefault="000A6F50" w:rsidP="0028001D">
            <w:pPr>
              <w:spacing w:before="40" w:after="120"/>
              <w:ind w:right="113"/>
            </w:pPr>
            <w:r w:rsidRPr="000A6F50">
              <w:t>Eighteenth and nineteenth reports pending consideration on August 2019</w:t>
            </w:r>
          </w:p>
        </w:tc>
      </w:tr>
      <w:tr w:rsidR="00FD242A" w:rsidRPr="00A02BFB" w:rsidTr="0028001D">
        <w:tc>
          <w:tcPr>
            <w:tcW w:w="1928" w:type="dxa"/>
            <w:shd w:val="clear" w:color="auto" w:fill="auto"/>
          </w:tcPr>
          <w:p w:rsidR="00A02BFB" w:rsidRPr="00A02BFB" w:rsidRDefault="00CF6980" w:rsidP="0028001D">
            <w:pPr>
              <w:spacing w:before="40" w:after="120"/>
              <w:ind w:right="113"/>
            </w:pPr>
            <w:r>
              <w:lastRenderedPageBreak/>
              <w:t>CESCR</w:t>
            </w:r>
          </w:p>
        </w:tc>
        <w:tc>
          <w:tcPr>
            <w:tcW w:w="1928" w:type="dxa"/>
            <w:shd w:val="clear" w:color="auto" w:fill="auto"/>
          </w:tcPr>
          <w:p w:rsidR="00A02BFB" w:rsidRPr="00A02BFB" w:rsidRDefault="000A6F50" w:rsidP="0028001D">
            <w:pPr>
              <w:spacing w:before="40" w:after="120"/>
              <w:ind w:right="113"/>
            </w:pPr>
            <w:r>
              <w:t>May 2014</w:t>
            </w:r>
          </w:p>
        </w:tc>
        <w:tc>
          <w:tcPr>
            <w:tcW w:w="1927" w:type="dxa"/>
            <w:shd w:val="clear" w:color="auto" w:fill="auto"/>
          </w:tcPr>
          <w:p w:rsidR="00A02BFB" w:rsidRPr="00A02BFB" w:rsidRDefault="000A6F50" w:rsidP="0028001D">
            <w:pPr>
              <w:spacing w:before="40" w:after="120"/>
              <w:ind w:right="113"/>
            </w:pPr>
            <w:r>
              <w:t>--</w:t>
            </w:r>
          </w:p>
        </w:tc>
        <w:tc>
          <w:tcPr>
            <w:tcW w:w="1927" w:type="dxa"/>
            <w:shd w:val="clear" w:color="auto" w:fill="auto"/>
          </w:tcPr>
          <w:p w:rsidR="00A02BFB" w:rsidRPr="00A02BFB" w:rsidRDefault="000A6F50" w:rsidP="0028001D">
            <w:pPr>
              <w:spacing w:before="40" w:after="120"/>
              <w:ind w:right="113"/>
            </w:pPr>
            <w:r>
              <w:t>--</w:t>
            </w:r>
          </w:p>
        </w:tc>
        <w:tc>
          <w:tcPr>
            <w:tcW w:w="1927" w:type="dxa"/>
            <w:shd w:val="clear" w:color="auto" w:fill="auto"/>
          </w:tcPr>
          <w:p w:rsidR="00A02BFB" w:rsidRPr="00A02BFB" w:rsidRDefault="000A6F50" w:rsidP="0028001D">
            <w:pPr>
              <w:spacing w:before="40" w:after="120"/>
              <w:ind w:right="113"/>
            </w:pPr>
            <w:r w:rsidRPr="000A6F50">
              <w:t>Sixth report overdue since May 2019</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0A6F50" w:rsidP="0028001D">
            <w:pPr>
              <w:spacing w:before="40" w:after="120"/>
              <w:ind w:right="113"/>
            </w:pPr>
            <w:r>
              <w:t>October 2010</w:t>
            </w:r>
          </w:p>
        </w:tc>
        <w:tc>
          <w:tcPr>
            <w:tcW w:w="1927" w:type="dxa"/>
            <w:shd w:val="clear" w:color="auto" w:fill="auto"/>
          </w:tcPr>
          <w:p w:rsidR="00A02BFB" w:rsidRPr="00A02BFB" w:rsidRDefault="000A6F50" w:rsidP="0028001D">
            <w:pPr>
              <w:spacing w:before="40" w:after="120"/>
              <w:ind w:right="113"/>
            </w:pPr>
            <w:r>
              <w:t>2016</w:t>
            </w:r>
          </w:p>
        </w:tc>
        <w:tc>
          <w:tcPr>
            <w:tcW w:w="1927" w:type="dxa"/>
            <w:shd w:val="clear" w:color="auto" w:fill="auto"/>
          </w:tcPr>
          <w:p w:rsidR="00A02BFB" w:rsidRPr="00A02BFB" w:rsidRDefault="000A6F50" w:rsidP="0028001D">
            <w:pPr>
              <w:spacing w:before="40" w:after="120"/>
              <w:ind w:right="113"/>
            </w:pPr>
            <w:r>
              <w:t>March 2018</w:t>
            </w:r>
          </w:p>
        </w:tc>
        <w:tc>
          <w:tcPr>
            <w:tcW w:w="1927" w:type="dxa"/>
            <w:shd w:val="clear" w:color="auto" w:fill="auto"/>
          </w:tcPr>
          <w:p w:rsidR="00A02BFB" w:rsidRPr="00A02BFB" w:rsidRDefault="000A6F50" w:rsidP="0028001D">
            <w:pPr>
              <w:spacing w:before="40" w:after="120"/>
              <w:ind w:right="113"/>
            </w:pPr>
            <w:r w:rsidRPr="000A6F50">
              <w:t>Eighth report due in 2023</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0A6F50" w:rsidP="0028001D">
            <w:pPr>
              <w:spacing w:before="40" w:after="120"/>
              <w:ind w:right="113"/>
            </w:pPr>
            <w:r>
              <w:t>--</w:t>
            </w:r>
          </w:p>
        </w:tc>
        <w:tc>
          <w:tcPr>
            <w:tcW w:w="1927" w:type="dxa"/>
            <w:shd w:val="clear" w:color="auto" w:fill="auto"/>
          </w:tcPr>
          <w:p w:rsidR="00A02BFB" w:rsidRPr="00A02BFB" w:rsidRDefault="000A6F50" w:rsidP="0028001D">
            <w:pPr>
              <w:spacing w:before="40" w:after="120"/>
              <w:ind w:right="113"/>
            </w:pPr>
            <w:r>
              <w:t>2015</w:t>
            </w:r>
          </w:p>
        </w:tc>
        <w:tc>
          <w:tcPr>
            <w:tcW w:w="1927" w:type="dxa"/>
            <w:shd w:val="clear" w:color="auto" w:fill="auto"/>
          </w:tcPr>
          <w:p w:rsidR="00A02BFB" w:rsidRPr="00A02BFB" w:rsidRDefault="000A6F50" w:rsidP="0028001D">
            <w:pPr>
              <w:spacing w:before="40" w:after="120"/>
              <w:ind w:right="113"/>
            </w:pPr>
            <w:r>
              <w:t>February 2017</w:t>
            </w:r>
          </w:p>
        </w:tc>
        <w:tc>
          <w:tcPr>
            <w:tcW w:w="1927" w:type="dxa"/>
            <w:shd w:val="clear" w:color="auto" w:fill="auto"/>
          </w:tcPr>
          <w:p w:rsidR="00A02BFB" w:rsidRPr="00A02BFB" w:rsidRDefault="000A6F50" w:rsidP="0028001D">
            <w:pPr>
              <w:spacing w:before="40" w:after="120"/>
              <w:ind w:right="113"/>
            </w:pPr>
            <w:r w:rsidRPr="000A6F50">
              <w:t>Tenth report due in 2021</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0A6F50" w:rsidP="0060015D">
            <w:pPr>
              <w:spacing w:before="40" w:after="120"/>
              <w:ind w:right="113"/>
            </w:pPr>
            <w:r>
              <w:t>--</w:t>
            </w:r>
          </w:p>
        </w:tc>
        <w:tc>
          <w:tcPr>
            <w:tcW w:w="1927" w:type="dxa"/>
            <w:shd w:val="clear" w:color="auto" w:fill="auto"/>
          </w:tcPr>
          <w:p w:rsidR="00A02BFB" w:rsidRPr="00A02BFB" w:rsidRDefault="000A6F50" w:rsidP="0028001D">
            <w:pPr>
              <w:spacing w:before="40" w:after="120"/>
              <w:ind w:right="113"/>
            </w:pPr>
            <w:r>
              <w:t>2019</w:t>
            </w:r>
          </w:p>
        </w:tc>
        <w:tc>
          <w:tcPr>
            <w:tcW w:w="1927" w:type="dxa"/>
            <w:shd w:val="clear" w:color="auto" w:fill="auto"/>
          </w:tcPr>
          <w:p w:rsidR="00A02BFB" w:rsidRPr="00A02BFB" w:rsidRDefault="000A6F50" w:rsidP="0028001D">
            <w:pPr>
              <w:spacing w:before="40" w:after="120"/>
              <w:ind w:right="113"/>
            </w:pPr>
            <w:r>
              <w:t>--</w:t>
            </w:r>
          </w:p>
        </w:tc>
        <w:tc>
          <w:tcPr>
            <w:tcW w:w="1927" w:type="dxa"/>
            <w:shd w:val="clear" w:color="auto" w:fill="auto"/>
          </w:tcPr>
          <w:p w:rsidR="00A02BFB" w:rsidRPr="00A02BFB" w:rsidRDefault="000A6F50" w:rsidP="0028001D">
            <w:pPr>
              <w:spacing w:before="40" w:after="120"/>
              <w:ind w:right="113"/>
            </w:pPr>
            <w:r w:rsidRPr="000A6F50">
              <w:t>Third report pending consideration</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0A6F50" w:rsidP="0028001D">
            <w:pPr>
              <w:spacing w:before="40" w:after="120"/>
              <w:ind w:right="113"/>
            </w:pPr>
            <w:r w:rsidRPr="000A6F50">
              <w:t>January 2010 (on CRC and OP-CRC-SC)</w:t>
            </w:r>
          </w:p>
        </w:tc>
        <w:tc>
          <w:tcPr>
            <w:tcW w:w="1927" w:type="dxa"/>
            <w:shd w:val="clear" w:color="auto" w:fill="auto"/>
          </w:tcPr>
          <w:p w:rsidR="00A02BFB" w:rsidRPr="00A02BFB" w:rsidRDefault="000A6F50" w:rsidP="0028001D">
            <w:pPr>
              <w:spacing w:before="40" w:after="120"/>
              <w:ind w:right="113"/>
            </w:pPr>
            <w:r>
              <w:t>2018</w:t>
            </w:r>
          </w:p>
        </w:tc>
        <w:tc>
          <w:tcPr>
            <w:tcW w:w="1927" w:type="dxa"/>
            <w:shd w:val="clear" w:color="auto" w:fill="auto"/>
          </w:tcPr>
          <w:p w:rsidR="00A02BFB" w:rsidRPr="00A02BFB" w:rsidRDefault="000A6F50" w:rsidP="0028001D">
            <w:pPr>
              <w:spacing w:before="40" w:after="120"/>
              <w:ind w:right="113"/>
            </w:pPr>
            <w:r>
              <w:t>October 2018</w:t>
            </w:r>
          </w:p>
        </w:tc>
        <w:tc>
          <w:tcPr>
            <w:tcW w:w="1927" w:type="dxa"/>
            <w:shd w:val="clear" w:color="auto" w:fill="auto"/>
          </w:tcPr>
          <w:p w:rsidR="00A02BFB" w:rsidRPr="00A02BFB" w:rsidRDefault="000A6F50" w:rsidP="007D2157">
            <w:pPr>
              <w:spacing w:before="40" w:after="120"/>
              <w:ind w:right="113"/>
            </w:pPr>
            <w:r w:rsidRPr="000A6F50">
              <w:rPr>
                <w:bCs/>
              </w:rPr>
              <w:t>Seventh report due in 2023</w:t>
            </w:r>
          </w:p>
        </w:tc>
      </w:tr>
      <w:tr w:rsidR="00C2509F" w:rsidRPr="00A02BFB" w:rsidTr="00151C6A">
        <w:tc>
          <w:tcPr>
            <w:tcW w:w="1928" w:type="dxa"/>
            <w:shd w:val="clear" w:color="auto" w:fill="auto"/>
          </w:tcPr>
          <w:p w:rsidR="00C2509F" w:rsidRDefault="00CF6980" w:rsidP="0060015D">
            <w:pPr>
              <w:spacing w:before="40" w:after="120"/>
              <w:ind w:right="113"/>
            </w:pPr>
            <w:r>
              <w:t>CMW</w:t>
            </w:r>
          </w:p>
        </w:tc>
        <w:tc>
          <w:tcPr>
            <w:tcW w:w="1928" w:type="dxa"/>
            <w:shd w:val="clear" w:color="auto" w:fill="auto"/>
          </w:tcPr>
          <w:p w:rsidR="00C2509F" w:rsidRDefault="000A6F50" w:rsidP="0028001D">
            <w:pPr>
              <w:spacing w:before="40" w:after="120"/>
              <w:ind w:right="113"/>
            </w:pPr>
            <w:r>
              <w:t>April 2014</w:t>
            </w:r>
          </w:p>
        </w:tc>
        <w:tc>
          <w:tcPr>
            <w:tcW w:w="1927" w:type="dxa"/>
            <w:shd w:val="clear" w:color="auto" w:fill="auto"/>
          </w:tcPr>
          <w:p w:rsidR="00C2509F" w:rsidRPr="00A02BFB" w:rsidRDefault="000A6F50" w:rsidP="0028001D">
            <w:pPr>
              <w:spacing w:before="40" w:after="120"/>
              <w:ind w:right="113"/>
            </w:pPr>
            <w:r>
              <w:t>--</w:t>
            </w:r>
          </w:p>
        </w:tc>
        <w:tc>
          <w:tcPr>
            <w:tcW w:w="1927" w:type="dxa"/>
            <w:shd w:val="clear" w:color="auto" w:fill="auto"/>
          </w:tcPr>
          <w:p w:rsidR="00C2509F" w:rsidRPr="00A02BFB" w:rsidRDefault="000A6F50" w:rsidP="0028001D">
            <w:pPr>
              <w:spacing w:before="40" w:after="120"/>
              <w:ind w:right="113"/>
            </w:pPr>
            <w:r>
              <w:t>--</w:t>
            </w:r>
          </w:p>
        </w:tc>
        <w:tc>
          <w:tcPr>
            <w:tcW w:w="1927" w:type="dxa"/>
            <w:shd w:val="clear" w:color="auto" w:fill="auto"/>
          </w:tcPr>
          <w:p w:rsidR="007A09CD" w:rsidRPr="00A02BFB" w:rsidRDefault="000A6F50" w:rsidP="0028001D">
            <w:pPr>
              <w:spacing w:before="40" w:after="120"/>
              <w:ind w:right="113"/>
            </w:pPr>
            <w:r w:rsidRPr="000A6F50">
              <w:t>Third report overdue since May 2019</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0A6F50" w:rsidP="0028001D">
            <w:pPr>
              <w:spacing w:before="40" w:after="120"/>
              <w:ind w:right="113"/>
            </w:pPr>
            <w:r>
              <w:t>September 2013</w:t>
            </w:r>
          </w:p>
        </w:tc>
        <w:tc>
          <w:tcPr>
            <w:tcW w:w="1927" w:type="dxa"/>
            <w:shd w:val="clear" w:color="auto" w:fill="auto"/>
          </w:tcPr>
          <w:p w:rsidR="00CF6980" w:rsidRDefault="000A6F50" w:rsidP="0028001D">
            <w:pPr>
              <w:spacing w:before="40" w:after="120"/>
              <w:ind w:right="113"/>
            </w:pPr>
            <w:r>
              <w:t>2018</w:t>
            </w:r>
          </w:p>
        </w:tc>
        <w:tc>
          <w:tcPr>
            <w:tcW w:w="1927" w:type="dxa"/>
            <w:shd w:val="clear" w:color="auto" w:fill="auto"/>
          </w:tcPr>
          <w:p w:rsidR="00CF6980" w:rsidRDefault="000A6F50" w:rsidP="0028001D">
            <w:pPr>
              <w:spacing w:before="40" w:after="120"/>
              <w:ind w:right="113"/>
            </w:pPr>
            <w:r>
              <w:t>--</w:t>
            </w:r>
          </w:p>
        </w:tc>
        <w:tc>
          <w:tcPr>
            <w:tcW w:w="1927" w:type="dxa"/>
            <w:shd w:val="clear" w:color="auto" w:fill="auto"/>
          </w:tcPr>
          <w:p w:rsidR="00CF6980" w:rsidRPr="00CF6980" w:rsidRDefault="000A6F50" w:rsidP="0028001D">
            <w:pPr>
              <w:spacing w:before="40" w:after="120"/>
              <w:ind w:right="113"/>
            </w:pPr>
            <w:r w:rsidRPr="000A6F50">
              <w:t>Second and third reports pending consideration in September 2019</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292DEC" w:rsidP="007D2157">
            <w:pPr>
              <w:spacing w:before="40" w:after="120"/>
              <w:ind w:right="113"/>
            </w:pPr>
            <w:r>
              <w:t>CERD</w:t>
            </w:r>
          </w:p>
        </w:tc>
        <w:tc>
          <w:tcPr>
            <w:tcW w:w="2410" w:type="dxa"/>
            <w:shd w:val="clear" w:color="auto" w:fill="auto"/>
          </w:tcPr>
          <w:p w:rsidR="00B22B96" w:rsidRPr="00B22B96" w:rsidRDefault="00990600" w:rsidP="007D2157">
            <w:pPr>
              <w:spacing w:before="40" w:after="120"/>
              <w:ind w:right="113"/>
            </w:pPr>
            <w:r>
              <w:t>2015</w:t>
            </w:r>
          </w:p>
        </w:tc>
        <w:tc>
          <w:tcPr>
            <w:tcW w:w="2410" w:type="dxa"/>
            <w:shd w:val="clear" w:color="auto" w:fill="auto"/>
          </w:tcPr>
          <w:p w:rsidR="00B22B96" w:rsidRPr="00B22B96" w:rsidRDefault="00990600" w:rsidP="007D2157">
            <w:pPr>
              <w:spacing w:before="40" w:after="120"/>
              <w:ind w:right="113"/>
            </w:pPr>
            <w:r w:rsidRPr="00990600">
              <w:rPr>
                <w:bCs/>
              </w:rPr>
              <w:t>Implementation of decisions on the protection of human rights; migrants; and legal framework for the protection of the rights of indigenous peoples.</w:t>
            </w:r>
            <w:r w:rsidRPr="00990600">
              <w:rPr>
                <w:rStyle w:val="EndnoteReference"/>
              </w:rPr>
              <w:endnoteReference w:id="12"/>
            </w:r>
          </w:p>
        </w:tc>
        <w:tc>
          <w:tcPr>
            <w:tcW w:w="2410" w:type="dxa"/>
            <w:shd w:val="clear" w:color="auto" w:fill="auto"/>
          </w:tcPr>
          <w:p w:rsidR="00B22B96" w:rsidRPr="00B22B96" w:rsidRDefault="00990600" w:rsidP="007D2157">
            <w:pPr>
              <w:spacing w:before="40" w:after="120"/>
              <w:ind w:right="113"/>
            </w:pPr>
            <w:r>
              <w:t>--</w:t>
            </w:r>
          </w:p>
        </w:tc>
      </w:tr>
      <w:tr w:rsidR="00990600" w:rsidRPr="00B22B96" w:rsidTr="00292DEC">
        <w:tc>
          <w:tcPr>
            <w:tcW w:w="2407" w:type="dxa"/>
            <w:shd w:val="clear" w:color="auto" w:fill="auto"/>
          </w:tcPr>
          <w:p w:rsidR="00990600" w:rsidRDefault="00990600" w:rsidP="007D2157">
            <w:pPr>
              <w:spacing w:before="40" w:after="120"/>
              <w:ind w:right="113"/>
            </w:pPr>
            <w:r>
              <w:t>HR Committee</w:t>
            </w:r>
          </w:p>
        </w:tc>
        <w:tc>
          <w:tcPr>
            <w:tcW w:w="2410" w:type="dxa"/>
            <w:shd w:val="clear" w:color="auto" w:fill="auto"/>
          </w:tcPr>
          <w:p w:rsidR="00990600" w:rsidRDefault="00990600" w:rsidP="007D2157">
            <w:pPr>
              <w:spacing w:before="40" w:after="120"/>
              <w:ind w:right="113"/>
            </w:pPr>
            <w:r>
              <w:t>2020</w:t>
            </w:r>
          </w:p>
        </w:tc>
        <w:tc>
          <w:tcPr>
            <w:tcW w:w="2410" w:type="dxa"/>
            <w:shd w:val="clear" w:color="auto" w:fill="auto"/>
          </w:tcPr>
          <w:p w:rsidR="00990600" w:rsidRPr="00292DEC" w:rsidRDefault="00990600" w:rsidP="007D2157">
            <w:pPr>
              <w:spacing w:before="40" w:after="120"/>
              <w:ind w:right="113"/>
              <w:rPr>
                <w:bCs/>
              </w:rPr>
            </w:pPr>
            <w:r w:rsidRPr="00990600">
              <w:rPr>
                <w:bCs/>
              </w:rPr>
              <w:t>Voluntary termination of pregnancy; serious human rights violations that took place during the armed conflict; and extrajudicial executions and enforced disappearances.</w:t>
            </w:r>
            <w:r w:rsidRPr="00990600">
              <w:rPr>
                <w:rStyle w:val="EndnoteReference"/>
              </w:rPr>
              <w:endnoteReference w:id="13"/>
            </w:r>
          </w:p>
        </w:tc>
        <w:tc>
          <w:tcPr>
            <w:tcW w:w="2410" w:type="dxa"/>
            <w:shd w:val="clear" w:color="auto" w:fill="auto"/>
          </w:tcPr>
          <w:p w:rsidR="00990600" w:rsidRDefault="00990600" w:rsidP="007D2157">
            <w:pPr>
              <w:spacing w:before="40" w:after="120"/>
              <w:ind w:right="113"/>
            </w:pPr>
            <w:r>
              <w:t>--</w:t>
            </w:r>
          </w:p>
        </w:tc>
      </w:tr>
      <w:tr w:rsidR="00292DEC" w:rsidRPr="00B22B96" w:rsidTr="007D2157">
        <w:tc>
          <w:tcPr>
            <w:tcW w:w="2407" w:type="dxa"/>
            <w:tcBorders>
              <w:bottom w:val="single" w:sz="12" w:space="0" w:color="auto"/>
            </w:tcBorders>
            <w:shd w:val="clear" w:color="auto" w:fill="auto"/>
          </w:tcPr>
          <w:p w:rsidR="00292DEC" w:rsidRPr="00B22B96" w:rsidRDefault="00292DEC" w:rsidP="007D2157">
            <w:pPr>
              <w:spacing w:before="40" w:after="120"/>
              <w:ind w:right="113"/>
            </w:pPr>
            <w:r>
              <w:t>CEDAW</w:t>
            </w:r>
          </w:p>
        </w:tc>
        <w:tc>
          <w:tcPr>
            <w:tcW w:w="2410" w:type="dxa"/>
            <w:tcBorders>
              <w:bottom w:val="single" w:sz="12" w:space="0" w:color="auto"/>
            </w:tcBorders>
            <w:shd w:val="clear" w:color="auto" w:fill="auto"/>
          </w:tcPr>
          <w:p w:rsidR="00292DEC" w:rsidRPr="00B22B96" w:rsidRDefault="00990600" w:rsidP="007D2157">
            <w:pPr>
              <w:spacing w:before="40" w:after="120"/>
              <w:ind w:right="113"/>
            </w:pPr>
            <w:r>
              <w:t>2019</w:t>
            </w:r>
          </w:p>
        </w:tc>
        <w:tc>
          <w:tcPr>
            <w:tcW w:w="2410" w:type="dxa"/>
            <w:tcBorders>
              <w:bottom w:val="single" w:sz="12" w:space="0" w:color="auto"/>
            </w:tcBorders>
            <w:shd w:val="clear" w:color="auto" w:fill="auto"/>
          </w:tcPr>
          <w:p w:rsidR="00292DEC" w:rsidRPr="00B22B96" w:rsidRDefault="00990600" w:rsidP="007D2157">
            <w:pPr>
              <w:spacing w:before="40" w:after="120"/>
              <w:ind w:right="113"/>
            </w:pPr>
            <w:r w:rsidRPr="00990600">
              <w:t>Access to justice; and national machinery for the advancement of women.</w:t>
            </w:r>
            <w:r w:rsidRPr="00990600">
              <w:rPr>
                <w:rStyle w:val="EndnoteReference"/>
              </w:rPr>
              <w:endnoteReference w:id="14"/>
            </w:r>
          </w:p>
        </w:tc>
        <w:tc>
          <w:tcPr>
            <w:tcW w:w="2410" w:type="dxa"/>
            <w:tcBorders>
              <w:bottom w:val="single" w:sz="12" w:space="0" w:color="auto"/>
            </w:tcBorders>
            <w:shd w:val="clear" w:color="auto" w:fill="auto"/>
          </w:tcPr>
          <w:p w:rsidR="00292DEC" w:rsidRPr="00B22B96" w:rsidRDefault="00990600" w:rsidP="007D2157">
            <w:pPr>
              <w:spacing w:before="40" w:after="120"/>
              <w:ind w:right="113"/>
            </w:pPr>
            <w:r w:rsidRPr="00990600">
              <w:t>2019</w:t>
            </w:r>
            <w:r w:rsidRPr="00990600">
              <w:rPr>
                <w:rStyle w:val="EndnoteReference"/>
              </w:rPr>
              <w:endnoteReference w:id="15"/>
            </w: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A10EB9" w:rsidRPr="00496F2A">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A10EB9" w:rsidRDefault="009E78E3" w:rsidP="00292DEC">
            <w:pPr>
              <w:spacing w:before="40" w:after="120"/>
              <w:ind w:right="113"/>
              <w:rPr>
                <w:i/>
                <w:sz w:val="16"/>
              </w:rPr>
            </w:pPr>
            <w:r w:rsidRPr="00A10EB9">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A10EB9" w:rsidRDefault="009E78E3" w:rsidP="00292DEC">
            <w:pPr>
              <w:spacing w:before="40" w:after="120"/>
              <w:ind w:right="113"/>
              <w:rPr>
                <w:i/>
                <w:sz w:val="16"/>
              </w:rPr>
            </w:pPr>
            <w:r w:rsidRPr="00A10EB9">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lastRenderedPageBreak/>
              <w:t>Standing invitations</w:t>
            </w:r>
          </w:p>
        </w:tc>
        <w:tc>
          <w:tcPr>
            <w:tcW w:w="3026" w:type="dxa"/>
            <w:shd w:val="clear" w:color="auto" w:fill="auto"/>
          </w:tcPr>
          <w:p w:rsidR="003E33AE" w:rsidRPr="00F9635C" w:rsidRDefault="00A10EB9" w:rsidP="0028001D">
            <w:pPr>
              <w:spacing w:before="40" w:after="120"/>
              <w:ind w:right="113"/>
            </w:pPr>
            <w:r>
              <w:t>--</w:t>
            </w:r>
          </w:p>
        </w:tc>
        <w:tc>
          <w:tcPr>
            <w:tcW w:w="3400" w:type="dxa"/>
            <w:shd w:val="clear" w:color="auto" w:fill="auto"/>
          </w:tcPr>
          <w:p w:rsidR="003E33AE" w:rsidRPr="00F9635C" w:rsidRDefault="00A10EB9"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A10EB9" w:rsidP="0028001D">
            <w:pPr>
              <w:spacing w:before="40" w:after="120"/>
              <w:ind w:right="113"/>
            </w:pPr>
            <w:r>
              <w:t>Violence against women (2010)</w:t>
            </w:r>
          </w:p>
          <w:p w:rsidR="00A10EB9" w:rsidRDefault="00A10EB9" w:rsidP="0028001D">
            <w:pPr>
              <w:spacing w:before="40" w:after="120"/>
              <w:ind w:right="113"/>
            </w:pPr>
            <w:r w:rsidRPr="00A10EB9">
              <w:t>Sale of children (2010)</w:t>
            </w:r>
          </w:p>
          <w:p w:rsidR="00A10EB9" w:rsidRDefault="00A10EB9" w:rsidP="0028001D">
            <w:pPr>
              <w:spacing w:before="40" w:after="120"/>
              <w:ind w:right="113"/>
            </w:pPr>
            <w:r w:rsidRPr="00A10EB9">
              <w:t>Arbitrary detention (2012)</w:t>
            </w:r>
          </w:p>
          <w:p w:rsidR="00A10EB9" w:rsidRDefault="00A10EB9" w:rsidP="0028001D">
            <w:pPr>
              <w:spacing w:before="40" w:after="120"/>
              <w:ind w:right="113"/>
            </w:pPr>
            <w:r w:rsidRPr="00A10EB9">
              <w:t>Indigenous peoples (2012)</w:t>
            </w:r>
          </w:p>
          <w:p w:rsidR="00A10EB9" w:rsidRPr="009E78E3" w:rsidRDefault="00A10EB9" w:rsidP="0028001D">
            <w:pPr>
              <w:spacing w:before="40" w:after="120"/>
              <w:ind w:right="113"/>
            </w:pPr>
            <w:r w:rsidRPr="00A10EB9">
              <w:t>Independence of judges and lawyers (2012)</w:t>
            </w:r>
          </w:p>
        </w:tc>
        <w:tc>
          <w:tcPr>
            <w:tcW w:w="3400" w:type="dxa"/>
            <w:shd w:val="clear" w:color="auto" w:fill="auto"/>
          </w:tcPr>
          <w:p w:rsidR="00A850C2" w:rsidRDefault="00A10EB9" w:rsidP="00730838">
            <w:pPr>
              <w:spacing w:before="40" w:after="120"/>
              <w:ind w:right="113"/>
            </w:pPr>
            <w:r>
              <w:t>Slavery (2016)</w:t>
            </w:r>
          </w:p>
          <w:p w:rsidR="00A10EB9" w:rsidRDefault="00A10EB9" w:rsidP="00730838">
            <w:pPr>
              <w:spacing w:before="40" w:after="120"/>
              <w:ind w:right="113"/>
            </w:pPr>
            <w:r w:rsidRPr="00A10EB9">
              <w:t>Water and sanitation (2016)</w:t>
            </w:r>
          </w:p>
          <w:p w:rsidR="00A10EB9" w:rsidRDefault="00A10EB9" w:rsidP="00730838">
            <w:pPr>
              <w:spacing w:before="40" w:after="120"/>
              <w:ind w:right="113"/>
            </w:pPr>
            <w:r w:rsidRPr="00A10EB9">
              <w:t>Internally Displaced Persons (2017)</w:t>
            </w:r>
          </w:p>
          <w:p w:rsidR="00A10EB9" w:rsidRDefault="00A10EB9" w:rsidP="00730838">
            <w:pPr>
              <w:spacing w:before="40" w:after="120"/>
              <w:ind w:right="113"/>
            </w:pPr>
            <w:r w:rsidRPr="00A10EB9">
              <w:t>Extrajudicial, Summary or Arbitrary  Executions (2018)</w:t>
            </w:r>
          </w:p>
          <w:p w:rsidR="00A10EB9" w:rsidRPr="009E78E3" w:rsidRDefault="00A10EB9" w:rsidP="00730838">
            <w:pPr>
              <w:spacing w:before="40" w:after="120"/>
              <w:ind w:right="113"/>
            </w:pPr>
            <w:r w:rsidRPr="00A10EB9">
              <w:rPr>
                <w:lang w:val="en-US"/>
              </w:rPr>
              <w:t>Truth, Justice, Reparation and Guarantees of Non-Recurrence</w:t>
            </w:r>
            <w:r w:rsidRPr="00A10EB9">
              <w:t xml:space="preserve"> (2019)</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471995" w:rsidP="00953956">
            <w:pPr>
              <w:ind w:right="113"/>
            </w:pPr>
          </w:p>
        </w:tc>
        <w:tc>
          <w:tcPr>
            <w:tcW w:w="3400" w:type="dxa"/>
            <w:shd w:val="clear" w:color="auto" w:fill="auto"/>
          </w:tcPr>
          <w:p w:rsidR="00953956" w:rsidRPr="00A31ADE" w:rsidRDefault="00A10EB9" w:rsidP="00953956">
            <w:pPr>
              <w:rPr>
                <w:rFonts w:eastAsia="Calibri"/>
                <w:lang w:eastAsia="en-GB"/>
              </w:rPr>
            </w:pPr>
            <w:r w:rsidRPr="00A10EB9">
              <w:rPr>
                <w:rFonts w:eastAsia="Calibri"/>
                <w:lang w:eastAsia="en-GB"/>
              </w:rPr>
              <w:t>Migrants (2019)</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953956" w:rsidP="00953956">
            <w:pPr>
              <w:ind w:right="113"/>
            </w:pPr>
          </w:p>
        </w:tc>
        <w:tc>
          <w:tcPr>
            <w:tcW w:w="3400" w:type="dxa"/>
            <w:shd w:val="clear" w:color="auto" w:fill="auto"/>
          </w:tcPr>
          <w:p w:rsidR="00953956" w:rsidRPr="00BE3252" w:rsidRDefault="00A10EB9" w:rsidP="00953956">
            <w:pPr>
              <w:ind w:right="113"/>
            </w:pPr>
            <w:r w:rsidRPr="00A10EB9">
              <w:t>Toxic waste Discrimination against women</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A10EB9">
              <w:t>14</w:t>
            </w:r>
            <w:r w:rsidR="009D3FA1">
              <w:t xml:space="preserve"> communications were sent</w:t>
            </w:r>
            <w:r>
              <w:t>. The Government replied to</w:t>
            </w:r>
            <w:r w:rsidR="002B4657">
              <w:t xml:space="preserve"> </w:t>
            </w:r>
            <w:r w:rsidR="00953956">
              <w:t>6</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A327A7" w:rsidRPr="00A327A7">
        <w:rPr>
          <w:rStyle w:val="EndnoteReference"/>
          <w:b w:val="0"/>
        </w:rPr>
        <w:endnoteReference w:id="17"/>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1E3ED2" w:rsidRDefault="005D71E9" w:rsidP="001E3ED2">
            <w:pPr>
              <w:spacing w:before="40" w:after="120"/>
              <w:ind w:right="113"/>
              <w:rPr>
                <w:sz w:val="18"/>
                <w:vertAlign w:val="superscript"/>
              </w:rPr>
            </w:pPr>
            <w:r w:rsidRPr="005D71E9">
              <w:rPr>
                <w:i/>
                <w:sz w:val="16"/>
              </w:rPr>
              <w:t>Status during present cycle</w:t>
            </w:r>
            <w:r w:rsidR="001E3ED2" w:rsidRPr="001E3ED2">
              <w:rPr>
                <w:rStyle w:val="EndnoteReference"/>
              </w:rPr>
              <w:endnoteReference w:id="18"/>
            </w:r>
          </w:p>
        </w:tc>
      </w:tr>
      <w:tr w:rsidR="00A02BFB" w:rsidRPr="00332822" w:rsidTr="00A327A7">
        <w:trPr>
          <w:trHeight w:hRule="exact" w:val="609"/>
        </w:trPr>
        <w:tc>
          <w:tcPr>
            <w:tcW w:w="3211" w:type="dxa"/>
            <w:shd w:val="clear" w:color="auto" w:fill="auto"/>
            <w:vAlign w:val="bottom"/>
          </w:tcPr>
          <w:p w:rsidR="00A327A7" w:rsidRPr="00A327A7" w:rsidRDefault="00A327A7" w:rsidP="00A327A7">
            <w:pPr>
              <w:spacing w:before="80" w:after="80" w:line="200" w:lineRule="exact"/>
              <w:ind w:right="113"/>
              <w:rPr>
                <w:lang w:val="es-MX"/>
              </w:rPr>
            </w:pPr>
            <w:r w:rsidRPr="00A327A7">
              <w:rPr>
                <w:lang w:val="es-MX"/>
              </w:rPr>
              <w:t>Procuraduría para la Defensa de los</w:t>
            </w:r>
          </w:p>
          <w:p w:rsidR="00A02BFB" w:rsidRPr="00953956" w:rsidRDefault="00A327A7" w:rsidP="00A327A7">
            <w:pPr>
              <w:spacing w:before="80" w:after="80" w:line="200" w:lineRule="exact"/>
              <w:ind w:right="113"/>
            </w:pPr>
            <w:r w:rsidRPr="00A327A7">
              <w:rPr>
                <w:lang w:val="es-MX"/>
              </w:rPr>
              <w:t>Derechos humanos</w:t>
            </w:r>
          </w:p>
        </w:tc>
        <w:tc>
          <w:tcPr>
            <w:tcW w:w="3213" w:type="dxa"/>
            <w:shd w:val="clear" w:color="auto" w:fill="auto"/>
            <w:vAlign w:val="bottom"/>
          </w:tcPr>
          <w:p w:rsidR="00A02BFB" w:rsidRPr="00A81300" w:rsidRDefault="00A327A7" w:rsidP="0028001D">
            <w:pPr>
              <w:spacing w:before="80" w:after="80" w:line="200" w:lineRule="exact"/>
              <w:ind w:right="113"/>
            </w:pPr>
            <w:r>
              <w:t>A</w:t>
            </w:r>
          </w:p>
        </w:tc>
        <w:tc>
          <w:tcPr>
            <w:tcW w:w="3213" w:type="dxa"/>
            <w:shd w:val="clear" w:color="auto" w:fill="auto"/>
            <w:vAlign w:val="bottom"/>
          </w:tcPr>
          <w:p w:rsidR="00A02BFB" w:rsidRPr="00A81300" w:rsidRDefault="00A327A7" w:rsidP="0028001D">
            <w:pPr>
              <w:spacing w:before="80" w:after="80" w:line="200" w:lineRule="exact"/>
              <w:ind w:right="113"/>
            </w:pPr>
            <w:r>
              <w:t>A</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4453BD" w:rsidRDefault="004453BD" w:rsidP="004453BD">
      <w:pPr>
        <w:pStyle w:val="H4G"/>
      </w:pPr>
      <w:r>
        <w:t>Notes</w:t>
      </w:r>
    </w:p>
    <w:p w:rsidR="004453BD" w:rsidRPr="00174744" w:rsidRDefault="004453BD" w:rsidP="004453B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El Salvador </w:t>
      </w:r>
      <w:r w:rsidRPr="00806A55">
        <w:t>from the previous cycle (A/HRC/WG.6/</w:t>
      </w:r>
      <w:r>
        <w:t>20/SLV</w:t>
      </w:r>
      <w:r w:rsidRPr="00806A55">
        <w:t>/2).</w:t>
      </w:r>
    </w:p>
  </w:endnote>
  <w:endnote w:id="3">
    <w:p w:rsidR="004453BD" w:rsidRDefault="004453BD" w:rsidP="004453BD">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4453BD" w:rsidRPr="00174744" w:rsidRDefault="004453BD" w:rsidP="004453BD">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14342">
        <w:rPr>
          <w:szCs w:val="18"/>
        </w:rPr>
        <w:t>;</w:t>
      </w:r>
    </w:p>
    <w:p w:rsidR="004453BD" w:rsidRPr="00174744" w:rsidRDefault="00B14342" w:rsidP="004453BD">
      <w:pPr>
        <w:pStyle w:val="EndnoteText"/>
        <w:widowControl w:val="0"/>
        <w:ind w:left="3969" w:hanging="2268"/>
        <w:rPr>
          <w:szCs w:val="18"/>
        </w:rPr>
      </w:pPr>
      <w:r>
        <w:rPr>
          <w:szCs w:val="18"/>
        </w:rPr>
        <w:t>ICESCR</w:t>
      </w:r>
      <w:r w:rsidR="004453BD" w:rsidRPr="00174744">
        <w:rPr>
          <w:szCs w:val="18"/>
        </w:rPr>
        <w:tab/>
        <w:t>International Covenant on Economic, Social and Cultural Rights</w:t>
      </w:r>
      <w:r>
        <w:rPr>
          <w:szCs w:val="18"/>
        </w:rPr>
        <w:t>;</w:t>
      </w:r>
    </w:p>
    <w:p w:rsidR="004453BD" w:rsidRPr="00174744" w:rsidRDefault="004453BD" w:rsidP="004453BD">
      <w:pPr>
        <w:pStyle w:val="EndnoteText"/>
        <w:widowControl w:val="0"/>
        <w:ind w:left="3969" w:hanging="2269"/>
        <w:rPr>
          <w:szCs w:val="18"/>
        </w:rPr>
      </w:pPr>
      <w:r w:rsidRPr="00174744">
        <w:rPr>
          <w:szCs w:val="18"/>
        </w:rPr>
        <w:t>OP-ICESCR</w:t>
      </w:r>
      <w:r w:rsidRPr="00174744">
        <w:rPr>
          <w:szCs w:val="18"/>
        </w:rPr>
        <w:tab/>
        <w:t>Optional Protocol to ICESCR</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14342">
        <w:rPr>
          <w:szCs w:val="18"/>
        </w:rPr>
        <w:t>;</w:t>
      </w:r>
    </w:p>
    <w:p w:rsidR="004453BD" w:rsidRPr="00174744" w:rsidRDefault="004453BD" w:rsidP="004453BD">
      <w:pPr>
        <w:pStyle w:val="EndnoteText"/>
        <w:widowControl w:val="0"/>
        <w:ind w:left="3969" w:hanging="2268"/>
        <w:rPr>
          <w:szCs w:val="18"/>
        </w:rPr>
      </w:pPr>
      <w:r w:rsidRPr="00174744">
        <w:rPr>
          <w:szCs w:val="18"/>
        </w:rPr>
        <w:t>ICCPR-OP 1</w:t>
      </w:r>
      <w:r w:rsidRPr="00174744">
        <w:rPr>
          <w:szCs w:val="18"/>
        </w:rPr>
        <w:tab/>
        <w:t>Optional Protocol to ICCPR</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OP-CEDAW</w:t>
      </w:r>
      <w:r w:rsidRPr="00174744">
        <w:rPr>
          <w:szCs w:val="18"/>
        </w:rPr>
        <w:tab/>
        <w:t>Optional Protocol to CEDAW</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OP-CAT</w:t>
      </w:r>
      <w:r w:rsidRPr="00174744">
        <w:rPr>
          <w:szCs w:val="18"/>
        </w:rPr>
        <w:tab/>
        <w:t>Optional Protocol to CAT</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CRC</w:t>
      </w:r>
      <w:r w:rsidRPr="00174744">
        <w:rPr>
          <w:szCs w:val="18"/>
        </w:rPr>
        <w:tab/>
        <w:t>Convention on the Rights of the Child</w:t>
      </w:r>
      <w:r w:rsidR="00B14342">
        <w:rPr>
          <w:szCs w:val="18"/>
        </w:rPr>
        <w:t>;</w:t>
      </w:r>
    </w:p>
    <w:p w:rsidR="004453BD" w:rsidRPr="00174744" w:rsidRDefault="004453BD" w:rsidP="004453BD">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14342">
        <w:rPr>
          <w:szCs w:val="18"/>
        </w:rPr>
        <w:t>;</w:t>
      </w:r>
    </w:p>
    <w:p w:rsidR="004453BD" w:rsidRPr="00174744" w:rsidRDefault="004453BD" w:rsidP="004453BD">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14342">
        <w:rPr>
          <w:szCs w:val="18"/>
        </w:rPr>
        <w:t>;</w:t>
      </w:r>
    </w:p>
    <w:p w:rsidR="004453BD" w:rsidRPr="00174744" w:rsidRDefault="004453BD" w:rsidP="004453BD">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14342">
        <w:rPr>
          <w:szCs w:val="18"/>
        </w:rPr>
        <w:t>;</w:t>
      </w:r>
    </w:p>
    <w:p w:rsidR="004453BD" w:rsidRPr="00174744" w:rsidRDefault="004453BD" w:rsidP="004453BD">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14342">
        <w:rPr>
          <w:szCs w:val="18"/>
        </w:rPr>
        <w:t>;</w:t>
      </w:r>
    </w:p>
    <w:p w:rsidR="004453BD" w:rsidRPr="00174744" w:rsidRDefault="004453BD" w:rsidP="004453BD">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14342">
        <w:rPr>
          <w:szCs w:val="18"/>
        </w:rPr>
        <w:t>;</w:t>
      </w:r>
    </w:p>
    <w:p w:rsidR="004453BD" w:rsidRPr="00174744" w:rsidRDefault="004453BD" w:rsidP="004453BD">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14342">
        <w:rPr>
          <w:szCs w:val="18"/>
        </w:rPr>
        <w:t>;</w:t>
      </w:r>
    </w:p>
    <w:p w:rsidR="004453BD" w:rsidRPr="00AC3610" w:rsidRDefault="004453BD" w:rsidP="004453BD">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4453BD" w:rsidRDefault="004453BD" w:rsidP="004453BD">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754563" w:rsidRPr="00B14342" w:rsidRDefault="00754563" w:rsidP="00754563">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14342">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B14342">
        <w:rPr>
          <w:szCs w:val="18"/>
        </w:rPr>
        <w:t xml:space="preserve">) </w:t>
      </w:r>
      <w:r w:rsidRPr="00B14342">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754563" w:rsidRPr="00B14342" w:rsidRDefault="00754563" w:rsidP="00754563">
      <w:pPr>
        <w:pStyle w:val="EndnoteText"/>
        <w:widowControl w:val="0"/>
        <w:rPr>
          <w:szCs w:val="18"/>
        </w:rPr>
      </w:pPr>
      <w:r w:rsidRPr="00B14342">
        <w:rPr>
          <w:szCs w:val="18"/>
        </w:rPr>
        <w:tab/>
      </w:r>
      <w:r w:rsidRPr="00B14342">
        <w:rPr>
          <w:rStyle w:val="EndnoteReference"/>
          <w:szCs w:val="18"/>
        </w:rPr>
        <w:endnoteRef/>
      </w:r>
      <w:r w:rsidRPr="00B14342">
        <w:rPr>
          <w:szCs w:val="18"/>
        </w:rPr>
        <w:tab/>
        <w:t>1951 Convention relating to the Status of Refugees and its 1967 Protocol, 1954 Convention relating to the Status of Stateless Persons, and 1961 Convention on the Reduction of Statelessness.</w:t>
      </w:r>
    </w:p>
  </w:endnote>
  <w:endnote w:id="7">
    <w:p w:rsidR="00754563" w:rsidRPr="00B14342" w:rsidRDefault="00754563" w:rsidP="00754563">
      <w:pPr>
        <w:pStyle w:val="EndnoteText"/>
        <w:widowControl w:val="0"/>
        <w:rPr>
          <w:szCs w:val="18"/>
        </w:rPr>
      </w:pPr>
      <w:r w:rsidRPr="00B14342">
        <w:rPr>
          <w:szCs w:val="18"/>
        </w:rPr>
        <w:tab/>
      </w:r>
      <w:r w:rsidRPr="00B14342">
        <w:rPr>
          <w:rStyle w:val="EndnoteReference"/>
          <w:szCs w:val="18"/>
        </w:rPr>
        <w:endnoteRef/>
      </w:r>
      <w:r w:rsidRPr="00B14342">
        <w:rPr>
          <w:szCs w:val="18"/>
        </w:rPr>
        <w:tab/>
        <w:t>1951 Convention relating to the Status of Refugees and its 1967 Protocol, 1954 Convention relating to the Status of Stateless Persons, and 1961 Convention on the Reduction of Statelessness.</w:t>
      </w:r>
    </w:p>
  </w:endnote>
  <w:endnote w:id="8">
    <w:p w:rsidR="00754563" w:rsidRPr="00B14342" w:rsidRDefault="00754563" w:rsidP="00754563">
      <w:pPr>
        <w:pStyle w:val="EndnoteText"/>
        <w:widowControl w:val="0"/>
        <w:tabs>
          <w:tab w:val="clear" w:pos="1021"/>
          <w:tab w:val="right" w:pos="1020"/>
        </w:tabs>
        <w:rPr>
          <w:szCs w:val="18"/>
          <w:lang w:val="en-US"/>
        </w:rPr>
      </w:pPr>
      <w:r w:rsidRPr="00B14342">
        <w:rPr>
          <w:szCs w:val="18"/>
        </w:rPr>
        <w:tab/>
      </w:r>
      <w:r w:rsidRPr="00B14342">
        <w:rPr>
          <w:rStyle w:val="EndnoteReference"/>
          <w:szCs w:val="18"/>
        </w:rPr>
        <w:endnoteRef/>
      </w:r>
      <w:r w:rsidRPr="00B14342">
        <w:rPr>
          <w:szCs w:val="18"/>
        </w:rPr>
        <w:tab/>
      </w:r>
      <w:r w:rsidRPr="00B14342">
        <w:rPr>
          <w:szCs w:val="18"/>
          <w:lang w:val="en-US"/>
        </w:rPr>
        <w:t>Protocol to Prevent, Suppress and Punish Trafficking in Persons, Especially Women and Children, supplementing the United Nations Convention against Transnational Organized Crime.</w:t>
      </w:r>
    </w:p>
  </w:endnote>
  <w:endnote w:id="9">
    <w:p w:rsidR="00754563" w:rsidRPr="00B14342" w:rsidRDefault="00754563" w:rsidP="00754563">
      <w:pPr>
        <w:pStyle w:val="EndnoteText"/>
        <w:rPr>
          <w:szCs w:val="18"/>
        </w:rPr>
      </w:pPr>
      <w:r w:rsidRPr="00B14342">
        <w:rPr>
          <w:szCs w:val="18"/>
        </w:rPr>
        <w:tab/>
      </w:r>
      <w:r w:rsidRPr="00B14342">
        <w:rPr>
          <w:rStyle w:val="EndnoteReference"/>
          <w:szCs w:val="18"/>
        </w:rPr>
        <w:endnoteRef/>
      </w:r>
      <w:r w:rsidRPr="00B14342">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754563" w:rsidRPr="00B14342" w:rsidRDefault="00754563" w:rsidP="00754563">
      <w:pPr>
        <w:pStyle w:val="EndnoteText"/>
        <w:rPr>
          <w:szCs w:val="18"/>
        </w:rPr>
      </w:pPr>
      <w:r w:rsidRPr="00B14342">
        <w:rPr>
          <w:szCs w:val="18"/>
        </w:rPr>
        <w:tab/>
      </w:r>
      <w:r w:rsidRPr="00B14342">
        <w:rPr>
          <w:rStyle w:val="EndnoteReference"/>
          <w:szCs w:val="18"/>
        </w:rPr>
        <w:endnoteRef/>
      </w:r>
      <w:r w:rsidRPr="00B14342">
        <w:rPr>
          <w:szCs w:val="18"/>
        </w:rPr>
        <w:tab/>
        <w:t>ILO</w:t>
      </w:r>
      <w:r w:rsidRPr="00B14342">
        <w:rPr>
          <w:szCs w:val="18"/>
          <w:lang w:val="en-US"/>
        </w:rPr>
        <w:t xml:space="preserve"> Indigenous and Tribal Peoples Convention, 1989 (No. 169) and </w:t>
      </w:r>
      <w:r w:rsidRPr="00B14342">
        <w:rPr>
          <w:szCs w:val="18"/>
        </w:rPr>
        <w:t xml:space="preserve">Domestic Workers </w:t>
      </w:r>
      <w:r w:rsidRPr="00B14342">
        <w:rPr>
          <w:szCs w:val="18"/>
          <w:lang w:val="en-US"/>
        </w:rPr>
        <w:t>Convention, 2011 (No. 189)</w:t>
      </w:r>
      <w:r w:rsidRPr="00B14342">
        <w:rPr>
          <w:szCs w:val="18"/>
        </w:rPr>
        <w:t>.</w:t>
      </w:r>
    </w:p>
  </w:endnote>
  <w:endnote w:id="11">
    <w:p w:rsidR="00BA5FBA" w:rsidRPr="00B14342" w:rsidRDefault="00BA5FBA" w:rsidP="00BA5FBA">
      <w:pPr>
        <w:pStyle w:val="EndnoteText"/>
        <w:widowControl w:val="0"/>
        <w:tabs>
          <w:tab w:val="clear" w:pos="1021"/>
          <w:tab w:val="right" w:pos="1020"/>
        </w:tabs>
        <w:rPr>
          <w:szCs w:val="18"/>
        </w:rPr>
      </w:pPr>
      <w:r w:rsidRPr="00B14342">
        <w:tab/>
      </w:r>
      <w:r w:rsidRPr="00B14342">
        <w:rPr>
          <w:rStyle w:val="EndnoteReference"/>
        </w:rPr>
        <w:endnoteRef/>
      </w:r>
      <w:r w:rsidRPr="00B14342">
        <w:tab/>
      </w:r>
      <w:r w:rsidRPr="00B14342">
        <w:rPr>
          <w:szCs w:val="18"/>
        </w:rPr>
        <w:t>The following abbreviations have been used in the present document:</w:t>
      </w:r>
    </w:p>
    <w:p w:rsidR="00BA5FBA" w:rsidRPr="00B14342" w:rsidRDefault="00BA5FBA" w:rsidP="00BA5FBA">
      <w:pPr>
        <w:pStyle w:val="EndnoteText"/>
        <w:widowControl w:val="0"/>
        <w:spacing w:line="220" w:lineRule="atLeast"/>
        <w:ind w:left="3969" w:hanging="2268"/>
        <w:rPr>
          <w:szCs w:val="18"/>
        </w:rPr>
      </w:pPr>
      <w:r w:rsidRPr="00B14342">
        <w:rPr>
          <w:szCs w:val="18"/>
        </w:rPr>
        <w:t>CERD</w:t>
      </w:r>
      <w:r w:rsidRPr="00B14342">
        <w:rPr>
          <w:szCs w:val="18"/>
        </w:rPr>
        <w:tab/>
        <w:t>Committee on the Elimination of Racial Discrimination</w:t>
      </w:r>
      <w:r w:rsidR="00B14342">
        <w:rPr>
          <w:szCs w:val="18"/>
        </w:rPr>
        <w:t>,</w:t>
      </w:r>
    </w:p>
    <w:p w:rsidR="00BA5FBA" w:rsidRPr="00B14342" w:rsidRDefault="00BA5FBA" w:rsidP="00BA5FBA">
      <w:pPr>
        <w:pStyle w:val="EndnoteText"/>
        <w:widowControl w:val="0"/>
        <w:spacing w:line="220" w:lineRule="atLeast"/>
        <w:ind w:left="3969" w:hanging="2268"/>
        <w:rPr>
          <w:szCs w:val="18"/>
        </w:rPr>
      </w:pPr>
      <w:r w:rsidRPr="00B14342">
        <w:rPr>
          <w:szCs w:val="18"/>
        </w:rPr>
        <w:t>CESCR</w:t>
      </w:r>
      <w:r w:rsidRPr="00B14342">
        <w:rPr>
          <w:szCs w:val="18"/>
        </w:rPr>
        <w:tab/>
        <w:t>Committee on Economic, Social and Cultural Rights</w:t>
      </w:r>
      <w:r w:rsidR="00B14342">
        <w:rPr>
          <w:szCs w:val="18"/>
        </w:rPr>
        <w:t>;</w:t>
      </w:r>
    </w:p>
    <w:p w:rsidR="00BA5FBA" w:rsidRPr="00B14342" w:rsidRDefault="00BA5FBA" w:rsidP="00BA5FBA">
      <w:pPr>
        <w:pStyle w:val="EndnoteText"/>
        <w:widowControl w:val="0"/>
        <w:spacing w:line="220" w:lineRule="atLeast"/>
        <w:ind w:left="3969" w:hanging="2268"/>
        <w:rPr>
          <w:szCs w:val="18"/>
        </w:rPr>
      </w:pPr>
      <w:r w:rsidRPr="00B14342">
        <w:rPr>
          <w:szCs w:val="18"/>
        </w:rPr>
        <w:t>HR Committee</w:t>
      </w:r>
      <w:r w:rsidRPr="00B14342">
        <w:rPr>
          <w:szCs w:val="18"/>
        </w:rPr>
        <w:tab/>
        <w:t>Human Rights Committee</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B14342">
        <w:rPr>
          <w:szCs w:val="18"/>
        </w:rPr>
        <w:t>CEDAW</w:t>
      </w:r>
      <w:r w:rsidRPr="00B14342">
        <w:rPr>
          <w:szCs w:val="18"/>
        </w:rPr>
        <w:tab/>
        <w:t>Committee on the Elimination</w:t>
      </w:r>
      <w:r w:rsidRPr="00A82F81">
        <w:rPr>
          <w:szCs w:val="18"/>
        </w:rPr>
        <w:t xml:space="preserve"> of Discrimination against Women</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B14342">
        <w:rPr>
          <w:szCs w:val="18"/>
        </w:rPr>
        <w:t>;</w:t>
      </w:r>
    </w:p>
    <w:p w:rsidR="00BA5FBA" w:rsidRPr="00A82F81" w:rsidRDefault="00BA5FBA" w:rsidP="00BA5FBA">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B14342">
        <w:rPr>
          <w:szCs w:val="18"/>
        </w:rPr>
        <w:t>.</w:t>
      </w:r>
    </w:p>
  </w:endnote>
  <w:endnote w:id="12">
    <w:p w:rsidR="00990600" w:rsidRPr="00DC12F7" w:rsidRDefault="00B14342" w:rsidP="00B14342">
      <w:pPr>
        <w:pStyle w:val="EndnoteText"/>
        <w:jc w:val="both"/>
        <w:rPr>
          <w:szCs w:val="18"/>
        </w:rPr>
      </w:pPr>
      <w:r>
        <w:rPr>
          <w:szCs w:val="18"/>
        </w:rPr>
        <w:tab/>
      </w:r>
      <w:r w:rsidR="00990600" w:rsidRPr="00C72EE3">
        <w:rPr>
          <w:rStyle w:val="EndnoteReference"/>
          <w:szCs w:val="18"/>
        </w:rPr>
        <w:endnoteRef/>
      </w:r>
      <w:r>
        <w:rPr>
          <w:szCs w:val="18"/>
        </w:rPr>
        <w:tab/>
      </w:r>
      <w:r w:rsidR="00990600" w:rsidRPr="00C72EE3">
        <w:rPr>
          <w:bCs/>
          <w:szCs w:val="18"/>
        </w:rPr>
        <w:t xml:space="preserve">CERD/C/SLV/CO/16-17, para. </w:t>
      </w:r>
      <w:r w:rsidR="00990600" w:rsidRPr="00DC12F7">
        <w:rPr>
          <w:bCs/>
          <w:szCs w:val="18"/>
        </w:rPr>
        <w:t>29.</w:t>
      </w:r>
    </w:p>
  </w:endnote>
  <w:endnote w:id="13">
    <w:p w:rsidR="00990600" w:rsidRPr="00DC12F7" w:rsidRDefault="00B14342" w:rsidP="00B14342">
      <w:pPr>
        <w:pStyle w:val="EndnoteText"/>
        <w:jc w:val="both"/>
        <w:rPr>
          <w:szCs w:val="18"/>
        </w:rPr>
      </w:pPr>
      <w:r>
        <w:rPr>
          <w:szCs w:val="18"/>
        </w:rPr>
        <w:tab/>
      </w:r>
      <w:r w:rsidR="00990600" w:rsidRPr="00C73436">
        <w:rPr>
          <w:rStyle w:val="EndnoteReference"/>
          <w:szCs w:val="18"/>
        </w:rPr>
        <w:endnoteRef/>
      </w:r>
      <w:r>
        <w:rPr>
          <w:szCs w:val="18"/>
        </w:rPr>
        <w:tab/>
      </w:r>
      <w:r w:rsidR="00990600" w:rsidRPr="00DC12F7">
        <w:rPr>
          <w:bCs/>
          <w:szCs w:val="18"/>
        </w:rPr>
        <w:t>CCPR/C/SLV/CO/7, para. 44.</w:t>
      </w:r>
    </w:p>
  </w:endnote>
  <w:endnote w:id="14">
    <w:p w:rsidR="00990600" w:rsidRPr="00C72EE3" w:rsidRDefault="00B14342" w:rsidP="00B14342">
      <w:pPr>
        <w:pStyle w:val="EndnoteText"/>
        <w:jc w:val="both"/>
        <w:rPr>
          <w:szCs w:val="18"/>
        </w:rPr>
      </w:pPr>
      <w:r>
        <w:rPr>
          <w:szCs w:val="18"/>
        </w:rPr>
        <w:tab/>
      </w:r>
      <w:r w:rsidR="00990600" w:rsidRPr="00C72EE3">
        <w:rPr>
          <w:rStyle w:val="EndnoteReference"/>
          <w:szCs w:val="18"/>
        </w:rPr>
        <w:endnoteRef/>
      </w:r>
      <w:r>
        <w:rPr>
          <w:szCs w:val="18"/>
        </w:rPr>
        <w:tab/>
      </w:r>
      <w:r w:rsidR="00990600" w:rsidRPr="00DC12F7">
        <w:rPr>
          <w:szCs w:val="18"/>
        </w:rPr>
        <w:t xml:space="preserve">CEDAW/C/SLV/CO/8-9, para. </w:t>
      </w:r>
      <w:r w:rsidR="00990600" w:rsidRPr="00C72EE3">
        <w:rPr>
          <w:szCs w:val="18"/>
        </w:rPr>
        <w:t>52.</w:t>
      </w:r>
    </w:p>
  </w:endnote>
  <w:endnote w:id="15">
    <w:p w:rsidR="00990600" w:rsidRPr="00CB7ABE" w:rsidRDefault="00B14342" w:rsidP="00B14342">
      <w:pPr>
        <w:pStyle w:val="EndnoteText"/>
        <w:rPr>
          <w:szCs w:val="18"/>
        </w:rPr>
      </w:pPr>
      <w:r>
        <w:rPr>
          <w:szCs w:val="18"/>
        </w:rPr>
        <w:tab/>
      </w:r>
      <w:r w:rsidR="00990600" w:rsidRPr="00CB7ABE">
        <w:rPr>
          <w:rStyle w:val="EndnoteReference"/>
          <w:szCs w:val="18"/>
        </w:rPr>
        <w:endnoteRef/>
      </w:r>
      <w:r>
        <w:rPr>
          <w:szCs w:val="18"/>
        </w:rPr>
        <w:tab/>
      </w:r>
      <w:r w:rsidR="00990600" w:rsidRPr="00DC12F7">
        <w:rPr>
          <w:color w:val="444444"/>
          <w:szCs w:val="18"/>
          <w:lang w:val="en-US"/>
        </w:rPr>
        <w:t>CEDAW/C/SLV/CO/8-9/Add.1.</w:t>
      </w:r>
    </w:p>
  </w:endnote>
  <w:endnote w:id="16">
    <w:p w:rsidR="00A10EB9" w:rsidRPr="00A82F81" w:rsidRDefault="00A10EB9" w:rsidP="00A10EB9">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rsidR="00A327A7" w:rsidRPr="00A82F81" w:rsidRDefault="00A327A7" w:rsidP="00A327A7">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rsidR="001E3ED2" w:rsidRDefault="001E3ED2" w:rsidP="001E3ED2">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1E3ED2" w:rsidRDefault="001E3ED2" w:rsidP="001E3ED2">
      <w:pPr>
        <w:pStyle w:val="EndnoteText"/>
        <w:widowControl w:val="0"/>
        <w:ind w:firstLine="0"/>
        <w:rPr>
          <w:bCs/>
        </w:rPr>
      </w:pPr>
      <w:hyperlink r:id="rId1" w:history="1">
        <w:r>
          <w:rPr>
            <w:rStyle w:val="Hyperlink"/>
            <w:bCs/>
          </w:rPr>
          <w:t>https://nhri.ohchr.org/EN/Documents/Status%20Accreditation%20Chart%20%289%20May%202019%29.pdf</w:t>
        </w:r>
      </w:hyperlink>
    </w:p>
    <w:p w:rsidR="001E3ED2" w:rsidRDefault="001E3ED2" w:rsidP="001E3ED2">
      <w:pPr>
        <w:pStyle w:val="EndnoteText"/>
        <w:spacing w:before="240" w:line="240" w:lineRule="exact"/>
        <w:ind w:firstLine="0"/>
        <w:jc w:val="center"/>
        <w:rPr>
          <w:u w:val="single"/>
        </w:rPr>
      </w:pPr>
      <w:r>
        <w:rPr>
          <w:bCs/>
          <w:u w:val="single"/>
        </w:rPr>
        <w:tab/>
      </w:r>
      <w:r>
        <w:rPr>
          <w:bCs/>
          <w:u w:val="single"/>
        </w:rPr>
        <w:tab/>
      </w:r>
      <w:r>
        <w:rPr>
          <w:bCs/>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2B5A66">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2B5A66"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A6F50"/>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47840"/>
    <w:rsid w:val="001509BA"/>
    <w:rsid w:val="00151C6A"/>
    <w:rsid w:val="00157983"/>
    <w:rsid w:val="001614E7"/>
    <w:rsid w:val="00181B7D"/>
    <w:rsid w:val="001B4B04"/>
    <w:rsid w:val="001C215C"/>
    <w:rsid w:val="001C264A"/>
    <w:rsid w:val="001C6663"/>
    <w:rsid w:val="001C7895"/>
    <w:rsid w:val="001D26DF"/>
    <w:rsid w:val="001E2790"/>
    <w:rsid w:val="001E3ED2"/>
    <w:rsid w:val="001E5256"/>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B5A66"/>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53BD"/>
    <w:rsid w:val="00446DE4"/>
    <w:rsid w:val="00447761"/>
    <w:rsid w:val="00451EC3"/>
    <w:rsid w:val="00454C4D"/>
    <w:rsid w:val="0045777C"/>
    <w:rsid w:val="00471995"/>
    <w:rsid w:val="004721B1"/>
    <w:rsid w:val="004766F2"/>
    <w:rsid w:val="004859EC"/>
    <w:rsid w:val="00495639"/>
    <w:rsid w:val="00496A15"/>
    <w:rsid w:val="00496F2A"/>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0500"/>
    <w:rsid w:val="00722A33"/>
    <w:rsid w:val="0072632A"/>
    <w:rsid w:val="007278EA"/>
    <w:rsid w:val="00730838"/>
    <w:rsid w:val="00741A0B"/>
    <w:rsid w:val="0074200B"/>
    <w:rsid w:val="00754563"/>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326D"/>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0600"/>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0EB9"/>
    <w:rsid w:val="00A1427D"/>
    <w:rsid w:val="00A23424"/>
    <w:rsid w:val="00A31ADE"/>
    <w:rsid w:val="00A327A7"/>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342"/>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5FBA"/>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067C"/>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570C86"/>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8403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02D52-C39F-4B59-AA5E-96006D79C679}">
  <ds:schemaRefs>
    <ds:schemaRef ds:uri="http://schemas.openxmlformats.org/officeDocument/2006/bibliography"/>
  </ds:schemaRefs>
</ds:datastoreItem>
</file>

<file path=customXml/itemProps2.xml><?xml version="1.0" encoding="utf-8"?>
<ds:datastoreItem xmlns:ds="http://schemas.openxmlformats.org/officeDocument/2006/customXml" ds:itemID="{385E3B0E-7EA8-41E7-9C9E-716DDD152D8B}"/>
</file>

<file path=customXml/itemProps3.xml><?xml version="1.0" encoding="utf-8"?>
<ds:datastoreItem xmlns:ds="http://schemas.openxmlformats.org/officeDocument/2006/customXml" ds:itemID="{571249AE-F0E4-4644-B8E1-E84DC475DE94}"/>
</file>

<file path=customXml/itemProps4.xml><?xml version="1.0" encoding="utf-8"?>
<ds:datastoreItem xmlns:ds="http://schemas.openxmlformats.org/officeDocument/2006/customXml" ds:itemID="{FD912CA9-F641-4264-A27D-54B52D1FBE60}"/>
</file>

<file path=docProps/app.xml><?xml version="1.0" encoding="utf-8"?>
<Properties xmlns="http://schemas.openxmlformats.org/officeDocument/2006/extended-properties" xmlns:vt="http://schemas.openxmlformats.org/officeDocument/2006/docPropsVTypes">
  <Template>A_E.dotm</Template>
  <TotalTime>0</TotalTime>
  <Pages>6</Pages>
  <Words>709</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6_34_SLV_2_EL Savador_Annex_E</dc:title>
  <dc:creator>Sumiko IHARA</dc:creator>
  <cp:lastModifiedBy>Feyikemi Oyewole</cp:lastModifiedBy>
  <cp:revision>2</cp:revision>
  <cp:lastPrinted>2008-01-29T07:30:00Z</cp:lastPrinted>
  <dcterms:created xsi:type="dcterms:W3CDTF">2019-10-01T14:15:00Z</dcterms:created>
  <dcterms:modified xsi:type="dcterms:W3CDTF">2019-10-01T14:15:00Z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