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6" w:rsidRPr="005B30B6" w:rsidRDefault="005B30B6" w:rsidP="005B30B6">
      <w:pPr>
        <w:pStyle w:val="HChG"/>
        <w:rPr>
          <w:lang w:val="en-GB"/>
        </w:rPr>
      </w:pPr>
      <w:r w:rsidRPr="005B30B6">
        <w:rPr>
          <w:lang w:val="en-GB"/>
        </w:rPr>
        <w:t>List of abbrevia</w:t>
      </w:r>
      <w:bookmarkStart w:id="0" w:name="_GoBack"/>
      <w:bookmarkEnd w:id="0"/>
      <w:r w:rsidRPr="005B30B6">
        <w:rPr>
          <w:lang w:val="en-GB"/>
        </w:rPr>
        <w:t>tions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BR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Business Roadmap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CAO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Code of Administrative Offenses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CC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Civil Code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CCP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Code of Criminal Procedure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CDMP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Chronic Disease Management Program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CHR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Commissioner for Human Rights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CIS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Commonwealth of Independent States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CPC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Civil Procedural Code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CRC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Commissioner for the Rights of the Child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DIA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Department of Internal Affairs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EU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European Union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GP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General Prosecutor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HRC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Human Rights Council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ICT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Intra-Company Transfer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ILO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International Labor Organization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lang w:val="en-US"/>
        </w:rPr>
      </w:pPr>
      <w:r w:rsidRPr="00714B2D">
        <w:rPr>
          <w:lang w:val="en-US"/>
        </w:rPr>
        <w:t>KSO “DPCHI”</w:t>
      </w:r>
      <w:r>
        <w:rPr>
          <w:lang w:val="en-US"/>
        </w:rPr>
        <w:t xml:space="preserve"> at </w:t>
      </w:r>
      <w:r w:rsidRPr="00714B2D">
        <w:rPr>
          <w:lang w:val="en-US"/>
        </w:rPr>
        <w:t>the MFA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lang w:val="en-US"/>
        </w:rPr>
      </w:pPr>
      <w:r>
        <w:rPr>
          <w:lang w:val="en-US"/>
        </w:rPr>
        <w:tab/>
      </w:r>
      <w:r w:rsidRPr="00714B2D">
        <w:rPr>
          <w:lang w:val="en-US"/>
        </w:rPr>
        <w:t>The Dialogue Platform on Human Dimension” Consultative Advisory Board at the Ministry of Foreign Affairs of the Republic of Kazakhstan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LA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Legislative Act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MCI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Monthly Calculation Index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MFA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Ministry of Foreign Affairs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 w:rsidRPr="005B30B6">
        <w:rPr>
          <w:lang w:val="en-GB"/>
        </w:rPr>
        <w:t>MIA</w:t>
      </w:r>
      <w:r w:rsidRPr="005B30B6">
        <w:rPr>
          <w:lang w:val="en-GB"/>
        </w:rPr>
        <w:tab/>
      </w:r>
      <w:r w:rsidRPr="004E3467">
        <w:rPr>
          <w:bCs/>
          <w:lang w:val="en-US"/>
        </w:rPr>
        <w:t>Ministry of Internal Affairs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MM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Mass Media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MoJ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Ministry of Justice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NGOs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Non-Governmental Organizations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NHRIs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National Human Rights Institutions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NPM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National Preventive Mechanism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ODIHR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Office for Democratic Institutions and Human Rights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OHCHR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Office of the High Commissioner for Human Rights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OIC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Organization of Islamic Cooperation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OSCE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Organization for Security and Co-operation in Europe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PC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Penal Code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PHC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Primary Health Care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SDGs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Sustainable Development Goals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TBO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Tuberculosis Organizations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 w:rsidRPr="005B30B6">
        <w:rPr>
          <w:lang w:val="en-GB"/>
        </w:rPr>
        <w:t>TSA</w:t>
      </w:r>
      <w:r w:rsidRPr="005B30B6">
        <w:rPr>
          <w:lang w:val="en-GB"/>
        </w:rPr>
        <w:tab/>
      </w:r>
      <w:r w:rsidRPr="00714B2D">
        <w:rPr>
          <w:bCs/>
          <w:lang w:val="en-US"/>
        </w:rPr>
        <w:t>Targeted Social Assistance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UNDP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UN Development Program / UN Office in Nur-Sultan</w:t>
      </w:r>
    </w:p>
    <w:p w:rsidR="005B30B6" w:rsidRPr="005B30B6" w:rsidRDefault="005B30B6" w:rsidP="005B30B6">
      <w:pPr>
        <w:pStyle w:val="SingleTxtG"/>
        <w:tabs>
          <w:tab w:val="left" w:pos="2552"/>
        </w:tabs>
        <w:ind w:left="2544" w:hanging="1410"/>
        <w:rPr>
          <w:lang w:val="en-GB"/>
        </w:rPr>
      </w:pPr>
      <w:r>
        <w:rPr>
          <w:bCs/>
          <w:lang w:val="en-US"/>
        </w:rPr>
        <w:t>UNFPA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United Nations Population Fund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lastRenderedPageBreak/>
        <w:t>UNICEF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United Nations Children's Fund</w:t>
      </w:r>
    </w:p>
    <w:p w:rsidR="005B30B6" w:rsidRDefault="005B30B6" w:rsidP="005B30B6">
      <w:pPr>
        <w:pStyle w:val="SingleTxtG"/>
        <w:tabs>
          <w:tab w:val="left" w:pos="2552"/>
        </w:tabs>
        <w:ind w:left="2544" w:hanging="1410"/>
        <w:rPr>
          <w:bCs/>
          <w:lang w:val="en-US"/>
        </w:rPr>
      </w:pPr>
      <w:r>
        <w:rPr>
          <w:bCs/>
          <w:lang w:val="en-US"/>
        </w:rPr>
        <w:t>VET</w:t>
      </w:r>
      <w:r>
        <w:rPr>
          <w:bCs/>
          <w:lang w:val="en-US"/>
        </w:rPr>
        <w:tab/>
      </w:r>
      <w:r w:rsidRPr="004E3467">
        <w:rPr>
          <w:bCs/>
          <w:lang w:val="en-US"/>
        </w:rPr>
        <w:t>Vocational Education and Training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WHO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World Health Organization</w:t>
      </w:r>
    </w:p>
    <w:p w:rsidR="005B30B6" w:rsidRDefault="005B30B6" w:rsidP="005B30B6">
      <w:pPr>
        <w:pStyle w:val="SingleTxtG"/>
        <w:tabs>
          <w:tab w:val="left" w:pos="2552"/>
        </w:tabs>
        <w:rPr>
          <w:bCs/>
          <w:lang w:val="en-US"/>
        </w:rPr>
      </w:pPr>
      <w:r>
        <w:rPr>
          <w:bCs/>
          <w:lang w:val="en-US"/>
        </w:rPr>
        <w:t>WWII</w:t>
      </w:r>
      <w:r>
        <w:rPr>
          <w:bCs/>
          <w:lang w:val="en-US"/>
        </w:rPr>
        <w:tab/>
      </w:r>
      <w:r w:rsidRPr="00714B2D">
        <w:rPr>
          <w:bCs/>
          <w:lang w:val="en-US"/>
        </w:rPr>
        <w:t>World War II</w:t>
      </w:r>
    </w:p>
    <w:p w:rsidR="00446FE5" w:rsidRPr="005B30B6" w:rsidRDefault="005B30B6" w:rsidP="005B30B6">
      <w:pPr>
        <w:suppressAutoHyphens/>
        <w:spacing w:before="240" w:line="240" w:lineRule="atLeast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46FE5" w:rsidRPr="005B30B6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B6" w:rsidRDefault="005B30B6" w:rsidP="00F95C08"/>
  </w:endnote>
  <w:endnote w:type="continuationSeparator" w:id="0">
    <w:p w:rsidR="005B30B6" w:rsidRPr="00AC3823" w:rsidRDefault="005B30B6" w:rsidP="00AC3823">
      <w:pPr>
        <w:pStyle w:val="Footer"/>
      </w:pPr>
    </w:p>
  </w:endnote>
  <w:endnote w:type="continuationNotice" w:id="1">
    <w:p w:rsidR="005B30B6" w:rsidRDefault="005B3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B6" w:rsidRPr="00AC3823" w:rsidRDefault="005B30B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30B6" w:rsidRPr="00AC3823" w:rsidRDefault="005B30B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30B6" w:rsidRPr="00AC3823" w:rsidRDefault="005B30B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6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5B30B6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66CD5-60B6-445E-9518-CA9D2C7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B4EFC-FA7C-4240-82FF-86F7B583AA79}"/>
</file>

<file path=customXml/itemProps2.xml><?xml version="1.0" encoding="utf-8"?>
<ds:datastoreItem xmlns:ds="http://schemas.openxmlformats.org/officeDocument/2006/customXml" ds:itemID="{0FFAE45A-1C7E-4713-B4A3-06500F73DE95}"/>
</file>

<file path=customXml/itemProps3.xml><?xml version="1.0" encoding="utf-8"?>
<ds:datastoreItem xmlns:ds="http://schemas.openxmlformats.org/officeDocument/2006/customXml" ds:itemID="{44267103-B176-4751-99F4-302F5AC97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2019-10-16T08:56:00Z</dcterms:created>
  <dcterms:modified xsi:type="dcterms:W3CDTF">2019-10-16T08:58:00Z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1457800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