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DA2292">
        <w:t>Egypt</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DA2292" w:rsidRPr="00DA2292">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DA2292" w:rsidRPr="00DA2292">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CE0FF5" w:rsidRPr="00CE0FF5" w:rsidRDefault="00CE0FF5" w:rsidP="00CE0FF5">
            <w:pPr>
              <w:spacing w:before="40" w:after="120"/>
              <w:ind w:right="113"/>
            </w:pPr>
            <w:r w:rsidRPr="00CE0FF5">
              <w:t>ICERD (1967)</w:t>
            </w:r>
          </w:p>
          <w:p w:rsidR="00CE0FF5" w:rsidRPr="00CE0FF5" w:rsidRDefault="00CE0FF5" w:rsidP="00CE0FF5">
            <w:pPr>
              <w:spacing w:before="40" w:after="120"/>
              <w:ind w:right="113"/>
            </w:pPr>
            <w:r w:rsidRPr="00CE0FF5">
              <w:t>ICESCR (1982)</w:t>
            </w:r>
          </w:p>
          <w:p w:rsidR="00CE0FF5" w:rsidRPr="00CE0FF5" w:rsidRDefault="00CE0FF5" w:rsidP="00CE0FF5">
            <w:pPr>
              <w:spacing w:before="40" w:after="120"/>
              <w:ind w:right="113"/>
            </w:pPr>
            <w:r w:rsidRPr="00CE0FF5">
              <w:t>ICCPR (1982)</w:t>
            </w:r>
          </w:p>
          <w:p w:rsidR="00CE0FF5" w:rsidRPr="00CE0FF5" w:rsidRDefault="00CE0FF5" w:rsidP="00CE0FF5">
            <w:pPr>
              <w:spacing w:before="40" w:after="120"/>
              <w:ind w:right="113"/>
            </w:pPr>
            <w:r w:rsidRPr="00CE0FF5">
              <w:t>CEDAW (1981)</w:t>
            </w:r>
          </w:p>
          <w:p w:rsidR="00CE0FF5" w:rsidRPr="00CE0FF5" w:rsidRDefault="00CE0FF5" w:rsidP="00CE0FF5">
            <w:pPr>
              <w:spacing w:before="40" w:after="120"/>
              <w:ind w:right="113"/>
            </w:pPr>
            <w:r w:rsidRPr="00CE0FF5">
              <w:t>CAT (1986)</w:t>
            </w:r>
          </w:p>
          <w:p w:rsidR="00CE0FF5" w:rsidRPr="00CE0FF5" w:rsidRDefault="00CE0FF5" w:rsidP="00CE0FF5">
            <w:pPr>
              <w:spacing w:before="40" w:after="120"/>
              <w:ind w:right="113"/>
            </w:pPr>
            <w:r w:rsidRPr="00CE0FF5">
              <w:t>CRC (1990)</w:t>
            </w:r>
          </w:p>
          <w:p w:rsidR="00CE0FF5" w:rsidRPr="00CE0FF5" w:rsidRDefault="00CE0FF5" w:rsidP="00CE0FF5">
            <w:pPr>
              <w:spacing w:before="40" w:after="120"/>
              <w:ind w:right="113"/>
            </w:pPr>
            <w:r w:rsidRPr="00CE0FF5">
              <w:t>OP-CRC-AC (2007)</w:t>
            </w:r>
          </w:p>
          <w:p w:rsidR="00CE0FF5" w:rsidRPr="00CE0FF5" w:rsidRDefault="00CE0FF5" w:rsidP="00CE0FF5">
            <w:pPr>
              <w:spacing w:before="40" w:after="120"/>
              <w:ind w:right="113"/>
            </w:pPr>
            <w:r w:rsidRPr="00CE0FF5">
              <w:t>OP-CRC-SC (2002)</w:t>
            </w:r>
          </w:p>
          <w:p w:rsidR="00CE0FF5" w:rsidRPr="00CE0FF5" w:rsidRDefault="00CE0FF5" w:rsidP="00CE0FF5">
            <w:pPr>
              <w:spacing w:before="40" w:after="120"/>
              <w:ind w:right="113"/>
            </w:pPr>
            <w:r w:rsidRPr="00CE0FF5">
              <w:t>ICRMW (1993)</w:t>
            </w:r>
          </w:p>
          <w:p w:rsidR="00521F07" w:rsidRPr="00A02BFB" w:rsidRDefault="00CE0FF5" w:rsidP="00CE0FF5">
            <w:pPr>
              <w:spacing w:before="40" w:after="120"/>
              <w:ind w:right="113"/>
            </w:pPr>
            <w:r w:rsidRPr="00CE0FF5">
              <w:t>CRPD (2008)</w:t>
            </w:r>
          </w:p>
        </w:tc>
        <w:tc>
          <w:tcPr>
            <w:tcW w:w="2409" w:type="dxa"/>
            <w:shd w:val="clear" w:color="auto" w:fill="auto"/>
          </w:tcPr>
          <w:p w:rsidR="00A02BFB" w:rsidRPr="00A02BFB" w:rsidRDefault="00A02BFB" w:rsidP="00A4314D">
            <w:pPr>
              <w:spacing w:before="40" w:after="120"/>
              <w:ind w:right="113"/>
            </w:pPr>
          </w:p>
        </w:tc>
        <w:tc>
          <w:tcPr>
            <w:tcW w:w="2410" w:type="dxa"/>
            <w:shd w:val="clear" w:color="auto" w:fill="auto"/>
          </w:tcPr>
          <w:p w:rsidR="00CE0FF5" w:rsidRPr="00CE0FF5" w:rsidRDefault="00CE0FF5" w:rsidP="00CE0FF5">
            <w:pPr>
              <w:spacing w:before="40" w:after="120"/>
              <w:ind w:right="113"/>
            </w:pPr>
            <w:r w:rsidRPr="00CE0FF5">
              <w:t>ICCPR-OP 2</w:t>
            </w:r>
          </w:p>
          <w:p w:rsidR="00CE0FF5" w:rsidRPr="00CE0FF5" w:rsidRDefault="00CE0FF5" w:rsidP="00CE0FF5">
            <w:pPr>
              <w:spacing w:before="40" w:after="120"/>
              <w:ind w:right="113"/>
            </w:pPr>
            <w:r w:rsidRPr="00CE0FF5">
              <w:t>OP-CAT</w:t>
            </w:r>
          </w:p>
          <w:p w:rsidR="00A02BFB" w:rsidRPr="00A02BFB" w:rsidRDefault="00CE0FF5" w:rsidP="00CE0FF5">
            <w:pPr>
              <w:spacing w:before="40" w:after="120"/>
              <w:ind w:right="113"/>
            </w:pPr>
            <w:r w:rsidRPr="00CE0FF5">
              <w:t>ICPPED</w:t>
            </w:r>
          </w:p>
        </w:tc>
      </w:tr>
      <w:tr w:rsidR="00A02BFB" w:rsidRPr="00A02BFB" w:rsidTr="0028001D">
        <w:tc>
          <w:tcPr>
            <w:tcW w:w="2410" w:type="dxa"/>
            <w:tcBorders>
              <w:bottom w:val="single" w:sz="12" w:space="0" w:color="auto"/>
            </w:tcBorders>
            <w:shd w:val="clear" w:color="auto" w:fill="auto"/>
          </w:tcPr>
          <w:p w:rsidR="00A02BFB" w:rsidRPr="00A02BFB" w:rsidRDefault="00A4314D" w:rsidP="00DA2292">
            <w:pPr>
              <w:spacing w:before="40" w:after="120"/>
              <w:ind w:right="113"/>
            </w:pPr>
            <w:r w:rsidRPr="00A4314D">
              <w:rPr>
                <w:i/>
              </w:rPr>
              <w:t xml:space="preserve">Complaints procedures, inquiries and </w:t>
            </w:r>
            <w:r w:rsidRPr="00A4314D">
              <w:rPr>
                <w:i/>
              </w:rPr>
              <w:br/>
              <w:t>urgent action</w:t>
            </w:r>
            <w:r w:rsidR="00DA2292" w:rsidRPr="00DA2292">
              <w:rPr>
                <w:vertAlign w:val="superscript"/>
              </w:rPr>
              <w:endnoteReference w:id="4"/>
            </w:r>
          </w:p>
        </w:tc>
        <w:tc>
          <w:tcPr>
            <w:tcW w:w="2408" w:type="dxa"/>
            <w:tcBorders>
              <w:bottom w:val="single" w:sz="12" w:space="0" w:color="auto"/>
            </w:tcBorders>
            <w:shd w:val="clear" w:color="auto" w:fill="auto"/>
          </w:tcPr>
          <w:p w:rsidR="00A02BFB" w:rsidRPr="00A02BFB" w:rsidRDefault="00CE0FF5" w:rsidP="00B07B0C">
            <w:pPr>
              <w:spacing w:before="40" w:after="120"/>
              <w:ind w:right="113"/>
            </w:pPr>
            <w:r w:rsidRPr="00CE0FF5">
              <w:t>CAT, art. 20 (1986)</w:t>
            </w:r>
          </w:p>
        </w:tc>
        <w:tc>
          <w:tcPr>
            <w:tcW w:w="2409" w:type="dxa"/>
            <w:tcBorders>
              <w:bottom w:val="single" w:sz="12" w:space="0" w:color="auto"/>
            </w:tcBorders>
            <w:shd w:val="clear" w:color="auto" w:fill="auto"/>
          </w:tcPr>
          <w:p w:rsidR="00A02BFB" w:rsidRPr="00A02BFB" w:rsidRDefault="00A02BFB" w:rsidP="0028001D">
            <w:pPr>
              <w:spacing w:before="40" w:after="120"/>
              <w:ind w:right="113"/>
            </w:pPr>
          </w:p>
        </w:tc>
        <w:tc>
          <w:tcPr>
            <w:tcW w:w="2410" w:type="dxa"/>
            <w:tcBorders>
              <w:bottom w:val="single" w:sz="12" w:space="0" w:color="auto"/>
            </w:tcBorders>
            <w:shd w:val="clear" w:color="auto" w:fill="auto"/>
          </w:tcPr>
          <w:p w:rsidR="00CE0FF5" w:rsidRPr="00CE0FF5" w:rsidRDefault="00CE0FF5" w:rsidP="00CE0FF5">
            <w:pPr>
              <w:spacing w:before="40" w:after="120"/>
              <w:ind w:right="113"/>
            </w:pPr>
            <w:r w:rsidRPr="00CE0FF5">
              <w:t>ICERD, art. 14</w:t>
            </w:r>
          </w:p>
          <w:p w:rsidR="00CE0FF5" w:rsidRPr="00CE0FF5" w:rsidRDefault="00CE0FF5" w:rsidP="00CE0FF5">
            <w:pPr>
              <w:spacing w:before="40" w:after="120"/>
              <w:ind w:right="113"/>
            </w:pPr>
            <w:r w:rsidRPr="00CE0FF5">
              <w:t>OP-ICESCR</w:t>
            </w:r>
          </w:p>
          <w:p w:rsidR="00CE0FF5" w:rsidRPr="00CE0FF5" w:rsidRDefault="00CE0FF5" w:rsidP="00CE0FF5">
            <w:pPr>
              <w:spacing w:before="40" w:after="120"/>
              <w:ind w:right="113"/>
            </w:pPr>
            <w:r w:rsidRPr="00CE0FF5">
              <w:t xml:space="preserve">ICCPR, art. 41 </w:t>
            </w:r>
          </w:p>
          <w:p w:rsidR="00CE0FF5" w:rsidRPr="00CE0FF5" w:rsidRDefault="00CE0FF5" w:rsidP="00CE0FF5">
            <w:pPr>
              <w:spacing w:before="40" w:after="120"/>
              <w:ind w:right="113"/>
            </w:pPr>
            <w:r w:rsidRPr="00CE0FF5">
              <w:t>ICCPR-OP 1</w:t>
            </w:r>
          </w:p>
          <w:p w:rsidR="00CE0FF5" w:rsidRPr="00CE0FF5" w:rsidRDefault="00CE0FF5" w:rsidP="00CE0FF5">
            <w:pPr>
              <w:spacing w:before="40" w:after="120"/>
              <w:ind w:right="113"/>
            </w:pPr>
            <w:r w:rsidRPr="00CE0FF5">
              <w:t>OP-CEDAW</w:t>
            </w:r>
          </w:p>
          <w:p w:rsidR="00CE0FF5" w:rsidRPr="00CE0FF5" w:rsidRDefault="00CE0FF5" w:rsidP="00CE0FF5">
            <w:pPr>
              <w:spacing w:before="40" w:after="120"/>
              <w:ind w:right="113"/>
            </w:pPr>
            <w:r w:rsidRPr="00CE0FF5">
              <w:t>CAT, arts. 21 and 22</w:t>
            </w:r>
          </w:p>
          <w:p w:rsidR="00CE0FF5" w:rsidRPr="00CE0FF5" w:rsidRDefault="00CE0FF5" w:rsidP="00CE0FF5">
            <w:pPr>
              <w:spacing w:before="40" w:after="120"/>
              <w:ind w:right="113"/>
            </w:pPr>
            <w:r w:rsidRPr="00CE0FF5">
              <w:t>OP-CRC-IC</w:t>
            </w:r>
          </w:p>
          <w:p w:rsidR="00CE0FF5" w:rsidRPr="00CE0FF5" w:rsidRDefault="00CE0FF5" w:rsidP="00CE0FF5">
            <w:pPr>
              <w:spacing w:before="40" w:after="120"/>
              <w:ind w:right="113"/>
            </w:pPr>
            <w:r w:rsidRPr="00CE0FF5">
              <w:t>ICRMW, arts. 76 and 77</w:t>
            </w:r>
          </w:p>
          <w:p w:rsidR="00CE0FF5" w:rsidRPr="00CE0FF5" w:rsidRDefault="00CE0FF5" w:rsidP="00CE0FF5">
            <w:pPr>
              <w:spacing w:before="40" w:after="120"/>
              <w:ind w:right="113"/>
            </w:pPr>
            <w:r w:rsidRPr="00CE0FF5">
              <w:t>OP-CRPD</w:t>
            </w:r>
          </w:p>
          <w:p w:rsidR="00A02BFB" w:rsidRPr="00A02BFB" w:rsidRDefault="00CE0FF5" w:rsidP="00CE0FF5">
            <w:pPr>
              <w:spacing w:before="40" w:after="120"/>
              <w:ind w:right="113"/>
            </w:pPr>
            <w:r w:rsidRPr="00CE0FF5">
              <w:t>ICPPED</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7D2157" w:rsidRDefault="00DA2292" w:rsidP="0028001D">
            <w:pPr>
              <w:spacing w:before="40" w:after="120"/>
              <w:ind w:right="113"/>
            </w:pPr>
            <w:r w:rsidRPr="00DA2292">
              <w:t>ICERD (Reservation, art. 22, 1967)</w:t>
            </w:r>
          </w:p>
        </w:tc>
        <w:tc>
          <w:tcPr>
            <w:tcW w:w="2409" w:type="dxa"/>
            <w:shd w:val="clear" w:color="auto" w:fill="auto"/>
          </w:tcPr>
          <w:p w:rsidR="00517888" w:rsidRDefault="00DA2292" w:rsidP="0028001D">
            <w:pPr>
              <w:spacing w:before="40" w:after="120"/>
              <w:ind w:right="113"/>
            </w:pPr>
            <w:r>
              <w:t>--</w:t>
            </w:r>
          </w:p>
        </w:tc>
        <w:tc>
          <w:tcPr>
            <w:tcW w:w="2410" w:type="dxa"/>
            <w:shd w:val="clear" w:color="auto" w:fill="auto"/>
          </w:tcPr>
          <w:p w:rsidR="00517888" w:rsidRPr="0028001D" w:rsidRDefault="00DA2292" w:rsidP="0028001D">
            <w:pPr>
              <w:spacing w:before="40" w:after="120"/>
              <w:ind w:right="113"/>
              <w:rPr>
                <w:lang w:val="es-ES"/>
              </w:rPr>
            </w:pPr>
            <w:r w:rsidRPr="00DA2292">
              <w:t>ICERD (Reservation, art. 22)</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DA2292" w:rsidP="0028001D">
            <w:pPr>
              <w:spacing w:before="40" w:after="120"/>
              <w:ind w:right="113"/>
              <w:rPr>
                <w:lang w:val="fr-CH"/>
              </w:rPr>
            </w:pPr>
            <w:r w:rsidRPr="00DA2292">
              <w:t>ICESCR (General declaration, 1982)</w:t>
            </w:r>
          </w:p>
        </w:tc>
        <w:tc>
          <w:tcPr>
            <w:tcW w:w="2409" w:type="dxa"/>
            <w:shd w:val="clear" w:color="auto" w:fill="auto"/>
          </w:tcPr>
          <w:p w:rsidR="00517888" w:rsidRDefault="00DA2292" w:rsidP="0028001D">
            <w:pPr>
              <w:spacing w:before="40" w:after="120"/>
              <w:ind w:right="113"/>
            </w:pPr>
            <w:r>
              <w:t>--</w:t>
            </w:r>
          </w:p>
        </w:tc>
        <w:tc>
          <w:tcPr>
            <w:tcW w:w="2410" w:type="dxa"/>
            <w:shd w:val="clear" w:color="auto" w:fill="auto"/>
          </w:tcPr>
          <w:p w:rsidR="00517888" w:rsidRPr="0028001D" w:rsidRDefault="00DA2292" w:rsidP="0028001D">
            <w:pPr>
              <w:spacing w:before="40" w:after="120"/>
              <w:ind w:right="113"/>
              <w:rPr>
                <w:lang w:val="es-ES"/>
              </w:rPr>
            </w:pPr>
            <w:r w:rsidRPr="00DA2292">
              <w:t>ICESCR (General declaration)</w:t>
            </w:r>
          </w:p>
        </w:tc>
      </w:tr>
      <w:tr w:rsidR="00517888" w:rsidRPr="00A02BFB" w:rsidTr="0066149A">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17888" w:rsidRDefault="00DA2292" w:rsidP="0028001D">
            <w:pPr>
              <w:spacing w:before="40" w:after="120"/>
              <w:ind w:right="113"/>
            </w:pPr>
            <w:r w:rsidRPr="00DA2292">
              <w:t>ICCPR (General declaration, 1982)</w:t>
            </w:r>
          </w:p>
        </w:tc>
        <w:tc>
          <w:tcPr>
            <w:tcW w:w="2409" w:type="dxa"/>
            <w:shd w:val="clear" w:color="auto" w:fill="auto"/>
          </w:tcPr>
          <w:p w:rsidR="00517888" w:rsidRDefault="00DA2292" w:rsidP="0028001D">
            <w:pPr>
              <w:spacing w:before="40" w:after="120"/>
              <w:ind w:right="113"/>
            </w:pPr>
            <w:r>
              <w:t>--</w:t>
            </w:r>
          </w:p>
        </w:tc>
        <w:tc>
          <w:tcPr>
            <w:tcW w:w="2410" w:type="dxa"/>
            <w:shd w:val="clear" w:color="auto" w:fill="auto"/>
          </w:tcPr>
          <w:p w:rsidR="00517888" w:rsidRPr="00517888" w:rsidRDefault="00DA2292" w:rsidP="0028001D">
            <w:pPr>
              <w:spacing w:before="40" w:after="120"/>
              <w:ind w:right="113"/>
            </w:pPr>
            <w:r w:rsidRPr="00DA2292">
              <w:t>ICCPR (General declaration)</w:t>
            </w:r>
          </w:p>
        </w:tc>
      </w:tr>
      <w:tr w:rsidR="0066149A" w:rsidRPr="00A02BFB" w:rsidTr="0066149A">
        <w:tc>
          <w:tcPr>
            <w:tcW w:w="2409" w:type="dxa"/>
            <w:shd w:val="clear" w:color="auto" w:fill="auto"/>
          </w:tcPr>
          <w:p w:rsidR="0066149A" w:rsidRPr="00A02BFB" w:rsidRDefault="0066149A" w:rsidP="0028001D">
            <w:pPr>
              <w:spacing w:before="40" w:after="120"/>
              <w:ind w:right="113"/>
            </w:pPr>
          </w:p>
        </w:tc>
        <w:tc>
          <w:tcPr>
            <w:tcW w:w="2409" w:type="dxa"/>
            <w:shd w:val="clear" w:color="auto" w:fill="auto"/>
          </w:tcPr>
          <w:p w:rsidR="0066149A" w:rsidRPr="0066149A" w:rsidRDefault="00DA2292" w:rsidP="0028001D">
            <w:pPr>
              <w:spacing w:before="40" w:after="120"/>
              <w:ind w:right="113"/>
            </w:pPr>
            <w:r w:rsidRPr="00DA2292">
              <w:t>CEDAW (Reservations, arts. 2, 16 and 29.2, 1981)</w:t>
            </w:r>
          </w:p>
        </w:tc>
        <w:tc>
          <w:tcPr>
            <w:tcW w:w="2409" w:type="dxa"/>
            <w:shd w:val="clear" w:color="auto" w:fill="auto"/>
          </w:tcPr>
          <w:p w:rsidR="0066149A" w:rsidRDefault="00DA2292" w:rsidP="0028001D">
            <w:pPr>
              <w:spacing w:before="40" w:after="120"/>
              <w:ind w:right="113"/>
            </w:pPr>
            <w:r>
              <w:t>--</w:t>
            </w:r>
          </w:p>
        </w:tc>
        <w:tc>
          <w:tcPr>
            <w:tcW w:w="2410" w:type="dxa"/>
            <w:shd w:val="clear" w:color="auto" w:fill="auto"/>
          </w:tcPr>
          <w:p w:rsidR="0066149A" w:rsidRPr="00517888" w:rsidRDefault="00DA2292" w:rsidP="0028001D">
            <w:pPr>
              <w:spacing w:before="40" w:after="120"/>
              <w:ind w:right="113"/>
            </w:pPr>
            <w:r w:rsidRPr="00DA2292">
              <w:t>CEDAW (Reservations, arts. 2, 16 and 29.2)</w:t>
            </w:r>
          </w:p>
        </w:tc>
      </w:tr>
      <w:tr w:rsidR="00DA2292" w:rsidRPr="00A02BFB" w:rsidTr="0066149A">
        <w:tc>
          <w:tcPr>
            <w:tcW w:w="2409" w:type="dxa"/>
            <w:shd w:val="clear" w:color="auto" w:fill="auto"/>
          </w:tcPr>
          <w:p w:rsidR="00DA2292" w:rsidRPr="00A02BFB" w:rsidRDefault="00DA2292" w:rsidP="0028001D">
            <w:pPr>
              <w:spacing w:before="40" w:after="120"/>
              <w:ind w:right="113"/>
            </w:pPr>
          </w:p>
        </w:tc>
        <w:tc>
          <w:tcPr>
            <w:tcW w:w="2409" w:type="dxa"/>
            <w:shd w:val="clear" w:color="auto" w:fill="auto"/>
          </w:tcPr>
          <w:p w:rsidR="00DA2292" w:rsidRPr="0066149A" w:rsidRDefault="00DA2292" w:rsidP="0028001D">
            <w:pPr>
              <w:spacing w:before="40" w:after="120"/>
              <w:ind w:right="113"/>
            </w:pPr>
            <w:r w:rsidRPr="00DA2292">
              <w:t>OP-CRC-AC (Declaration, art. 3.2, minimum age of recruitment 18 years, 2007)</w:t>
            </w:r>
          </w:p>
        </w:tc>
        <w:tc>
          <w:tcPr>
            <w:tcW w:w="2409" w:type="dxa"/>
            <w:shd w:val="clear" w:color="auto" w:fill="auto"/>
          </w:tcPr>
          <w:p w:rsidR="00DA2292" w:rsidRDefault="00DA2292" w:rsidP="0028001D">
            <w:pPr>
              <w:spacing w:before="40" w:after="120"/>
              <w:ind w:right="113"/>
            </w:pPr>
            <w:r>
              <w:t>--</w:t>
            </w:r>
          </w:p>
        </w:tc>
        <w:tc>
          <w:tcPr>
            <w:tcW w:w="2410" w:type="dxa"/>
            <w:shd w:val="clear" w:color="auto" w:fill="auto"/>
          </w:tcPr>
          <w:p w:rsidR="00DA2292" w:rsidRPr="00517888" w:rsidRDefault="003F48B9" w:rsidP="0028001D">
            <w:pPr>
              <w:spacing w:before="40" w:after="120"/>
              <w:ind w:right="113"/>
            </w:pPr>
            <w:r w:rsidRPr="003F48B9">
              <w:t>OP-CRC-AC (Declaration, art. 3.2, minimum age of recruitment 18 years)</w:t>
            </w:r>
          </w:p>
        </w:tc>
      </w:tr>
      <w:tr w:rsidR="0066149A" w:rsidRPr="00A02BFB" w:rsidTr="0066149A">
        <w:tc>
          <w:tcPr>
            <w:tcW w:w="2409" w:type="dxa"/>
            <w:shd w:val="clear" w:color="auto" w:fill="auto"/>
          </w:tcPr>
          <w:p w:rsidR="0066149A" w:rsidRPr="00A02BFB" w:rsidRDefault="0066149A" w:rsidP="0028001D">
            <w:pPr>
              <w:spacing w:before="40" w:after="120"/>
              <w:ind w:right="113"/>
            </w:pPr>
          </w:p>
        </w:tc>
        <w:tc>
          <w:tcPr>
            <w:tcW w:w="2409" w:type="dxa"/>
            <w:shd w:val="clear" w:color="auto" w:fill="auto"/>
          </w:tcPr>
          <w:p w:rsidR="0066149A" w:rsidRPr="0066149A" w:rsidRDefault="003F48B9" w:rsidP="0028001D">
            <w:pPr>
              <w:spacing w:before="40" w:after="120"/>
              <w:ind w:right="113"/>
            </w:pPr>
            <w:r w:rsidRPr="003F48B9">
              <w:t>ICRMW (Reservations, arts. 4 and 18.6, 1993)</w:t>
            </w:r>
          </w:p>
        </w:tc>
        <w:tc>
          <w:tcPr>
            <w:tcW w:w="2409" w:type="dxa"/>
            <w:shd w:val="clear" w:color="auto" w:fill="auto"/>
          </w:tcPr>
          <w:p w:rsidR="0066149A" w:rsidRDefault="003F48B9" w:rsidP="0028001D">
            <w:pPr>
              <w:spacing w:before="40" w:after="120"/>
              <w:ind w:right="113"/>
            </w:pPr>
            <w:r>
              <w:t>--</w:t>
            </w:r>
          </w:p>
        </w:tc>
        <w:tc>
          <w:tcPr>
            <w:tcW w:w="2410" w:type="dxa"/>
            <w:shd w:val="clear" w:color="auto" w:fill="auto"/>
          </w:tcPr>
          <w:p w:rsidR="0066149A" w:rsidRPr="0066149A" w:rsidRDefault="003F48B9" w:rsidP="0028001D">
            <w:pPr>
              <w:spacing w:before="40" w:after="120"/>
              <w:ind w:right="113"/>
            </w:pPr>
            <w:r w:rsidRPr="003F48B9">
              <w:t>ICRMW (Reservations, arts. 4 and 18.6)</w:t>
            </w: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3F48B9" w:rsidP="0028001D">
            <w:pPr>
              <w:spacing w:before="40" w:after="120"/>
              <w:ind w:right="113"/>
            </w:pPr>
            <w:r w:rsidRPr="003F48B9">
              <w:t>CRPD (Interpretative declaration, art. 12, 2008)</w:t>
            </w:r>
          </w:p>
        </w:tc>
        <w:tc>
          <w:tcPr>
            <w:tcW w:w="2409" w:type="dxa"/>
            <w:tcBorders>
              <w:bottom w:val="single" w:sz="12" w:space="0" w:color="auto"/>
            </w:tcBorders>
            <w:shd w:val="clear" w:color="auto" w:fill="auto"/>
          </w:tcPr>
          <w:p w:rsidR="0066149A" w:rsidRDefault="003F48B9" w:rsidP="0028001D">
            <w:pPr>
              <w:spacing w:before="40" w:after="120"/>
              <w:ind w:right="113"/>
            </w:pPr>
            <w:r>
              <w:t>--</w:t>
            </w:r>
          </w:p>
        </w:tc>
        <w:tc>
          <w:tcPr>
            <w:tcW w:w="2410" w:type="dxa"/>
            <w:tcBorders>
              <w:bottom w:val="single" w:sz="12" w:space="0" w:color="auto"/>
            </w:tcBorders>
            <w:shd w:val="clear" w:color="auto" w:fill="auto"/>
          </w:tcPr>
          <w:p w:rsidR="0066149A" w:rsidRPr="0066149A" w:rsidRDefault="003F48B9" w:rsidP="0028001D">
            <w:pPr>
              <w:spacing w:before="40" w:after="120"/>
              <w:ind w:right="113"/>
            </w:pPr>
            <w:r w:rsidRPr="003F48B9">
              <w:t>CRPD (Interpretative declaration, art. 12)</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21454A" w:rsidP="0028001D">
            <w:pPr>
              <w:spacing w:before="40" w:after="120"/>
              <w:ind w:right="113"/>
              <w:rPr>
                <w:highlight w:val="yellow"/>
              </w:rPr>
            </w:pPr>
            <w:r w:rsidRPr="0021454A">
              <w:t>Convention on the Prevention and Punishment of the Crime of Genocide</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21454A" w:rsidP="0028001D">
            <w:pPr>
              <w:spacing w:before="40" w:after="120"/>
              <w:ind w:right="113"/>
            </w:pPr>
            <w:r w:rsidRPr="0021454A">
              <w:t>Geneva Conventions of 12 August 1949 and Additional Protocols I and II</w:t>
            </w:r>
            <w:r w:rsidRPr="0021454A">
              <w:rPr>
                <w:rStyle w:val="EndnoteReference"/>
              </w:rPr>
              <w:endnoteReference w:id="5"/>
            </w: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21454A" w:rsidP="0028001D">
            <w:pPr>
              <w:spacing w:before="40" w:after="120"/>
              <w:ind w:right="113"/>
            </w:pPr>
            <w:r>
              <w:t>Additional Protocol III to the 1949 Geneva Conventions</w:t>
            </w:r>
            <w:r w:rsidRPr="0021454A">
              <w:rPr>
                <w:rStyle w:val="EndnoteReference"/>
              </w:rPr>
              <w:endnoteReference w:id="6"/>
            </w: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C672B5" w:rsidP="0028001D">
            <w:pPr>
              <w:spacing w:before="40" w:after="120"/>
              <w:ind w:right="113"/>
            </w:pPr>
            <w:r w:rsidRPr="00C672B5">
              <w:t>Rome Statute of the International Criminal Court</w:t>
            </w:r>
            <w:r w:rsidRPr="00C672B5">
              <w:rPr>
                <w:rStyle w:val="EndnoteReference"/>
              </w:rPr>
              <w:endnoteReference w:id="7"/>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C32D5E"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C672B5" w:rsidP="0028001D">
            <w:pPr>
              <w:spacing w:before="40" w:after="120"/>
              <w:ind w:right="113"/>
            </w:pPr>
            <w:r w:rsidRPr="00C672B5">
              <w:t>Conventions on refugees and stateless persons</w:t>
            </w:r>
            <w:r w:rsidRPr="00C672B5">
              <w:rPr>
                <w:rStyle w:val="EndnoteReference"/>
              </w:rPr>
              <w:endnoteReference w:id="8"/>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C672B5" w:rsidP="0028001D">
            <w:pPr>
              <w:spacing w:before="40" w:after="120"/>
              <w:ind w:right="113"/>
            </w:pPr>
            <w:r w:rsidRPr="00C672B5">
              <w:t>Palermo Protocol</w:t>
            </w:r>
            <w:r w:rsidRPr="00C672B5">
              <w:rPr>
                <w:rStyle w:val="EndnoteReference"/>
              </w:rPr>
              <w:endnoteReference w:id="9"/>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B34871" w:rsidRPr="00A02BFB" w:rsidTr="002E5BE3">
        <w:tc>
          <w:tcPr>
            <w:tcW w:w="2409" w:type="dxa"/>
            <w:shd w:val="clear" w:color="auto" w:fill="auto"/>
          </w:tcPr>
          <w:p w:rsidR="00B34871" w:rsidRPr="00A02BFB" w:rsidRDefault="00E20A2C" w:rsidP="0028001D">
            <w:pPr>
              <w:spacing w:before="40" w:after="120"/>
              <w:ind w:right="113"/>
            </w:pPr>
          </w:p>
        </w:tc>
        <w:tc>
          <w:tcPr>
            <w:tcW w:w="2409" w:type="dxa"/>
            <w:shd w:val="clear" w:color="auto" w:fill="auto"/>
          </w:tcPr>
          <w:p w:rsidR="00B34871" w:rsidRPr="007642AD" w:rsidRDefault="00C672B5" w:rsidP="0028001D">
            <w:pPr>
              <w:spacing w:before="40" w:after="120"/>
              <w:ind w:right="113"/>
              <w:rPr>
                <w:lang w:val="es-ES"/>
              </w:rPr>
            </w:pPr>
            <w:r w:rsidRPr="00C672B5">
              <w:t>ILO fundamental Conventions</w:t>
            </w:r>
            <w:r w:rsidRPr="00C672B5">
              <w:rPr>
                <w:rStyle w:val="EndnoteReference"/>
              </w:rPr>
              <w:endnoteReference w:id="10"/>
            </w:r>
          </w:p>
        </w:tc>
        <w:tc>
          <w:tcPr>
            <w:tcW w:w="2409" w:type="dxa"/>
            <w:shd w:val="clear" w:color="auto" w:fill="auto"/>
          </w:tcPr>
          <w:p w:rsidR="00B34871" w:rsidRDefault="00E20A2C" w:rsidP="0028001D">
            <w:pPr>
              <w:spacing w:before="40" w:after="120"/>
              <w:ind w:right="113"/>
            </w:pPr>
          </w:p>
        </w:tc>
        <w:tc>
          <w:tcPr>
            <w:tcW w:w="2410" w:type="dxa"/>
            <w:shd w:val="clear" w:color="auto" w:fill="auto"/>
          </w:tcPr>
          <w:p w:rsidR="00B34871" w:rsidRDefault="00C672B5" w:rsidP="0028001D">
            <w:pPr>
              <w:spacing w:before="40" w:after="120"/>
              <w:ind w:right="113"/>
            </w:pPr>
            <w:r>
              <w:t>ILO Conventions Nos. 169 and 189</w:t>
            </w:r>
            <w:r w:rsidRPr="00C672B5">
              <w:rPr>
                <w:rStyle w:val="EndnoteReference"/>
              </w:rPr>
              <w:endnoteReference w:id="11"/>
            </w: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C672B5" w:rsidP="0028001D">
            <w:pPr>
              <w:spacing w:before="40" w:after="120"/>
              <w:ind w:right="113"/>
              <w:rPr>
                <w:lang w:val="es-ES"/>
              </w:rPr>
            </w:pPr>
            <w:r w:rsidRPr="00C672B5">
              <w:t>UNESCO Convention against Discrimination in Education</w:t>
            </w: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2E5BE3"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B70275" w:rsidRPr="00B70275">
        <w:t>Cooperation with treaty bodies</w:t>
      </w:r>
      <w:r w:rsidR="00A23424" w:rsidRPr="00A23424">
        <w:rPr>
          <w:rStyle w:val="EndnoteReference"/>
          <w:b w:val="0"/>
        </w:rPr>
        <w:endnoteReference w:id="12"/>
      </w:r>
    </w:p>
    <w:p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CF6980" w:rsidP="0028001D">
            <w:pPr>
              <w:spacing w:before="40" w:after="120"/>
              <w:ind w:right="113"/>
            </w:pPr>
            <w:r>
              <w:t>CERD</w:t>
            </w:r>
          </w:p>
        </w:tc>
        <w:tc>
          <w:tcPr>
            <w:tcW w:w="1928"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CF6980" w:rsidP="0028001D">
            <w:pPr>
              <w:spacing w:before="40" w:after="120"/>
              <w:ind w:right="113"/>
            </w:pPr>
            <w:r>
              <w:t>2014</w:t>
            </w:r>
          </w:p>
        </w:tc>
        <w:tc>
          <w:tcPr>
            <w:tcW w:w="1927" w:type="dxa"/>
            <w:shd w:val="clear" w:color="auto" w:fill="auto"/>
          </w:tcPr>
          <w:p w:rsidR="00A02BFB" w:rsidRPr="00A02BFB" w:rsidRDefault="00CF6980" w:rsidP="0028001D">
            <w:pPr>
              <w:spacing w:before="40" w:after="120"/>
              <w:ind w:right="113"/>
            </w:pPr>
            <w:r>
              <w:t>December 2015</w:t>
            </w:r>
          </w:p>
        </w:tc>
        <w:tc>
          <w:tcPr>
            <w:tcW w:w="1927" w:type="dxa"/>
            <w:shd w:val="clear" w:color="auto" w:fill="auto"/>
          </w:tcPr>
          <w:p w:rsidR="00A02BFB" w:rsidRPr="00A02BFB" w:rsidRDefault="00CF6980" w:rsidP="0028001D">
            <w:pPr>
              <w:spacing w:before="40" w:after="120"/>
              <w:ind w:right="113"/>
            </w:pPr>
            <w:r w:rsidRPr="00CF6980">
              <w:rPr>
                <w:bCs/>
              </w:rPr>
              <w:t>Twenty-third to twenty-fifth reports overdue since 2018.</w:t>
            </w:r>
          </w:p>
        </w:tc>
      </w:tr>
      <w:tr w:rsidR="00FD242A" w:rsidRPr="00A02BFB" w:rsidTr="0028001D">
        <w:tc>
          <w:tcPr>
            <w:tcW w:w="1928" w:type="dxa"/>
            <w:shd w:val="clear" w:color="auto" w:fill="auto"/>
          </w:tcPr>
          <w:p w:rsidR="00A02BFB" w:rsidRPr="00A02BFB" w:rsidRDefault="00CF6980" w:rsidP="0028001D">
            <w:pPr>
              <w:spacing w:before="40" w:after="120"/>
              <w:ind w:right="113"/>
            </w:pPr>
            <w:r>
              <w:lastRenderedPageBreak/>
              <w:t>CESCR</w:t>
            </w:r>
          </w:p>
        </w:tc>
        <w:tc>
          <w:tcPr>
            <w:tcW w:w="1928" w:type="dxa"/>
            <w:shd w:val="clear" w:color="auto" w:fill="auto"/>
          </w:tcPr>
          <w:p w:rsidR="00A02BFB" w:rsidRPr="00A02BFB" w:rsidRDefault="00CF6980" w:rsidP="0028001D">
            <w:pPr>
              <w:spacing w:before="40" w:after="120"/>
              <w:ind w:right="113"/>
            </w:pPr>
            <w:r>
              <w:t>November 2013</w:t>
            </w:r>
          </w:p>
        </w:tc>
        <w:tc>
          <w:tcPr>
            <w:tcW w:w="1927"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CF6980" w:rsidP="0028001D">
            <w:pPr>
              <w:spacing w:before="40" w:after="120"/>
              <w:ind w:right="113"/>
            </w:pPr>
            <w:r w:rsidRPr="00CF6980">
              <w:t>Fifth report overdue since 2018.</w:t>
            </w:r>
          </w:p>
        </w:tc>
      </w:tr>
      <w:tr w:rsidR="00FD242A" w:rsidRPr="00A02BFB" w:rsidTr="0028001D">
        <w:tc>
          <w:tcPr>
            <w:tcW w:w="1928" w:type="dxa"/>
            <w:shd w:val="clear" w:color="auto" w:fill="auto"/>
          </w:tcPr>
          <w:p w:rsidR="00A02BFB" w:rsidRPr="00A02BFB" w:rsidRDefault="00CF6980" w:rsidP="0028001D">
            <w:pPr>
              <w:spacing w:before="40" w:after="120"/>
              <w:ind w:right="113"/>
            </w:pPr>
            <w:r>
              <w:t>HR Committee</w:t>
            </w:r>
          </w:p>
        </w:tc>
        <w:tc>
          <w:tcPr>
            <w:tcW w:w="1928"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CF6980" w:rsidP="0028001D">
            <w:pPr>
              <w:spacing w:before="40" w:after="120"/>
              <w:ind w:right="113"/>
            </w:pPr>
            <w:r w:rsidRPr="00CF6980">
              <w:t>Fourth report overdue since 2004.</w:t>
            </w:r>
          </w:p>
        </w:tc>
      </w:tr>
      <w:tr w:rsidR="00FD242A" w:rsidRPr="00A02BFB" w:rsidTr="0028001D">
        <w:tc>
          <w:tcPr>
            <w:tcW w:w="1928" w:type="dxa"/>
            <w:shd w:val="clear" w:color="auto" w:fill="auto"/>
          </w:tcPr>
          <w:p w:rsidR="00A02BFB" w:rsidRPr="00A02BFB" w:rsidRDefault="00CF6980" w:rsidP="0028001D">
            <w:pPr>
              <w:spacing w:before="40" w:after="120"/>
              <w:ind w:right="113"/>
            </w:pPr>
            <w:r>
              <w:t>CEDAW</w:t>
            </w:r>
          </w:p>
        </w:tc>
        <w:tc>
          <w:tcPr>
            <w:tcW w:w="1928" w:type="dxa"/>
            <w:shd w:val="clear" w:color="auto" w:fill="auto"/>
          </w:tcPr>
          <w:p w:rsidR="00A02BFB" w:rsidRPr="00A02BFB" w:rsidRDefault="00CF6980" w:rsidP="0028001D">
            <w:pPr>
              <w:spacing w:before="40" w:after="120"/>
              <w:ind w:right="113"/>
            </w:pPr>
            <w:r>
              <w:t>January 2010</w:t>
            </w:r>
          </w:p>
        </w:tc>
        <w:tc>
          <w:tcPr>
            <w:tcW w:w="1927"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CF6980" w:rsidP="0028001D">
            <w:pPr>
              <w:spacing w:before="40" w:after="120"/>
              <w:ind w:right="113"/>
            </w:pPr>
            <w:r w:rsidRPr="00CF6980">
              <w:t>Eighth report overdue since 2014</w:t>
            </w:r>
            <w:r>
              <w:t>.</w:t>
            </w:r>
          </w:p>
        </w:tc>
      </w:tr>
      <w:tr w:rsidR="00FD242A" w:rsidRPr="00A02BFB" w:rsidTr="0028001D">
        <w:tc>
          <w:tcPr>
            <w:tcW w:w="1928" w:type="dxa"/>
            <w:shd w:val="clear" w:color="auto" w:fill="auto"/>
          </w:tcPr>
          <w:p w:rsidR="00A02BFB" w:rsidRPr="00A02BFB" w:rsidRDefault="00CF6980" w:rsidP="0028001D">
            <w:pPr>
              <w:spacing w:before="40" w:after="120"/>
              <w:ind w:right="113"/>
            </w:pPr>
            <w:r>
              <w:t>CAT</w:t>
            </w:r>
          </w:p>
        </w:tc>
        <w:tc>
          <w:tcPr>
            <w:tcW w:w="1928" w:type="dxa"/>
            <w:shd w:val="clear" w:color="auto" w:fill="auto"/>
          </w:tcPr>
          <w:p w:rsidR="00A02BFB" w:rsidRPr="00A02BFB" w:rsidRDefault="00CF6980" w:rsidP="0060015D">
            <w:pPr>
              <w:spacing w:before="40" w:after="120"/>
              <w:ind w:right="113"/>
            </w:pPr>
            <w:r>
              <w:t>--</w:t>
            </w:r>
          </w:p>
        </w:tc>
        <w:tc>
          <w:tcPr>
            <w:tcW w:w="1927"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CF6980" w:rsidP="0028001D">
            <w:pPr>
              <w:spacing w:before="40" w:after="120"/>
              <w:ind w:right="113"/>
            </w:pPr>
            <w:r w:rsidRPr="00CF6980">
              <w:t>Fifth report overdue since 2004</w:t>
            </w:r>
            <w:r>
              <w:t>.</w:t>
            </w:r>
          </w:p>
        </w:tc>
      </w:tr>
      <w:tr w:rsidR="00FD242A" w:rsidRPr="00A02BFB" w:rsidTr="00151C6A">
        <w:tc>
          <w:tcPr>
            <w:tcW w:w="1928" w:type="dxa"/>
            <w:shd w:val="clear" w:color="auto" w:fill="auto"/>
          </w:tcPr>
          <w:p w:rsidR="00A02BFB" w:rsidRPr="00A02BFB" w:rsidRDefault="00CF6980" w:rsidP="0028001D">
            <w:pPr>
              <w:spacing w:before="40" w:after="120"/>
              <w:ind w:right="113"/>
            </w:pPr>
            <w:r w:rsidRPr="00CF6980">
              <w:t>CRC</w:t>
            </w:r>
          </w:p>
        </w:tc>
        <w:tc>
          <w:tcPr>
            <w:tcW w:w="1928" w:type="dxa"/>
            <w:shd w:val="clear" w:color="auto" w:fill="auto"/>
          </w:tcPr>
          <w:p w:rsidR="00A02BFB" w:rsidRPr="00A02BFB" w:rsidRDefault="00CF6980" w:rsidP="0028001D">
            <w:pPr>
              <w:spacing w:before="40" w:after="120"/>
              <w:ind w:right="113"/>
            </w:pPr>
            <w:r w:rsidRPr="00CF6980">
              <w:t>June 2011 (on CRC, OP-CRC-AC and OP-CRC-SC)</w:t>
            </w:r>
          </w:p>
        </w:tc>
        <w:tc>
          <w:tcPr>
            <w:tcW w:w="1927"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CF6980" w:rsidP="0028001D">
            <w:pPr>
              <w:spacing w:before="40" w:after="120"/>
              <w:ind w:right="113"/>
            </w:pPr>
            <w:r>
              <w:t>--</w:t>
            </w:r>
          </w:p>
        </w:tc>
        <w:tc>
          <w:tcPr>
            <w:tcW w:w="1927" w:type="dxa"/>
            <w:shd w:val="clear" w:color="auto" w:fill="auto"/>
          </w:tcPr>
          <w:p w:rsidR="00A02BFB" w:rsidRPr="00A02BFB" w:rsidRDefault="00CF6980" w:rsidP="007D2157">
            <w:pPr>
              <w:spacing w:before="40" w:after="120"/>
              <w:ind w:right="113"/>
            </w:pPr>
            <w:r w:rsidRPr="00CF6980">
              <w:t>Fifth to sixth reports overdue since 2016</w:t>
            </w:r>
            <w:r>
              <w:t>.</w:t>
            </w:r>
          </w:p>
        </w:tc>
      </w:tr>
      <w:tr w:rsidR="00C2509F" w:rsidRPr="00A02BFB" w:rsidTr="00151C6A">
        <w:tc>
          <w:tcPr>
            <w:tcW w:w="1928" w:type="dxa"/>
            <w:shd w:val="clear" w:color="auto" w:fill="auto"/>
          </w:tcPr>
          <w:p w:rsidR="00C2509F" w:rsidRDefault="00CF6980" w:rsidP="0060015D">
            <w:pPr>
              <w:spacing w:before="40" w:after="120"/>
              <w:ind w:right="113"/>
            </w:pPr>
            <w:r>
              <w:t>CMW</w:t>
            </w:r>
          </w:p>
        </w:tc>
        <w:tc>
          <w:tcPr>
            <w:tcW w:w="1928" w:type="dxa"/>
            <w:shd w:val="clear" w:color="auto" w:fill="auto"/>
          </w:tcPr>
          <w:p w:rsidR="00C2509F" w:rsidRDefault="00CF6980" w:rsidP="0028001D">
            <w:pPr>
              <w:spacing w:before="40" w:after="120"/>
              <w:ind w:right="113"/>
            </w:pPr>
            <w:r>
              <w:t>--</w:t>
            </w:r>
          </w:p>
        </w:tc>
        <w:tc>
          <w:tcPr>
            <w:tcW w:w="1927" w:type="dxa"/>
            <w:shd w:val="clear" w:color="auto" w:fill="auto"/>
          </w:tcPr>
          <w:p w:rsidR="00C2509F" w:rsidRPr="00A02BFB" w:rsidRDefault="00CF6980" w:rsidP="0028001D">
            <w:pPr>
              <w:spacing w:before="40" w:after="120"/>
              <w:ind w:right="113"/>
            </w:pPr>
            <w:r>
              <w:t>--</w:t>
            </w:r>
          </w:p>
        </w:tc>
        <w:tc>
          <w:tcPr>
            <w:tcW w:w="1927" w:type="dxa"/>
            <w:shd w:val="clear" w:color="auto" w:fill="auto"/>
          </w:tcPr>
          <w:p w:rsidR="00C2509F" w:rsidRPr="00A02BFB" w:rsidRDefault="00CF6980" w:rsidP="0028001D">
            <w:pPr>
              <w:spacing w:before="40" w:after="120"/>
              <w:ind w:right="113"/>
            </w:pPr>
            <w:r>
              <w:t>--</w:t>
            </w:r>
          </w:p>
        </w:tc>
        <w:tc>
          <w:tcPr>
            <w:tcW w:w="1927" w:type="dxa"/>
            <w:shd w:val="clear" w:color="auto" w:fill="auto"/>
          </w:tcPr>
          <w:p w:rsidR="007A09CD" w:rsidRPr="00A02BFB" w:rsidRDefault="00CF6980" w:rsidP="0028001D">
            <w:pPr>
              <w:spacing w:before="40" w:after="120"/>
              <w:ind w:right="113"/>
            </w:pPr>
            <w:r w:rsidRPr="00CF6980">
              <w:t>Second report overdue since 2009</w:t>
            </w:r>
            <w:r>
              <w:t>.</w:t>
            </w:r>
          </w:p>
        </w:tc>
      </w:tr>
      <w:tr w:rsidR="00CF6980" w:rsidRPr="00A02BFB" w:rsidTr="00151C6A">
        <w:tc>
          <w:tcPr>
            <w:tcW w:w="1928" w:type="dxa"/>
            <w:shd w:val="clear" w:color="auto" w:fill="auto"/>
          </w:tcPr>
          <w:p w:rsidR="00CF6980" w:rsidRDefault="00CF6980" w:rsidP="0060015D">
            <w:pPr>
              <w:spacing w:before="40" w:after="120"/>
              <w:ind w:right="113"/>
            </w:pPr>
            <w:r>
              <w:t>CRPD</w:t>
            </w:r>
          </w:p>
        </w:tc>
        <w:tc>
          <w:tcPr>
            <w:tcW w:w="1928" w:type="dxa"/>
            <w:shd w:val="clear" w:color="auto" w:fill="auto"/>
          </w:tcPr>
          <w:p w:rsidR="00CF6980" w:rsidRDefault="00CF6980" w:rsidP="0028001D">
            <w:pPr>
              <w:spacing w:before="40" w:after="120"/>
              <w:ind w:right="113"/>
            </w:pPr>
            <w:r>
              <w:t>--</w:t>
            </w:r>
          </w:p>
        </w:tc>
        <w:tc>
          <w:tcPr>
            <w:tcW w:w="1927" w:type="dxa"/>
            <w:shd w:val="clear" w:color="auto" w:fill="auto"/>
          </w:tcPr>
          <w:p w:rsidR="00CF6980" w:rsidRDefault="00CF6980" w:rsidP="0028001D">
            <w:pPr>
              <w:spacing w:before="40" w:after="120"/>
              <w:ind w:right="113"/>
            </w:pPr>
            <w:r>
              <w:t>--</w:t>
            </w:r>
          </w:p>
        </w:tc>
        <w:tc>
          <w:tcPr>
            <w:tcW w:w="1927" w:type="dxa"/>
            <w:shd w:val="clear" w:color="auto" w:fill="auto"/>
          </w:tcPr>
          <w:p w:rsidR="00CF6980" w:rsidRDefault="00CF6980" w:rsidP="0028001D">
            <w:pPr>
              <w:spacing w:before="40" w:after="120"/>
              <w:ind w:right="113"/>
            </w:pPr>
            <w:r>
              <w:t>--</w:t>
            </w:r>
          </w:p>
        </w:tc>
        <w:tc>
          <w:tcPr>
            <w:tcW w:w="1927" w:type="dxa"/>
            <w:shd w:val="clear" w:color="auto" w:fill="auto"/>
          </w:tcPr>
          <w:p w:rsidR="00CF6980" w:rsidRPr="00CF6980" w:rsidRDefault="00CF6980" w:rsidP="0028001D">
            <w:pPr>
              <w:spacing w:before="40" w:after="120"/>
              <w:ind w:right="113"/>
            </w:pPr>
            <w:r w:rsidRPr="00CF6980">
              <w:t>Initial report overdue since 2010</w:t>
            </w:r>
            <w:r>
              <w:t>.</w:t>
            </w:r>
          </w:p>
        </w:tc>
      </w:tr>
      <w:tr w:rsidR="007D2157" w:rsidRPr="007A09CD" w:rsidTr="007D2157">
        <w:tc>
          <w:tcPr>
            <w:tcW w:w="1925"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4"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7D2157">
        <w:trPr>
          <w:trHeight w:hRule="exact" w:val="113"/>
        </w:trPr>
        <w:tc>
          <w:tcPr>
            <w:tcW w:w="1925"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292DEC" w:rsidP="007D2157">
            <w:pPr>
              <w:spacing w:before="40" w:after="120"/>
              <w:ind w:right="113"/>
            </w:pPr>
            <w:r>
              <w:t>CERD</w:t>
            </w:r>
          </w:p>
        </w:tc>
        <w:tc>
          <w:tcPr>
            <w:tcW w:w="2410" w:type="dxa"/>
            <w:shd w:val="clear" w:color="auto" w:fill="auto"/>
          </w:tcPr>
          <w:p w:rsidR="00B22B96" w:rsidRPr="00B22B96" w:rsidRDefault="00292DEC" w:rsidP="007D2157">
            <w:pPr>
              <w:spacing w:before="40" w:after="120"/>
              <w:ind w:right="113"/>
            </w:pPr>
            <w:r>
              <w:t>2016</w:t>
            </w:r>
          </w:p>
        </w:tc>
        <w:tc>
          <w:tcPr>
            <w:tcW w:w="2410" w:type="dxa"/>
            <w:shd w:val="clear" w:color="auto" w:fill="auto"/>
          </w:tcPr>
          <w:p w:rsidR="00B22B96" w:rsidRPr="00B22B96" w:rsidRDefault="00292DEC" w:rsidP="007D2157">
            <w:pPr>
              <w:spacing w:before="40" w:after="120"/>
              <w:ind w:right="113"/>
            </w:pPr>
            <w:r w:rsidRPr="00292DEC">
              <w:rPr>
                <w:bCs/>
              </w:rPr>
              <w:t>Situation of minorities; discrimination and violence against Copts; inter-ethnic conflicts; and amendment to article 8 of the Convention.</w:t>
            </w:r>
            <w:r w:rsidRPr="00292DEC">
              <w:rPr>
                <w:rStyle w:val="EndnoteReference"/>
              </w:rPr>
              <w:endnoteReference w:id="13"/>
            </w:r>
          </w:p>
        </w:tc>
        <w:tc>
          <w:tcPr>
            <w:tcW w:w="2410" w:type="dxa"/>
            <w:shd w:val="clear" w:color="auto" w:fill="auto"/>
          </w:tcPr>
          <w:p w:rsidR="00B22B96" w:rsidRPr="00B22B96" w:rsidRDefault="00292DEC" w:rsidP="007D2157">
            <w:pPr>
              <w:spacing w:before="40" w:after="120"/>
              <w:ind w:right="113"/>
            </w:pPr>
            <w:r>
              <w:t>--</w:t>
            </w:r>
          </w:p>
        </w:tc>
      </w:tr>
      <w:tr w:rsidR="00292DEC" w:rsidRPr="00B22B96" w:rsidTr="007D2157">
        <w:tc>
          <w:tcPr>
            <w:tcW w:w="2407" w:type="dxa"/>
            <w:tcBorders>
              <w:bottom w:val="single" w:sz="12" w:space="0" w:color="auto"/>
            </w:tcBorders>
            <w:shd w:val="clear" w:color="auto" w:fill="auto"/>
          </w:tcPr>
          <w:p w:rsidR="00292DEC" w:rsidRPr="00B22B96" w:rsidRDefault="00292DEC" w:rsidP="007D2157">
            <w:pPr>
              <w:spacing w:before="40" w:after="120"/>
              <w:ind w:right="113"/>
            </w:pPr>
            <w:r>
              <w:t>CEDAW</w:t>
            </w:r>
          </w:p>
        </w:tc>
        <w:tc>
          <w:tcPr>
            <w:tcW w:w="2410" w:type="dxa"/>
            <w:tcBorders>
              <w:bottom w:val="single" w:sz="12" w:space="0" w:color="auto"/>
            </w:tcBorders>
            <w:shd w:val="clear" w:color="auto" w:fill="auto"/>
          </w:tcPr>
          <w:p w:rsidR="00292DEC" w:rsidRPr="00B22B96" w:rsidRDefault="00292DEC" w:rsidP="007D2157">
            <w:pPr>
              <w:spacing w:before="40" w:after="120"/>
              <w:ind w:right="113"/>
            </w:pPr>
            <w:r>
              <w:t>2012</w:t>
            </w:r>
          </w:p>
        </w:tc>
        <w:tc>
          <w:tcPr>
            <w:tcW w:w="2410" w:type="dxa"/>
            <w:tcBorders>
              <w:bottom w:val="single" w:sz="12" w:space="0" w:color="auto"/>
            </w:tcBorders>
            <w:shd w:val="clear" w:color="auto" w:fill="auto"/>
          </w:tcPr>
          <w:p w:rsidR="00292DEC" w:rsidRPr="00B22B96" w:rsidRDefault="00292DEC" w:rsidP="007D2157">
            <w:pPr>
              <w:spacing w:before="40" w:after="120"/>
              <w:ind w:right="113"/>
            </w:pPr>
            <w:r w:rsidRPr="00292DEC">
              <w:rPr>
                <w:bCs/>
              </w:rPr>
              <w:t>Discriminatory laws and</w:t>
            </w:r>
            <w:r w:rsidRPr="00292DEC">
              <w:t xml:space="preserve"> v</w:t>
            </w:r>
            <w:r w:rsidRPr="00292DEC">
              <w:rPr>
                <w:bCs/>
              </w:rPr>
              <w:t>iolence against women.</w:t>
            </w:r>
            <w:r w:rsidRPr="00292DEC">
              <w:rPr>
                <w:rStyle w:val="EndnoteReference"/>
              </w:rPr>
              <w:endnoteReference w:id="14"/>
            </w:r>
          </w:p>
        </w:tc>
        <w:tc>
          <w:tcPr>
            <w:tcW w:w="2410" w:type="dxa"/>
            <w:tcBorders>
              <w:bottom w:val="single" w:sz="12" w:space="0" w:color="auto"/>
            </w:tcBorders>
            <w:shd w:val="clear" w:color="auto" w:fill="auto"/>
          </w:tcPr>
          <w:p w:rsidR="00292DEC" w:rsidRPr="00B22B96" w:rsidRDefault="00292DEC" w:rsidP="007D2157">
            <w:pPr>
              <w:spacing w:before="40" w:after="120"/>
              <w:ind w:right="113"/>
            </w:pPr>
            <w:r w:rsidRPr="00292DEC">
              <w:t>2013.</w:t>
            </w:r>
            <w:r w:rsidRPr="00292DEC">
              <w:rPr>
                <w:rStyle w:val="EndnoteReference"/>
              </w:rPr>
              <w:endnoteReference w:id="15"/>
            </w:r>
            <w:r w:rsidRPr="00292DEC">
              <w:t xml:space="preserve"> Further information requested.</w:t>
            </w:r>
            <w:r w:rsidRPr="00292DEC">
              <w:rPr>
                <w:rStyle w:val="EndnoteReference"/>
              </w:rPr>
              <w:endnoteReference w:id="16"/>
            </w:r>
          </w:p>
        </w:tc>
      </w:tr>
    </w:tbl>
    <w:bookmarkEnd w:id="4"/>
    <w:p w:rsidR="00292DEC" w:rsidRDefault="00292DEC" w:rsidP="00292DEC">
      <w:pPr>
        <w:pStyle w:val="H23G"/>
      </w:pPr>
      <w:r>
        <w:tab/>
      </w:r>
      <w:r>
        <w:tab/>
        <w:t>Country visits and/or inquiries by Treaty bodies</w:t>
      </w:r>
    </w:p>
    <w:tbl>
      <w:tblPr>
        <w:tblStyle w:val="TableGrid"/>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4584"/>
      </w:tblGrid>
      <w:tr w:rsidR="00292DEC" w:rsidRPr="00292DEC" w:rsidTr="00292DEC">
        <w:tc>
          <w:tcPr>
            <w:tcW w:w="2456" w:type="dxa"/>
            <w:tcBorders>
              <w:top w:val="single" w:sz="4" w:space="0" w:color="auto"/>
              <w:bottom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r>
              <w:rPr>
                <w:i/>
                <w:sz w:val="16"/>
              </w:rPr>
              <w:t>Date</w:t>
            </w:r>
          </w:p>
        </w:tc>
        <w:tc>
          <w:tcPr>
            <w:tcW w:w="4584" w:type="dxa"/>
            <w:tcBorders>
              <w:top w:val="single" w:sz="4" w:space="0" w:color="auto"/>
              <w:bottom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r>
              <w:rPr>
                <w:i/>
                <w:sz w:val="16"/>
              </w:rPr>
              <w:t>Subject matter</w:t>
            </w:r>
          </w:p>
        </w:tc>
      </w:tr>
      <w:tr w:rsidR="00292DEC" w:rsidRPr="00292DEC" w:rsidTr="00292DEC">
        <w:trPr>
          <w:trHeight w:hRule="exact" w:val="113"/>
        </w:trPr>
        <w:tc>
          <w:tcPr>
            <w:tcW w:w="2456"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c>
          <w:tcPr>
            <w:tcW w:w="2457"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c>
          <w:tcPr>
            <w:tcW w:w="4584"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r>
      <w:tr w:rsidR="00292DEC" w:rsidRPr="00292DEC" w:rsidTr="00292DEC">
        <w:tc>
          <w:tcPr>
            <w:tcW w:w="2456" w:type="dxa"/>
            <w:tcBorders>
              <w:bottom w:val="single" w:sz="12" w:space="0" w:color="auto"/>
            </w:tcBorders>
            <w:shd w:val="clear" w:color="auto" w:fill="auto"/>
          </w:tcPr>
          <w:p w:rsidR="00292DEC" w:rsidRPr="00292DEC" w:rsidRDefault="00292DEC" w:rsidP="00292DEC">
            <w:pPr>
              <w:spacing w:before="40" w:after="120"/>
              <w:ind w:right="113"/>
            </w:pPr>
            <w:r>
              <w:t>CAT</w:t>
            </w:r>
          </w:p>
        </w:tc>
        <w:tc>
          <w:tcPr>
            <w:tcW w:w="2457" w:type="dxa"/>
            <w:tcBorders>
              <w:bottom w:val="single" w:sz="12" w:space="0" w:color="auto"/>
            </w:tcBorders>
            <w:shd w:val="clear" w:color="auto" w:fill="auto"/>
          </w:tcPr>
          <w:p w:rsidR="00292DEC" w:rsidRPr="00292DEC" w:rsidRDefault="00292DEC" w:rsidP="00292DEC">
            <w:pPr>
              <w:spacing w:before="40" w:after="120"/>
              <w:ind w:right="113"/>
            </w:pPr>
            <w:r>
              <w:t>2014</w:t>
            </w:r>
          </w:p>
        </w:tc>
        <w:tc>
          <w:tcPr>
            <w:tcW w:w="4584" w:type="dxa"/>
            <w:tcBorders>
              <w:bottom w:val="single" w:sz="12" w:space="0" w:color="auto"/>
            </w:tcBorders>
            <w:shd w:val="clear" w:color="auto" w:fill="auto"/>
          </w:tcPr>
          <w:p w:rsidR="00292DEC" w:rsidRPr="00292DEC" w:rsidRDefault="00292DEC" w:rsidP="00292DEC">
            <w:pPr>
              <w:spacing w:before="40" w:after="120"/>
              <w:ind w:right="113"/>
            </w:pPr>
            <w:r w:rsidRPr="00292DEC">
              <w:t>Confidential inquiry without a visit on the issue of torture.</w:t>
            </w:r>
            <w:r w:rsidRPr="00292DEC">
              <w:rPr>
                <w:rStyle w:val="EndnoteReference"/>
              </w:rPr>
              <w:endnoteReference w:id="17"/>
            </w:r>
          </w:p>
        </w:tc>
      </w:tr>
    </w:tbl>
    <w:p w:rsidR="00A02BFB" w:rsidRPr="00292DEC" w:rsidRDefault="00A02BFB" w:rsidP="00292DEC">
      <w:pPr>
        <w:pStyle w:val="H1G"/>
      </w:pPr>
      <w:r w:rsidRPr="00292DEC">
        <w:tab/>
        <w:t>B.</w:t>
      </w:r>
      <w:r w:rsidRPr="00292DEC">
        <w:tab/>
      </w:r>
      <w:r w:rsidR="00677AF1" w:rsidRPr="00292DEC">
        <w:t>Cooperation with special procedures</w:t>
      </w:r>
      <w:r w:rsidR="00677AF1" w:rsidRPr="00292DEC">
        <w:rPr>
          <w:rStyle w:val="EndnoteReference"/>
          <w:b w:val="0"/>
        </w:rPr>
        <w:endnoteReference w:id="18"/>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F9635C" w:rsidP="0028001D">
            <w:pPr>
              <w:spacing w:before="40" w:after="120"/>
              <w:ind w:right="113"/>
            </w:pPr>
            <w:r w:rsidRPr="00F9635C">
              <w:t>No</w:t>
            </w:r>
          </w:p>
        </w:tc>
        <w:tc>
          <w:tcPr>
            <w:tcW w:w="3400" w:type="dxa"/>
            <w:shd w:val="clear" w:color="auto" w:fill="auto"/>
          </w:tcPr>
          <w:p w:rsidR="003E33AE" w:rsidRPr="00F9635C" w:rsidRDefault="00F9635C" w:rsidP="0028001D">
            <w:pPr>
              <w:spacing w:before="40" w:after="120"/>
              <w:ind w:right="113"/>
            </w:pPr>
            <w:r w:rsidRPr="00F9635C">
              <w:t>No</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Pr="009E78E3" w:rsidRDefault="00A850C2" w:rsidP="0028001D">
            <w:pPr>
              <w:spacing w:before="40" w:after="120"/>
              <w:ind w:right="113"/>
            </w:pPr>
          </w:p>
        </w:tc>
        <w:tc>
          <w:tcPr>
            <w:tcW w:w="3400" w:type="dxa"/>
            <w:shd w:val="clear" w:color="auto" w:fill="auto"/>
          </w:tcPr>
          <w:p w:rsidR="00A850C2" w:rsidRPr="009E78E3" w:rsidRDefault="00953956" w:rsidP="00730838">
            <w:pPr>
              <w:spacing w:before="40" w:after="120"/>
              <w:ind w:right="113"/>
            </w:pPr>
            <w:r>
              <w:t>Housing (24 September 2018 to 3 October 2018)</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lastRenderedPageBreak/>
              <w:t>Visits agreed to in principle</w:t>
            </w:r>
          </w:p>
        </w:tc>
        <w:tc>
          <w:tcPr>
            <w:tcW w:w="3026" w:type="dxa"/>
            <w:shd w:val="clear" w:color="auto" w:fill="auto"/>
          </w:tcPr>
          <w:p w:rsidR="00BA732B" w:rsidRDefault="00953956" w:rsidP="00953956">
            <w:pPr>
              <w:ind w:right="113"/>
            </w:pPr>
            <w:r>
              <w:t>Sale of children</w:t>
            </w:r>
          </w:p>
          <w:p w:rsidR="00953956" w:rsidRDefault="00953956" w:rsidP="00953956">
            <w:pPr>
              <w:ind w:right="113"/>
            </w:pPr>
            <w:r>
              <w:t>Violence against women</w:t>
            </w:r>
          </w:p>
          <w:p w:rsidR="00471995" w:rsidRPr="00A31ADE" w:rsidRDefault="00471995" w:rsidP="00953956">
            <w:pPr>
              <w:ind w:right="113"/>
            </w:pPr>
            <w:r>
              <w:t>Truth</w:t>
            </w:r>
          </w:p>
        </w:tc>
        <w:tc>
          <w:tcPr>
            <w:tcW w:w="3400" w:type="dxa"/>
            <w:shd w:val="clear" w:color="auto" w:fill="auto"/>
          </w:tcPr>
          <w:p w:rsidR="00BA732B" w:rsidRDefault="00953956" w:rsidP="00953956">
            <w:pPr>
              <w:rPr>
                <w:rFonts w:eastAsia="Calibri"/>
                <w:lang w:eastAsia="en-GB"/>
              </w:rPr>
            </w:pPr>
            <w:r>
              <w:rPr>
                <w:rFonts w:eastAsia="Calibri"/>
                <w:lang w:eastAsia="en-GB"/>
              </w:rPr>
              <w:t>Albinism</w:t>
            </w:r>
          </w:p>
          <w:p w:rsidR="00953956" w:rsidRDefault="00953956" w:rsidP="00953956">
            <w:pPr>
              <w:rPr>
                <w:rFonts w:eastAsia="Calibri"/>
                <w:lang w:eastAsia="en-GB"/>
              </w:rPr>
            </w:pPr>
            <w:r>
              <w:rPr>
                <w:rFonts w:eastAsia="Calibri"/>
                <w:lang w:eastAsia="en-GB"/>
              </w:rPr>
              <w:t>Violence against women</w:t>
            </w:r>
          </w:p>
          <w:p w:rsidR="00953956" w:rsidRDefault="00953956" w:rsidP="00953956">
            <w:pPr>
              <w:rPr>
                <w:rFonts w:eastAsia="Calibri"/>
                <w:lang w:eastAsia="en-GB"/>
              </w:rPr>
            </w:pPr>
            <w:r>
              <w:rPr>
                <w:rFonts w:eastAsia="Calibri"/>
                <w:lang w:eastAsia="en-GB"/>
              </w:rPr>
              <w:t>Foreign debt</w:t>
            </w:r>
          </w:p>
          <w:p w:rsidR="00953956" w:rsidRPr="00A31ADE" w:rsidRDefault="00953956" w:rsidP="00953956">
            <w:pPr>
              <w:rPr>
                <w:rFonts w:eastAsia="Calibri"/>
                <w:lang w:eastAsia="en-GB"/>
              </w:rPr>
            </w:pPr>
            <w:r>
              <w:rPr>
                <w:rFonts w:eastAsia="Calibri"/>
                <w:lang w:eastAsia="en-GB"/>
              </w:rPr>
              <w:t>Education</w:t>
            </w: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3E6998" w:rsidRPr="00B83435" w:rsidRDefault="00BE3252" w:rsidP="00953956">
            <w:pPr>
              <w:spacing w:before="120"/>
              <w:ind w:right="113"/>
            </w:pPr>
            <w:r w:rsidRPr="00B83435">
              <w:t xml:space="preserve">Freedom of </w:t>
            </w:r>
            <w:r w:rsidR="00953956" w:rsidRPr="00B83435">
              <w:t>assembly</w:t>
            </w:r>
          </w:p>
          <w:p w:rsidR="00953956" w:rsidRPr="00B83435" w:rsidRDefault="00953956" w:rsidP="00953956">
            <w:pPr>
              <w:ind w:right="113"/>
            </w:pPr>
            <w:r w:rsidRPr="00B83435">
              <w:t>Arbitrary detention</w:t>
            </w:r>
          </w:p>
          <w:p w:rsidR="00953956" w:rsidRPr="00B83435" w:rsidRDefault="00953956" w:rsidP="00953956">
            <w:pPr>
              <w:ind w:right="113"/>
            </w:pPr>
            <w:r w:rsidRPr="00B83435">
              <w:t>Disappearances</w:t>
            </w:r>
          </w:p>
          <w:p w:rsidR="00953956" w:rsidRPr="00B83435" w:rsidRDefault="00953956" w:rsidP="00953956">
            <w:pPr>
              <w:ind w:right="113"/>
            </w:pPr>
            <w:r w:rsidRPr="00B83435">
              <w:t>Counter-terrorism</w:t>
            </w:r>
          </w:p>
          <w:p w:rsidR="00953956" w:rsidRDefault="00953956" w:rsidP="00953956">
            <w:pPr>
              <w:ind w:right="113"/>
            </w:pPr>
            <w:r>
              <w:t xml:space="preserve">Independence of judges and </w:t>
            </w:r>
            <w:r>
              <w:br/>
              <w:t>lawyers</w:t>
            </w:r>
          </w:p>
          <w:p w:rsidR="00953956" w:rsidRDefault="00953956" w:rsidP="00953956">
            <w:pPr>
              <w:ind w:right="113"/>
            </w:pPr>
            <w:r>
              <w:t>Human rights defenders</w:t>
            </w:r>
          </w:p>
          <w:p w:rsidR="00953956" w:rsidRDefault="00953956" w:rsidP="00953956">
            <w:pPr>
              <w:ind w:right="113"/>
            </w:pPr>
            <w:r>
              <w:t>Freedom of religion or belief</w:t>
            </w:r>
          </w:p>
          <w:p w:rsidR="00953956" w:rsidRPr="00BE3252" w:rsidRDefault="00953956" w:rsidP="00953956">
            <w:pPr>
              <w:ind w:right="113"/>
            </w:pPr>
            <w:r>
              <w:t>Summary executions</w:t>
            </w:r>
          </w:p>
        </w:tc>
        <w:tc>
          <w:tcPr>
            <w:tcW w:w="3400" w:type="dxa"/>
            <w:shd w:val="clear" w:color="auto" w:fill="auto"/>
          </w:tcPr>
          <w:p w:rsidR="005D71E9" w:rsidRDefault="00953956" w:rsidP="00953956">
            <w:pPr>
              <w:spacing w:before="120"/>
              <w:ind w:right="113"/>
            </w:pPr>
            <w:r>
              <w:t>Summary executions</w:t>
            </w:r>
          </w:p>
          <w:p w:rsidR="00953956" w:rsidRDefault="00953956" w:rsidP="00953956">
            <w:pPr>
              <w:ind w:right="113"/>
            </w:pPr>
            <w:r>
              <w:t>Counter-terrorism</w:t>
            </w:r>
          </w:p>
          <w:p w:rsidR="00953956" w:rsidRDefault="00953956" w:rsidP="00953956">
            <w:pPr>
              <w:ind w:right="113"/>
            </w:pPr>
            <w:r>
              <w:t>Independence of judges and lawyers</w:t>
            </w:r>
          </w:p>
          <w:p w:rsidR="00953956" w:rsidRDefault="00953956" w:rsidP="00953956">
            <w:pPr>
              <w:ind w:right="113"/>
            </w:pPr>
            <w:r>
              <w:t>Torture</w:t>
            </w:r>
          </w:p>
          <w:p w:rsidR="00953956" w:rsidRDefault="00953956" w:rsidP="00953956">
            <w:pPr>
              <w:ind w:right="113"/>
            </w:pPr>
            <w:r>
              <w:t>Arbitrary detention</w:t>
            </w:r>
          </w:p>
          <w:p w:rsidR="00953956" w:rsidRDefault="00953956" w:rsidP="00953956">
            <w:pPr>
              <w:ind w:right="113"/>
            </w:pPr>
            <w:r>
              <w:t>Freedom of assembly</w:t>
            </w:r>
          </w:p>
          <w:p w:rsidR="00953956" w:rsidRDefault="00953956" w:rsidP="00953956">
            <w:pPr>
              <w:ind w:right="113"/>
            </w:pPr>
            <w:r>
              <w:t>Mercenaries</w:t>
            </w:r>
          </w:p>
          <w:p w:rsidR="00953956" w:rsidRDefault="00953956" w:rsidP="00953956">
            <w:pPr>
              <w:ind w:right="113"/>
            </w:pPr>
            <w:r>
              <w:t>Freedom of opinion and expression</w:t>
            </w:r>
          </w:p>
          <w:p w:rsidR="00953956" w:rsidRPr="00BE3252" w:rsidRDefault="00953956" w:rsidP="00953956">
            <w:pPr>
              <w:ind w:right="113"/>
            </w:pPr>
            <w:r>
              <w:t>Disappearances</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953956">
            <w:pPr>
              <w:spacing w:before="40" w:after="120"/>
              <w:ind w:right="113"/>
            </w:pPr>
            <w:r>
              <w:t xml:space="preserve">During the period under review </w:t>
            </w:r>
            <w:r w:rsidR="00953956">
              <w:t>76</w:t>
            </w:r>
            <w:r w:rsidR="009D3FA1">
              <w:t xml:space="preserve"> communications were sent</w:t>
            </w:r>
            <w:r>
              <w:t>. The Government replied to</w:t>
            </w:r>
            <w:r w:rsidR="002B4657">
              <w:t xml:space="preserve"> </w:t>
            </w:r>
            <w:r w:rsidR="00953956">
              <w:t>46</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5D71E9" w:rsidP="00A81300">
            <w:pPr>
              <w:spacing w:before="40" w:after="120"/>
              <w:ind w:right="113"/>
            </w:pP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953956" w:rsidRPr="00953956">
        <w:rPr>
          <w:rStyle w:val="EndnoteReference"/>
          <w:b w:val="0"/>
        </w:rPr>
        <w:endnoteReference w:id="19"/>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E20A2C">
            <w:pPr>
              <w:spacing w:before="40" w:after="120"/>
              <w:ind w:right="113"/>
              <w:rPr>
                <w:i/>
                <w:sz w:val="16"/>
              </w:rPr>
            </w:pPr>
            <w:r w:rsidRPr="005D71E9">
              <w:rPr>
                <w:i/>
                <w:sz w:val="16"/>
              </w:rPr>
              <w:t>Status during present cycle</w:t>
            </w:r>
            <w:r w:rsidR="00E20A2C" w:rsidRPr="00E20A2C">
              <w:rPr>
                <w:rStyle w:val="EndnoteReference"/>
              </w:rPr>
              <w:endnoteReference w:id="20"/>
            </w:r>
          </w:p>
        </w:tc>
      </w:tr>
      <w:tr w:rsidR="00A02BFB" w:rsidRPr="00332822" w:rsidTr="005D71E9">
        <w:trPr>
          <w:trHeight w:hRule="exact" w:val="530"/>
        </w:trPr>
        <w:tc>
          <w:tcPr>
            <w:tcW w:w="3211" w:type="dxa"/>
            <w:shd w:val="clear" w:color="auto" w:fill="auto"/>
            <w:vAlign w:val="bottom"/>
          </w:tcPr>
          <w:p w:rsidR="00A02BFB" w:rsidRPr="00953956" w:rsidRDefault="00953956" w:rsidP="0028001D">
            <w:pPr>
              <w:spacing w:before="80" w:after="80" w:line="200" w:lineRule="exact"/>
              <w:ind w:right="113"/>
            </w:pPr>
            <w:r w:rsidRPr="00953956">
              <w:t>National Council for Human Rights</w:t>
            </w:r>
          </w:p>
        </w:tc>
        <w:tc>
          <w:tcPr>
            <w:tcW w:w="3213" w:type="dxa"/>
            <w:shd w:val="clear" w:color="auto" w:fill="auto"/>
            <w:vAlign w:val="bottom"/>
          </w:tcPr>
          <w:p w:rsidR="00A02BFB" w:rsidRPr="00A81300" w:rsidRDefault="00953956" w:rsidP="0028001D">
            <w:pPr>
              <w:spacing w:before="80" w:after="80" w:line="200" w:lineRule="exact"/>
              <w:ind w:right="113"/>
            </w:pPr>
            <w:r>
              <w:t>A (2006)</w:t>
            </w:r>
          </w:p>
        </w:tc>
        <w:tc>
          <w:tcPr>
            <w:tcW w:w="3213" w:type="dxa"/>
            <w:shd w:val="clear" w:color="auto" w:fill="auto"/>
            <w:vAlign w:val="bottom"/>
          </w:tcPr>
          <w:p w:rsidR="00A02BFB" w:rsidRPr="00A81300" w:rsidRDefault="00953956" w:rsidP="0028001D">
            <w:pPr>
              <w:spacing w:before="80" w:after="80" w:line="200" w:lineRule="exact"/>
              <w:ind w:right="113"/>
            </w:pPr>
            <w:r>
              <w:t>A (2006)</w:t>
            </w:r>
          </w:p>
        </w:tc>
      </w:tr>
    </w:tbl>
    <w:p w:rsidR="008B7D95" w:rsidRPr="00A02BFB" w:rsidRDefault="008B7D95" w:rsidP="000200B9"/>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DA2292" w:rsidRDefault="00DA2292" w:rsidP="00DA2292">
      <w:pPr>
        <w:pStyle w:val="H4G"/>
      </w:pPr>
      <w:r>
        <w:t>Notes</w:t>
      </w:r>
    </w:p>
    <w:p w:rsidR="00DA2292" w:rsidRPr="00174744" w:rsidRDefault="00DA2292" w:rsidP="00DA2292">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Egypt</w:t>
      </w:r>
      <w:r w:rsidRPr="008B4D7D">
        <w:rPr>
          <w:color w:val="4F81BD"/>
        </w:rPr>
        <w:t xml:space="preserve"> </w:t>
      </w:r>
      <w:r w:rsidRPr="00806A55">
        <w:t>from the previous cycle (A/HRC/WG.6/</w:t>
      </w:r>
      <w:r>
        <w:t>20/EGY</w:t>
      </w:r>
      <w:r w:rsidRPr="00806A55">
        <w:t>/2).</w:t>
      </w:r>
    </w:p>
  </w:endnote>
  <w:endnote w:id="3">
    <w:p w:rsidR="00DA2292" w:rsidRDefault="00DA2292" w:rsidP="00DA2292">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DA2292" w:rsidRPr="00174744" w:rsidRDefault="00DA2292" w:rsidP="00DA229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E33D04">
        <w:rPr>
          <w:szCs w:val="18"/>
        </w:rPr>
        <w:t>;</w:t>
      </w:r>
    </w:p>
    <w:p w:rsidR="00DA2292" w:rsidRPr="00174744" w:rsidRDefault="00E33D04" w:rsidP="00DA2292">
      <w:pPr>
        <w:pStyle w:val="EndnoteText"/>
        <w:widowControl w:val="0"/>
        <w:ind w:left="3969" w:hanging="2268"/>
        <w:rPr>
          <w:szCs w:val="18"/>
        </w:rPr>
      </w:pPr>
      <w:r>
        <w:rPr>
          <w:szCs w:val="18"/>
        </w:rPr>
        <w:t>ICESCR</w:t>
      </w:r>
      <w:r w:rsidR="00DA2292" w:rsidRPr="00174744">
        <w:rPr>
          <w:szCs w:val="18"/>
        </w:rPr>
        <w:tab/>
        <w:t>International Covenant on Economic, Social and Cultural Rights</w:t>
      </w:r>
      <w:r>
        <w:rPr>
          <w:szCs w:val="18"/>
        </w:rPr>
        <w:t>;</w:t>
      </w:r>
    </w:p>
    <w:p w:rsidR="00DA2292" w:rsidRPr="00174744" w:rsidRDefault="00DA2292" w:rsidP="00DA2292">
      <w:pPr>
        <w:pStyle w:val="EndnoteText"/>
        <w:widowControl w:val="0"/>
        <w:ind w:left="3969" w:hanging="2269"/>
        <w:rPr>
          <w:szCs w:val="18"/>
        </w:rPr>
      </w:pPr>
      <w:r w:rsidRPr="00174744">
        <w:rPr>
          <w:szCs w:val="18"/>
        </w:rPr>
        <w:t>OP-ICESCR</w:t>
      </w:r>
      <w:r w:rsidRPr="00174744">
        <w:rPr>
          <w:szCs w:val="18"/>
        </w:rPr>
        <w:tab/>
        <w:t>Optional Protocol to ICESCR</w:t>
      </w:r>
      <w:r w:rsidR="00E33D04">
        <w:rPr>
          <w:szCs w:val="18"/>
        </w:rPr>
        <w:t>;</w:t>
      </w:r>
    </w:p>
    <w:p w:rsidR="00DA2292" w:rsidRPr="00174744" w:rsidRDefault="00DA2292" w:rsidP="00DA229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E33D04">
        <w:rPr>
          <w:szCs w:val="18"/>
        </w:rPr>
        <w:t>;</w:t>
      </w:r>
    </w:p>
    <w:p w:rsidR="00DA2292" w:rsidRPr="00174744" w:rsidRDefault="00DA2292" w:rsidP="00DA2292">
      <w:pPr>
        <w:pStyle w:val="EndnoteText"/>
        <w:widowControl w:val="0"/>
        <w:ind w:left="3969" w:hanging="2268"/>
        <w:rPr>
          <w:szCs w:val="18"/>
        </w:rPr>
      </w:pPr>
      <w:r w:rsidRPr="00174744">
        <w:rPr>
          <w:szCs w:val="18"/>
        </w:rPr>
        <w:t>ICCPR-OP 1</w:t>
      </w:r>
      <w:r w:rsidRPr="00174744">
        <w:rPr>
          <w:szCs w:val="18"/>
        </w:rPr>
        <w:tab/>
        <w:t>Optional Protocol to ICCPR</w:t>
      </w:r>
      <w:r w:rsidR="00E33D04">
        <w:rPr>
          <w:szCs w:val="18"/>
        </w:rPr>
        <w:t>;</w:t>
      </w:r>
    </w:p>
    <w:p w:rsidR="00DA2292" w:rsidRPr="00174744" w:rsidRDefault="00DA2292" w:rsidP="00DA229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E33D04">
        <w:rPr>
          <w:szCs w:val="18"/>
        </w:rPr>
        <w:t>;</w:t>
      </w:r>
    </w:p>
    <w:p w:rsidR="00DA2292" w:rsidRPr="00174744" w:rsidRDefault="00DA2292" w:rsidP="00DA229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E33D04">
        <w:rPr>
          <w:szCs w:val="18"/>
        </w:rPr>
        <w:t>;</w:t>
      </w:r>
      <w:bookmarkStart w:id="1" w:name="_GoBack"/>
      <w:bookmarkEnd w:id="1"/>
    </w:p>
    <w:p w:rsidR="00DA2292" w:rsidRPr="00174744" w:rsidRDefault="00DA2292" w:rsidP="00DA2292">
      <w:pPr>
        <w:pStyle w:val="EndnoteText"/>
        <w:widowControl w:val="0"/>
        <w:ind w:left="3969" w:hanging="2269"/>
        <w:rPr>
          <w:szCs w:val="18"/>
        </w:rPr>
      </w:pPr>
      <w:r w:rsidRPr="00174744">
        <w:rPr>
          <w:szCs w:val="18"/>
        </w:rPr>
        <w:t>OP-CEDAW</w:t>
      </w:r>
      <w:r w:rsidRPr="00174744">
        <w:rPr>
          <w:szCs w:val="18"/>
        </w:rPr>
        <w:tab/>
        <w:t>Optional Protocol to CEDAW</w:t>
      </w:r>
      <w:r w:rsidR="00E33D04">
        <w:rPr>
          <w:szCs w:val="18"/>
        </w:rPr>
        <w:t>;</w:t>
      </w:r>
    </w:p>
    <w:p w:rsidR="00DA2292" w:rsidRPr="00174744" w:rsidRDefault="00DA2292" w:rsidP="00DA229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E33D04">
        <w:rPr>
          <w:szCs w:val="18"/>
        </w:rPr>
        <w:t>;</w:t>
      </w:r>
    </w:p>
    <w:p w:rsidR="00DA2292" w:rsidRPr="00174744" w:rsidRDefault="00DA2292" w:rsidP="00DA2292">
      <w:pPr>
        <w:pStyle w:val="EndnoteText"/>
        <w:widowControl w:val="0"/>
        <w:ind w:left="3969" w:hanging="2269"/>
        <w:rPr>
          <w:szCs w:val="18"/>
        </w:rPr>
      </w:pPr>
      <w:r w:rsidRPr="00174744">
        <w:rPr>
          <w:szCs w:val="18"/>
        </w:rPr>
        <w:t>OP-CAT</w:t>
      </w:r>
      <w:r w:rsidRPr="00174744">
        <w:rPr>
          <w:szCs w:val="18"/>
        </w:rPr>
        <w:tab/>
        <w:t>Optional Protocol to CAT</w:t>
      </w:r>
      <w:r w:rsidR="00E33D04">
        <w:rPr>
          <w:szCs w:val="18"/>
        </w:rPr>
        <w:t>;</w:t>
      </w:r>
    </w:p>
    <w:p w:rsidR="00DA2292" w:rsidRPr="00174744" w:rsidRDefault="00DA2292" w:rsidP="00DA2292">
      <w:pPr>
        <w:pStyle w:val="EndnoteText"/>
        <w:widowControl w:val="0"/>
        <w:ind w:left="3969" w:hanging="2269"/>
        <w:rPr>
          <w:szCs w:val="18"/>
        </w:rPr>
      </w:pPr>
      <w:r w:rsidRPr="00174744">
        <w:rPr>
          <w:szCs w:val="18"/>
        </w:rPr>
        <w:t>CRC</w:t>
      </w:r>
      <w:r w:rsidRPr="00174744">
        <w:rPr>
          <w:szCs w:val="18"/>
        </w:rPr>
        <w:tab/>
        <w:t>Convention on the Rights of the Child</w:t>
      </w:r>
      <w:r w:rsidR="00E33D04">
        <w:rPr>
          <w:szCs w:val="18"/>
        </w:rPr>
        <w:t>;</w:t>
      </w:r>
    </w:p>
    <w:p w:rsidR="00DA2292" w:rsidRPr="00174744" w:rsidRDefault="00DA2292" w:rsidP="00DA229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E33D04">
        <w:rPr>
          <w:szCs w:val="18"/>
        </w:rPr>
        <w:t>;</w:t>
      </w:r>
    </w:p>
    <w:p w:rsidR="00DA2292" w:rsidRPr="00174744" w:rsidRDefault="00DA2292" w:rsidP="00DA229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E33D04">
        <w:rPr>
          <w:szCs w:val="18"/>
        </w:rPr>
        <w:t>;</w:t>
      </w:r>
    </w:p>
    <w:p w:rsidR="00DA2292" w:rsidRPr="00174744" w:rsidRDefault="00DA2292" w:rsidP="00DA229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E33D04">
        <w:rPr>
          <w:szCs w:val="18"/>
        </w:rPr>
        <w:t>;</w:t>
      </w:r>
    </w:p>
    <w:p w:rsidR="00DA2292" w:rsidRPr="00174744" w:rsidRDefault="00DA2292" w:rsidP="00DA229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E33D04">
        <w:rPr>
          <w:szCs w:val="18"/>
        </w:rPr>
        <w:t>;</w:t>
      </w:r>
    </w:p>
    <w:p w:rsidR="00DA2292" w:rsidRPr="00174744" w:rsidRDefault="00DA2292" w:rsidP="00DA229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E33D04">
        <w:rPr>
          <w:szCs w:val="18"/>
        </w:rPr>
        <w:t>;</w:t>
      </w:r>
    </w:p>
    <w:p w:rsidR="00DA2292" w:rsidRPr="00174744" w:rsidRDefault="00DA2292" w:rsidP="00DA229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E33D04">
        <w:rPr>
          <w:szCs w:val="18"/>
        </w:rPr>
        <w:t>;</w:t>
      </w:r>
    </w:p>
    <w:p w:rsidR="00DA2292" w:rsidRPr="00AC3610" w:rsidRDefault="00DA2292" w:rsidP="00DA229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DA2292" w:rsidRDefault="00DA2292" w:rsidP="00DA2292">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21454A" w:rsidRPr="00174744" w:rsidRDefault="0021454A" w:rsidP="0021454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E33D04">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E33D04">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E33D04">
        <w:rPr>
          <w:szCs w:val="18"/>
        </w:rPr>
        <w:t>.</w:t>
      </w:r>
    </w:p>
  </w:endnote>
  <w:endnote w:id="6">
    <w:p w:rsidR="0021454A" w:rsidRPr="00532A41" w:rsidRDefault="00E33D04" w:rsidP="0021454A">
      <w:pPr>
        <w:pStyle w:val="EndnoteText"/>
      </w:pPr>
      <w:r>
        <w:tab/>
      </w:r>
      <w:r w:rsidR="0021454A">
        <w:rPr>
          <w:rStyle w:val="EndnoteReference"/>
        </w:rPr>
        <w:endnoteRef/>
      </w:r>
      <w:r>
        <w:tab/>
      </w:r>
      <w:r w:rsidR="0021454A" w:rsidRPr="00532A41">
        <w:t>Protocol Additional to the Geneva Conventions of 12 August 1949, and relating to the</w:t>
      </w:r>
    </w:p>
    <w:p w:rsidR="0021454A" w:rsidRPr="00532A41" w:rsidRDefault="0021454A" w:rsidP="00E33D04">
      <w:pPr>
        <w:pStyle w:val="EndnoteText"/>
        <w:ind w:firstLine="0"/>
      </w:pPr>
      <w:r w:rsidRPr="00532A41">
        <w:t>Adoption of an Additional Distinctive Emblem (Protocol III). For the official status of ratifications,</w:t>
      </w:r>
    </w:p>
    <w:p w:rsidR="0021454A" w:rsidRDefault="0021454A" w:rsidP="00E33D04">
      <w:pPr>
        <w:pStyle w:val="EndnoteText"/>
        <w:ind w:firstLine="0"/>
      </w:pPr>
      <w:r w:rsidRPr="00532A41">
        <w:t xml:space="preserve">see </w:t>
      </w:r>
      <w:hyperlink r:id="rId1" w:history="1">
        <w:r w:rsidRPr="00C60F41">
          <w:rPr>
            <w:rStyle w:val="Hyperlink"/>
          </w:rPr>
          <w:t>https://ihl-databases.icrc.org/applic/ihl/ihl.nsf/vwTreaties1949.xsp</w:t>
        </w:r>
      </w:hyperlink>
    </w:p>
  </w:endnote>
  <w:endnote w:id="7">
    <w:p w:rsidR="00C672B5" w:rsidRPr="00C60F41" w:rsidRDefault="00E33D04" w:rsidP="00C672B5">
      <w:pPr>
        <w:pStyle w:val="EndnoteText"/>
      </w:pPr>
      <w:r>
        <w:tab/>
      </w:r>
      <w:r w:rsidR="00C672B5">
        <w:rPr>
          <w:rStyle w:val="EndnoteReference"/>
        </w:rPr>
        <w:endnoteRef/>
      </w:r>
      <w:r>
        <w:tab/>
      </w:r>
      <w:r w:rsidR="00C672B5" w:rsidRPr="00C60F41">
        <w:t>Signature only. See https://treaties.un.org/pages/ViewDetails.aspx?src=TREATY&amp;mtdsg</w:t>
      </w:r>
    </w:p>
    <w:p w:rsidR="00C672B5" w:rsidRDefault="00C672B5" w:rsidP="00E33D04">
      <w:pPr>
        <w:pStyle w:val="EndnoteText"/>
        <w:ind w:firstLine="0"/>
      </w:pPr>
      <w:r w:rsidRPr="00C60F41">
        <w:t>_no=XVIII-10&amp;chapter=18&amp;lang=en.</w:t>
      </w:r>
    </w:p>
  </w:endnote>
  <w:endnote w:id="8">
    <w:p w:rsidR="00C672B5" w:rsidRPr="00E33D04" w:rsidRDefault="00C672B5" w:rsidP="00C672B5">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E33D04">
        <w:rPr>
          <w:szCs w:val="18"/>
        </w:rPr>
        <w:t>1951 Convention relating to the Status of Refugees and its 1967 Protocol, 1954 Convention relating to the Status of Stateless Persons, and 1961 Convention on the Reduction of Statelessness.</w:t>
      </w:r>
    </w:p>
  </w:endnote>
  <w:endnote w:id="9">
    <w:p w:rsidR="00C672B5" w:rsidRPr="00A82F81" w:rsidRDefault="00C672B5" w:rsidP="00C672B5">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rsidR="00C672B5" w:rsidRPr="00E33D04" w:rsidRDefault="00C672B5" w:rsidP="00C672B5">
      <w:pPr>
        <w:pStyle w:val="EndnoteText"/>
        <w:rPr>
          <w:szCs w:val="18"/>
        </w:rPr>
      </w:pPr>
      <w:r w:rsidRPr="00A82F81">
        <w:rPr>
          <w:szCs w:val="18"/>
        </w:rPr>
        <w:tab/>
      </w:r>
      <w:r w:rsidRPr="00A82F81">
        <w:rPr>
          <w:rStyle w:val="EndnoteReference"/>
          <w:szCs w:val="18"/>
        </w:rPr>
        <w:endnoteRef/>
      </w:r>
      <w:r w:rsidRPr="00A82F81">
        <w:rPr>
          <w:szCs w:val="18"/>
        </w:rPr>
        <w:tab/>
      </w:r>
      <w:r w:rsidRPr="00E33D04">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rsidR="00C672B5" w:rsidRPr="00E33D04" w:rsidRDefault="00C672B5" w:rsidP="00C672B5">
      <w:pPr>
        <w:pStyle w:val="EndnoteText"/>
        <w:rPr>
          <w:szCs w:val="18"/>
        </w:rPr>
      </w:pPr>
      <w:r w:rsidRPr="00A82F81">
        <w:rPr>
          <w:szCs w:val="18"/>
        </w:rPr>
        <w:tab/>
      </w:r>
      <w:r w:rsidRPr="00A82F81">
        <w:rPr>
          <w:rStyle w:val="EndnoteReference"/>
          <w:szCs w:val="18"/>
        </w:rPr>
        <w:endnoteRef/>
      </w:r>
      <w:r w:rsidRPr="00A82F81">
        <w:rPr>
          <w:szCs w:val="18"/>
        </w:rPr>
        <w:tab/>
      </w:r>
      <w:r w:rsidRPr="00E33D04">
        <w:rPr>
          <w:szCs w:val="18"/>
        </w:rPr>
        <w:t>ILO</w:t>
      </w:r>
      <w:r w:rsidRPr="00E33D04">
        <w:rPr>
          <w:szCs w:val="18"/>
          <w:lang w:val="en-US"/>
        </w:rPr>
        <w:t xml:space="preserve"> Indigenous and Tribal Peoples Convention, 1989 (No. 169) and </w:t>
      </w:r>
      <w:r w:rsidRPr="00E33D04">
        <w:rPr>
          <w:szCs w:val="18"/>
        </w:rPr>
        <w:t xml:space="preserve">Domestic Workers </w:t>
      </w:r>
      <w:r w:rsidRPr="00E33D04">
        <w:rPr>
          <w:szCs w:val="18"/>
          <w:lang w:val="en-US"/>
        </w:rPr>
        <w:t>Convention, 2011 (No. 189)</w:t>
      </w:r>
      <w:r w:rsidRPr="00E33D04">
        <w:rPr>
          <w:szCs w:val="18"/>
        </w:rPr>
        <w:t>.</w:t>
      </w:r>
    </w:p>
  </w:endnote>
  <w:endnote w:id="12">
    <w:p w:rsidR="00A23424" w:rsidRPr="00A82F81" w:rsidRDefault="00A23424" w:rsidP="00A23424">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A23424" w:rsidRPr="00A82F81" w:rsidRDefault="00A23424" w:rsidP="00A23424">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E33D04">
        <w:rPr>
          <w:szCs w:val="18"/>
        </w:rPr>
        <w:t>;</w:t>
      </w:r>
    </w:p>
    <w:p w:rsidR="00A23424" w:rsidRPr="00A82F81" w:rsidRDefault="00A23424" w:rsidP="00A23424">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E33D04">
        <w:rPr>
          <w:szCs w:val="18"/>
        </w:rPr>
        <w:t>;</w:t>
      </w:r>
    </w:p>
    <w:p w:rsidR="00A23424" w:rsidRPr="00A82F81" w:rsidRDefault="00A23424" w:rsidP="00A23424">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E33D04">
        <w:rPr>
          <w:szCs w:val="18"/>
        </w:rPr>
        <w:t>;</w:t>
      </w:r>
    </w:p>
    <w:p w:rsidR="00A23424" w:rsidRPr="00A82F81" w:rsidRDefault="00A23424" w:rsidP="00A23424">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E33D04">
        <w:rPr>
          <w:szCs w:val="18"/>
        </w:rPr>
        <w:t>;</w:t>
      </w:r>
    </w:p>
    <w:p w:rsidR="00A23424" w:rsidRPr="00A82F81" w:rsidRDefault="00A23424" w:rsidP="00A23424">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E33D04">
        <w:rPr>
          <w:szCs w:val="18"/>
        </w:rPr>
        <w:t>;</w:t>
      </w:r>
    </w:p>
    <w:p w:rsidR="00A23424" w:rsidRPr="00A82F81" w:rsidRDefault="00A23424" w:rsidP="00A23424">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E33D04">
        <w:rPr>
          <w:szCs w:val="18"/>
        </w:rPr>
        <w:t>;</w:t>
      </w:r>
    </w:p>
    <w:p w:rsidR="00A23424" w:rsidRPr="00A82F81" w:rsidRDefault="00A23424" w:rsidP="00A23424">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E33D04">
        <w:rPr>
          <w:szCs w:val="18"/>
        </w:rPr>
        <w:t>;</w:t>
      </w:r>
    </w:p>
    <w:p w:rsidR="00A23424" w:rsidRPr="00A82F81" w:rsidRDefault="00A23424" w:rsidP="00A23424">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E33D04">
        <w:rPr>
          <w:szCs w:val="18"/>
        </w:rPr>
        <w:t>;</w:t>
      </w:r>
    </w:p>
    <w:p w:rsidR="00A23424" w:rsidRPr="00A82F81" w:rsidRDefault="00A23424" w:rsidP="00A23424">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E33D04">
        <w:rPr>
          <w:szCs w:val="18"/>
        </w:rPr>
        <w:t>;</w:t>
      </w:r>
    </w:p>
    <w:p w:rsidR="00A23424" w:rsidRPr="00924AEB" w:rsidRDefault="00A23424" w:rsidP="00A23424">
      <w:pPr>
        <w:pStyle w:val="EndnoteText"/>
        <w:widowControl w:val="0"/>
        <w:spacing w:line="220" w:lineRule="atLeast"/>
        <w:ind w:left="3969" w:hanging="2268"/>
        <w:rPr>
          <w:szCs w:val="18"/>
        </w:rPr>
      </w:pPr>
      <w:r w:rsidRPr="00924AEB">
        <w:rPr>
          <w:szCs w:val="18"/>
        </w:rPr>
        <w:t>SPT</w:t>
      </w:r>
      <w:r w:rsidRPr="00924AEB">
        <w:rPr>
          <w:szCs w:val="18"/>
        </w:rPr>
        <w:tab/>
        <w:t>Subcommittee on Prevention of Torture</w:t>
      </w:r>
      <w:r w:rsidR="00E33D04">
        <w:rPr>
          <w:szCs w:val="18"/>
        </w:rPr>
        <w:t>.</w:t>
      </w:r>
    </w:p>
  </w:endnote>
  <w:endnote w:id="13">
    <w:p w:rsidR="00292DEC" w:rsidRPr="00924AEB" w:rsidRDefault="00E33D04" w:rsidP="00E33D04">
      <w:pPr>
        <w:pStyle w:val="EndnoteText"/>
        <w:rPr>
          <w:szCs w:val="18"/>
        </w:rPr>
      </w:pPr>
      <w:r>
        <w:rPr>
          <w:szCs w:val="18"/>
        </w:rPr>
        <w:tab/>
      </w:r>
      <w:r w:rsidR="00292DEC" w:rsidRPr="00924AEB">
        <w:rPr>
          <w:rStyle w:val="EndnoteReference"/>
          <w:szCs w:val="18"/>
        </w:rPr>
        <w:endnoteRef/>
      </w:r>
      <w:r>
        <w:rPr>
          <w:szCs w:val="18"/>
        </w:rPr>
        <w:tab/>
      </w:r>
      <w:r w:rsidR="00292DEC" w:rsidRPr="00924AEB">
        <w:rPr>
          <w:bCs/>
          <w:szCs w:val="18"/>
        </w:rPr>
        <w:t>CERD/C/EGY/CO/17-22, para. 47.</w:t>
      </w:r>
    </w:p>
  </w:endnote>
  <w:endnote w:id="14">
    <w:p w:rsidR="00292DEC" w:rsidRPr="00924AEB" w:rsidRDefault="00E33D04" w:rsidP="00E33D04">
      <w:pPr>
        <w:pStyle w:val="EndnoteText"/>
        <w:rPr>
          <w:szCs w:val="18"/>
        </w:rPr>
      </w:pPr>
      <w:r>
        <w:rPr>
          <w:szCs w:val="18"/>
        </w:rPr>
        <w:tab/>
      </w:r>
      <w:r w:rsidR="00292DEC" w:rsidRPr="00924AEB">
        <w:rPr>
          <w:rStyle w:val="EndnoteReference"/>
          <w:szCs w:val="18"/>
        </w:rPr>
        <w:endnoteRef/>
      </w:r>
      <w:r>
        <w:rPr>
          <w:szCs w:val="18"/>
        </w:rPr>
        <w:tab/>
      </w:r>
      <w:r w:rsidR="00292DEC" w:rsidRPr="00924AEB">
        <w:rPr>
          <w:bCs/>
          <w:szCs w:val="18"/>
          <w:lang w:eastAsia="en-GB"/>
        </w:rPr>
        <w:t>CEDAW/C/EGY/CO/7, para. 59.</w:t>
      </w:r>
    </w:p>
  </w:endnote>
  <w:endnote w:id="15">
    <w:p w:rsidR="00292DEC" w:rsidRPr="00924AEB" w:rsidRDefault="00E33D04" w:rsidP="00E33D04">
      <w:pPr>
        <w:pStyle w:val="EndnoteText"/>
        <w:rPr>
          <w:szCs w:val="18"/>
        </w:rPr>
      </w:pPr>
      <w:r>
        <w:rPr>
          <w:szCs w:val="18"/>
        </w:rPr>
        <w:tab/>
      </w:r>
      <w:r w:rsidR="00292DEC" w:rsidRPr="00924AEB">
        <w:rPr>
          <w:rStyle w:val="EndnoteReference"/>
          <w:szCs w:val="18"/>
        </w:rPr>
        <w:endnoteRef/>
      </w:r>
      <w:r>
        <w:rPr>
          <w:szCs w:val="18"/>
        </w:rPr>
        <w:tab/>
      </w:r>
      <w:r w:rsidR="00292DEC" w:rsidRPr="00924AEB">
        <w:rPr>
          <w:szCs w:val="18"/>
        </w:rPr>
        <w:t>CEDAW/C/EGY/CO/7/Add.1.</w:t>
      </w:r>
    </w:p>
  </w:endnote>
  <w:endnote w:id="16">
    <w:p w:rsidR="00292DEC" w:rsidRPr="00924AEB" w:rsidRDefault="00E33D04" w:rsidP="00E33D04">
      <w:pPr>
        <w:pStyle w:val="EndnoteText"/>
        <w:rPr>
          <w:szCs w:val="18"/>
        </w:rPr>
      </w:pPr>
      <w:r>
        <w:rPr>
          <w:szCs w:val="18"/>
        </w:rPr>
        <w:tab/>
      </w:r>
      <w:r w:rsidR="00292DEC" w:rsidRPr="00924AEB">
        <w:rPr>
          <w:rStyle w:val="EndnoteReference"/>
          <w:szCs w:val="18"/>
        </w:rPr>
        <w:endnoteRef/>
      </w:r>
      <w:r>
        <w:rPr>
          <w:szCs w:val="18"/>
        </w:rPr>
        <w:tab/>
      </w:r>
      <w:r w:rsidR="00292DEC" w:rsidRPr="00924AEB">
        <w:rPr>
          <w:szCs w:val="18"/>
        </w:rPr>
        <w:t xml:space="preserve">Letter from CEDAW to the Permanent Mission of Egypt </w:t>
      </w:r>
      <w:r w:rsidR="00292DEC" w:rsidRPr="00924AEB">
        <w:rPr>
          <w:rStyle w:val="EndnoteTextChar"/>
          <w:szCs w:val="18"/>
        </w:rPr>
        <w:t>to the United Nations Office and other international organizations in Geneva</w:t>
      </w:r>
      <w:r w:rsidR="00292DEC" w:rsidRPr="00924AEB">
        <w:rPr>
          <w:szCs w:val="18"/>
        </w:rPr>
        <w:t xml:space="preserve">, dated 21 September 2017, available from https://tbinternet.ohchr.org/Treaties/CEDAW/Shared%20Documents/EGY/INT_CEDAW_FUL_EGY_28953_E.pdf (accessed on </w:t>
      </w:r>
      <w:r w:rsidR="00292DEC">
        <w:rPr>
          <w:szCs w:val="18"/>
        </w:rPr>
        <w:t xml:space="preserve">1 July </w:t>
      </w:r>
      <w:r w:rsidR="00292DEC" w:rsidRPr="00924AEB">
        <w:rPr>
          <w:szCs w:val="18"/>
        </w:rPr>
        <w:t>201</w:t>
      </w:r>
      <w:r w:rsidR="00292DEC">
        <w:rPr>
          <w:szCs w:val="18"/>
        </w:rPr>
        <w:t>9</w:t>
      </w:r>
      <w:r w:rsidR="00292DEC" w:rsidRPr="00924AEB">
        <w:rPr>
          <w:szCs w:val="18"/>
        </w:rPr>
        <w:t>).</w:t>
      </w:r>
    </w:p>
  </w:endnote>
  <w:endnote w:id="17">
    <w:p w:rsidR="00292DEC" w:rsidRPr="00924AEB" w:rsidRDefault="00E33D04" w:rsidP="00E33D04">
      <w:pPr>
        <w:pStyle w:val="EndnoteText"/>
        <w:rPr>
          <w:szCs w:val="18"/>
        </w:rPr>
      </w:pPr>
      <w:r>
        <w:rPr>
          <w:szCs w:val="18"/>
        </w:rPr>
        <w:tab/>
      </w:r>
      <w:r w:rsidR="00292DEC" w:rsidRPr="00924AEB">
        <w:rPr>
          <w:rStyle w:val="EndnoteReference"/>
          <w:szCs w:val="18"/>
        </w:rPr>
        <w:endnoteRef/>
      </w:r>
      <w:r>
        <w:rPr>
          <w:szCs w:val="18"/>
        </w:rPr>
        <w:tab/>
      </w:r>
      <w:r w:rsidR="00292DEC" w:rsidRPr="00924AEB">
        <w:rPr>
          <w:bCs/>
          <w:szCs w:val="18"/>
        </w:rPr>
        <w:t>A/72/44, paras. 58-71.</w:t>
      </w:r>
    </w:p>
  </w:endnote>
  <w:endnote w:id="18">
    <w:p w:rsidR="00677AF1" w:rsidRPr="00A82F81" w:rsidRDefault="00677AF1" w:rsidP="00677AF1">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9">
    <w:p w:rsidR="00953956" w:rsidRPr="00A82F81" w:rsidRDefault="00953956" w:rsidP="00953956">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0">
    <w:p w:rsidR="00E20A2C" w:rsidRDefault="00E20A2C" w:rsidP="00E20A2C">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E20A2C" w:rsidRDefault="00E20A2C" w:rsidP="00E20A2C">
      <w:pPr>
        <w:pStyle w:val="EndnoteText"/>
        <w:widowControl w:val="0"/>
        <w:ind w:firstLine="0"/>
        <w:rPr>
          <w:bCs/>
        </w:rPr>
      </w:pPr>
      <w:hyperlink r:id="rId2" w:history="1">
        <w:r>
          <w:rPr>
            <w:rStyle w:val="Hyperlink"/>
            <w:bCs/>
          </w:rPr>
          <w:t>https://nhri.ohchr.org/EN/Documents/Status%20Accreditation%20Chart%20%289%20May%202019%29.pdf</w:t>
        </w:r>
      </w:hyperlink>
    </w:p>
    <w:p w:rsidR="00E20A2C" w:rsidRDefault="00E20A2C" w:rsidP="00E20A2C">
      <w:pPr>
        <w:pStyle w:val="EndnoteText"/>
        <w:spacing w:before="240" w:line="240" w:lineRule="exac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E20A2C">
      <w:rPr>
        <w:noProof/>
      </w:rPr>
      <w:t>4</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E20A2C"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00B9"/>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C0F5E"/>
    <w:rsid w:val="000D0709"/>
    <w:rsid w:val="000D1851"/>
    <w:rsid w:val="000E0415"/>
    <w:rsid w:val="000F63EB"/>
    <w:rsid w:val="0010479D"/>
    <w:rsid w:val="0013065A"/>
    <w:rsid w:val="0013136E"/>
    <w:rsid w:val="00132BC7"/>
    <w:rsid w:val="00143696"/>
    <w:rsid w:val="00144AF4"/>
    <w:rsid w:val="00146D32"/>
    <w:rsid w:val="001509BA"/>
    <w:rsid w:val="00151C6A"/>
    <w:rsid w:val="00157983"/>
    <w:rsid w:val="001614E7"/>
    <w:rsid w:val="00181B7D"/>
    <w:rsid w:val="001B4B04"/>
    <w:rsid w:val="001C215C"/>
    <w:rsid w:val="001C264A"/>
    <w:rsid w:val="001C6663"/>
    <w:rsid w:val="001C7895"/>
    <w:rsid w:val="001D26DF"/>
    <w:rsid w:val="001E2790"/>
    <w:rsid w:val="001E5256"/>
    <w:rsid w:val="0021130C"/>
    <w:rsid w:val="00211E0B"/>
    <w:rsid w:val="00211E72"/>
    <w:rsid w:val="00212C44"/>
    <w:rsid w:val="00214047"/>
    <w:rsid w:val="0021454A"/>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2DEC"/>
    <w:rsid w:val="00296EB7"/>
    <w:rsid w:val="002A18B1"/>
    <w:rsid w:val="002B4657"/>
    <w:rsid w:val="002B4713"/>
    <w:rsid w:val="002C1E8B"/>
    <w:rsid w:val="002C21F0"/>
    <w:rsid w:val="002E0FB9"/>
    <w:rsid w:val="002E2FEF"/>
    <w:rsid w:val="002E5BE3"/>
    <w:rsid w:val="002E646B"/>
    <w:rsid w:val="002F2142"/>
    <w:rsid w:val="003015A8"/>
    <w:rsid w:val="00301D10"/>
    <w:rsid w:val="003107FA"/>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72E0"/>
    <w:rsid w:val="003975ED"/>
    <w:rsid w:val="003A4E25"/>
    <w:rsid w:val="003C2CC4"/>
    <w:rsid w:val="003C3A75"/>
    <w:rsid w:val="003D4B23"/>
    <w:rsid w:val="003D6D46"/>
    <w:rsid w:val="003E065C"/>
    <w:rsid w:val="003E19D9"/>
    <w:rsid w:val="003E33AE"/>
    <w:rsid w:val="003E6998"/>
    <w:rsid w:val="003F48B9"/>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1995"/>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116A3"/>
    <w:rsid w:val="00611FC4"/>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1710"/>
    <w:rsid w:val="006E4940"/>
    <w:rsid w:val="006E564B"/>
    <w:rsid w:val="006F13F0"/>
    <w:rsid w:val="006F5035"/>
    <w:rsid w:val="007065EB"/>
    <w:rsid w:val="00714C15"/>
    <w:rsid w:val="00720183"/>
    <w:rsid w:val="00722A3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2F7"/>
    <w:rsid w:val="008C3EA7"/>
    <w:rsid w:val="008D1396"/>
    <w:rsid w:val="008D7D5A"/>
    <w:rsid w:val="008E0E46"/>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23424"/>
    <w:rsid w:val="00A31ADE"/>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740"/>
    <w:rsid w:val="00B65CCC"/>
    <w:rsid w:val="00B67F5E"/>
    <w:rsid w:val="00B70275"/>
    <w:rsid w:val="00B73E65"/>
    <w:rsid w:val="00B75057"/>
    <w:rsid w:val="00B81E12"/>
    <w:rsid w:val="00B83435"/>
    <w:rsid w:val="00B849AB"/>
    <w:rsid w:val="00B84EF0"/>
    <w:rsid w:val="00B87110"/>
    <w:rsid w:val="00B90627"/>
    <w:rsid w:val="00B97FA8"/>
    <w:rsid w:val="00BA732B"/>
    <w:rsid w:val="00BB0769"/>
    <w:rsid w:val="00BB2720"/>
    <w:rsid w:val="00BC1385"/>
    <w:rsid w:val="00BC25CA"/>
    <w:rsid w:val="00BC74E9"/>
    <w:rsid w:val="00BE3252"/>
    <w:rsid w:val="00BE58F1"/>
    <w:rsid w:val="00BE618E"/>
    <w:rsid w:val="00C24693"/>
    <w:rsid w:val="00C2509F"/>
    <w:rsid w:val="00C32D5E"/>
    <w:rsid w:val="00C3427B"/>
    <w:rsid w:val="00C35F0B"/>
    <w:rsid w:val="00C36DCD"/>
    <w:rsid w:val="00C463DD"/>
    <w:rsid w:val="00C500EF"/>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D6995"/>
    <w:rsid w:val="00CE0FF5"/>
    <w:rsid w:val="00CE2F46"/>
    <w:rsid w:val="00CE4A8F"/>
    <w:rsid w:val="00CF0214"/>
    <w:rsid w:val="00CF586F"/>
    <w:rsid w:val="00CF6980"/>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923"/>
    <w:rsid w:val="00E11593"/>
    <w:rsid w:val="00E12B6B"/>
    <w:rsid w:val="00E130AB"/>
    <w:rsid w:val="00E170D4"/>
    <w:rsid w:val="00E20A2C"/>
    <w:rsid w:val="00E20CC5"/>
    <w:rsid w:val="00E21DE8"/>
    <w:rsid w:val="00E33D04"/>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7A2A"/>
    <w:rsid w:val="00EE7D5F"/>
    <w:rsid w:val="00EF1D7F"/>
    <w:rsid w:val="00EF2FCC"/>
    <w:rsid w:val="00EF5BDB"/>
    <w:rsid w:val="00F00528"/>
    <w:rsid w:val="00F07FD9"/>
    <w:rsid w:val="00F110E1"/>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83A68"/>
    <w:rsid w:val="00F927F0"/>
    <w:rsid w:val="00F9635C"/>
    <w:rsid w:val="00FA4B49"/>
    <w:rsid w:val="00FA7DF3"/>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0822D6"/>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 w:id="17874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Chart%20%289%20May%202019%29.pdf" TargetMode="External"/><Relationship Id="rId1" Type="http://schemas.openxmlformats.org/officeDocument/2006/relationships/hyperlink" Target="https://ihl-databases.icrc.org/applic/ihl/ihl.nsf/vwTreaties1949.xs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7B1491-76C1-4835-9396-65E47705EDE8}">
  <ds:schemaRefs>
    <ds:schemaRef ds:uri="http://schemas.openxmlformats.org/officeDocument/2006/bibliography"/>
  </ds:schemaRefs>
</ds:datastoreItem>
</file>

<file path=customXml/itemProps2.xml><?xml version="1.0" encoding="utf-8"?>
<ds:datastoreItem xmlns:ds="http://schemas.openxmlformats.org/officeDocument/2006/customXml" ds:itemID="{9BAC7061-1123-4063-9C3C-A162FCE6864D}"/>
</file>

<file path=customXml/itemProps3.xml><?xml version="1.0" encoding="utf-8"?>
<ds:datastoreItem xmlns:ds="http://schemas.openxmlformats.org/officeDocument/2006/customXml" ds:itemID="{36CC4F85-5763-404D-9438-3A2D351C057C}"/>
</file>

<file path=customXml/itemProps4.xml><?xml version="1.0" encoding="utf-8"?>
<ds:datastoreItem xmlns:ds="http://schemas.openxmlformats.org/officeDocument/2006/customXml" ds:itemID="{B2093A78-B2C9-4535-9768-24589BDA1AC2}"/>
</file>

<file path=docProps/app.xml><?xml version="1.0" encoding="utf-8"?>
<Properties xmlns="http://schemas.openxmlformats.org/officeDocument/2006/extended-properties" xmlns:vt="http://schemas.openxmlformats.org/officeDocument/2006/docPropsVTypes">
  <Template>A_E.dotm</Template>
  <TotalTime>65</TotalTime>
  <Pages>6</Pages>
  <Words>654</Words>
  <Characters>3731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 6_34_EGY_2_Egypt_Annex_E</dc:title>
  <dc:creator>Sumiko IHARA</dc:creator>
  <cp:lastModifiedBy>Feyikemi Oyewole</cp:lastModifiedBy>
  <cp:revision>27</cp:revision>
  <cp:lastPrinted>2008-01-29T07:30:00Z</cp:lastPrinted>
  <dcterms:created xsi:type="dcterms:W3CDTF">2019-08-20T06:40:00Z</dcterms:created>
  <dcterms:modified xsi:type="dcterms:W3CDTF">2019-10-01T14:23:00Z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