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264349">
        <w:t xml:space="preserve">Compilation on </w:t>
      </w:r>
      <w:r w:rsidR="00264349" w:rsidRPr="00264349">
        <w:t>Plurinational State of Bolivia</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264349" w:rsidRPr="00264349">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264349" w:rsidRPr="00264349">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3B79C4" w:rsidRPr="003B79C4" w:rsidRDefault="003B79C4" w:rsidP="003B79C4">
            <w:pPr>
              <w:spacing w:before="40" w:after="120"/>
              <w:ind w:right="113"/>
            </w:pPr>
            <w:r w:rsidRPr="003B79C4">
              <w:t>ICERD (1970)</w:t>
            </w:r>
          </w:p>
          <w:p w:rsidR="003B79C4" w:rsidRPr="003B79C4" w:rsidRDefault="003B79C4" w:rsidP="003B79C4">
            <w:pPr>
              <w:spacing w:before="40" w:after="120"/>
              <w:ind w:right="113"/>
            </w:pPr>
            <w:r w:rsidRPr="003B79C4">
              <w:t>ICESCR (1982)</w:t>
            </w:r>
          </w:p>
          <w:p w:rsidR="003B79C4" w:rsidRPr="003B79C4" w:rsidRDefault="003B79C4" w:rsidP="003B79C4">
            <w:pPr>
              <w:spacing w:before="40" w:after="120"/>
              <w:ind w:right="113"/>
            </w:pPr>
            <w:r w:rsidRPr="003B79C4">
              <w:t>ICCPR (1982)</w:t>
            </w:r>
          </w:p>
          <w:p w:rsidR="003B79C4" w:rsidRPr="003B79C4" w:rsidRDefault="003B79C4" w:rsidP="003B79C4">
            <w:pPr>
              <w:spacing w:before="40" w:after="120"/>
              <w:ind w:right="113"/>
            </w:pPr>
            <w:r w:rsidRPr="003B79C4">
              <w:t>ICCPR-OP 2 (2013)</w:t>
            </w:r>
          </w:p>
          <w:p w:rsidR="003B79C4" w:rsidRPr="003B79C4" w:rsidRDefault="003B79C4" w:rsidP="003B79C4">
            <w:pPr>
              <w:spacing w:before="40" w:after="120"/>
              <w:ind w:right="113"/>
            </w:pPr>
            <w:r w:rsidRPr="003B79C4">
              <w:t>CEDAW (1990)</w:t>
            </w:r>
          </w:p>
          <w:p w:rsidR="003B79C4" w:rsidRPr="003B79C4" w:rsidRDefault="003B79C4" w:rsidP="003B79C4">
            <w:pPr>
              <w:spacing w:before="40" w:after="120"/>
              <w:ind w:right="113"/>
            </w:pPr>
            <w:r w:rsidRPr="003B79C4">
              <w:t>CAT (1999)</w:t>
            </w:r>
          </w:p>
          <w:p w:rsidR="003B79C4" w:rsidRPr="003B79C4" w:rsidRDefault="003B79C4" w:rsidP="003B79C4">
            <w:pPr>
              <w:spacing w:before="40" w:after="120"/>
              <w:ind w:right="113"/>
            </w:pPr>
            <w:r w:rsidRPr="003B79C4">
              <w:t>OP-CAT (2006)</w:t>
            </w:r>
          </w:p>
          <w:p w:rsidR="003B79C4" w:rsidRPr="003B79C4" w:rsidRDefault="003B79C4" w:rsidP="003B79C4">
            <w:pPr>
              <w:spacing w:before="40" w:after="120"/>
              <w:ind w:right="113"/>
            </w:pPr>
            <w:r w:rsidRPr="003B79C4">
              <w:t>CRC (1990)</w:t>
            </w:r>
          </w:p>
          <w:p w:rsidR="003B79C4" w:rsidRPr="003B79C4" w:rsidRDefault="003B79C4" w:rsidP="003B79C4">
            <w:pPr>
              <w:spacing w:before="40" w:after="120"/>
              <w:ind w:right="113"/>
            </w:pPr>
            <w:r w:rsidRPr="003B79C4">
              <w:t>OP-CRC-AC (2004)</w:t>
            </w:r>
          </w:p>
          <w:p w:rsidR="00521F07" w:rsidRDefault="003B79C4" w:rsidP="003B79C4">
            <w:pPr>
              <w:spacing w:before="40" w:after="120"/>
              <w:ind w:right="113"/>
            </w:pPr>
            <w:r w:rsidRPr="003B79C4">
              <w:t>OP-CRC-SC (2003)</w:t>
            </w:r>
          </w:p>
          <w:p w:rsidR="003B79C4" w:rsidRPr="003B79C4" w:rsidRDefault="003B79C4" w:rsidP="003B79C4">
            <w:pPr>
              <w:spacing w:before="40" w:after="120"/>
              <w:ind w:right="113"/>
            </w:pPr>
            <w:r w:rsidRPr="003B79C4">
              <w:t>ICRMW (2000)</w:t>
            </w:r>
          </w:p>
          <w:p w:rsidR="003B79C4" w:rsidRPr="003B79C4" w:rsidRDefault="003B79C4" w:rsidP="003B79C4">
            <w:pPr>
              <w:spacing w:before="40" w:after="120"/>
              <w:ind w:right="113"/>
            </w:pPr>
            <w:r w:rsidRPr="003B79C4">
              <w:t>CRPD (2009)</w:t>
            </w:r>
          </w:p>
          <w:p w:rsidR="003B79C4" w:rsidRPr="00A02BFB" w:rsidRDefault="003B79C4" w:rsidP="003B79C4">
            <w:pPr>
              <w:spacing w:before="40" w:after="120"/>
              <w:ind w:right="113"/>
            </w:pPr>
            <w:r w:rsidRPr="003B79C4">
              <w:t>ICPPED (2008)</w:t>
            </w:r>
          </w:p>
        </w:tc>
        <w:tc>
          <w:tcPr>
            <w:tcW w:w="2409" w:type="dxa"/>
            <w:shd w:val="clear" w:color="auto" w:fill="auto"/>
          </w:tcPr>
          <w:p w:rsidR="00A02BFB" w:rsidRPr="00A02BFB" w:rsidRDefault="00A02BFB" w:rsidP="00A4314D">
            <w:pPr>
              <w:spacing w:before="40" w:after="120"/>
              <w:ind w:right="113"/>
            </w:pPr>
          </w:p>
        </w:tc>
        <w:tc>
          <w:tcPr>
            <w:tcW w:w="2410" w:type="dxa"/>
            <w:shd w:val="clear" w:color="auto" w:fill="auto"/>
          </w:tcPr>
          <w:p w:rsidR="00A02BFB" w:rsidRPr="00A02BFB" w:rsidRDefault="00A02BFB" w:rsidP="00CE0FF5">
            <w:pPr>
              <w:spacing w:before="40" w:after="120"/>
              <w:ind w:right="113"/>
            </w:pPr>
          </w:p>
        </w:tc>
      </w:tr>
      <w:tr w:rsidR="00A02BFB" w:rsidRPr="00A02BFB" w:rsidTr="0028001D">
        <w:tc>
          <w:tcPr>
            <w:tcW w:w="2410" w:type="dxa"/>
            <w:tcBorders>
              <w:bottom w:val="single" w:sz="12" w:space="0" w:color="auto"/>
            </w:tcBorders>
            <w:shd w:val="clear" w:color="auto" w:fill="auto"/>
          </w:tcPr>
          <w:p w:rsidR="00A02BFB" w:rsidRPr="00A02BFB" w:rsidRDefault="00A4314D" w:rsidP="003B79C4">
            <w:pPr>
              <w:spacing w:before="40" w:after="120"/>
              <w:ind w:right="113"/>
            </w:pPr>
            <w:r w:rsidRPr="00A4314D">
              <w:rPr>
                <w:i/>
              </w:rPr>
              <w:t xml:space="preserve">Complaints procedures, inquiries and </w:t>
            </w:r>
            <w:r w:rsidRPr="00A4314D">
              <w:rPr>
                <w:i/>
              </w:rPr>
              <w:br/>
              <w:t>urgent action</w:t>
            </w:r>
            <w:r w:rsidR="003B79C4" w:rsidRPr="003B79C4">
              <w:rPr>
                <w:vertAlign w:val="superscript"/>
              </w:rPr>
              <w:endnoteReference w:id="4"/>
            </w:r>
          </w:p>
        </w:tc>
        <w:tc>
          <w:tcPr>
            <w:tcW w:w="2408" w:type="dxa"/>
            <w:tcBorders>
              <w:bottom w:val="single" w:sz="12" w:space="0" w:color="auto"/>
            </w:tcBorders>
            <w:shd w:val="clear" w:color="auto" w:fill="auto"/>
          </w:tcPr>
          <w:p w:rsidR="003B79C4" w:rsidRPr="003B79C4" w:rsidRDefault="003B79C4" w:rsidP="003B79C4">
            <w:pPr>
              <w:spacing w:before="40" w:after="120"/>
              <w:ind w:right="113"/>
            </w:pPr>
            <w:r w:rsidRPr="003B79C4">
              <w:t>ICERD, art. 14 (2006)</w:t>
            </w:r>
          </w:p>
          <w:p w:rsidR="003B79C4" w:rsidRPr="003B79C4" w:rsidRDefault="003B79C4" w:rsidP="003B79C4">
            <w:pPr>
              <w:spacing w:before="40" w:after="120"/>
              <w:ind w:right="113"/>
            </w:pPr>
            <w:r w:rsidRPr="003B79C4">
              <w:t>OP-ICESCR (2012)</w:t>
            </w:r>
          </w:p>
          <w:p w:rsidR="003B79C4" w:rsidRPr="003B79C4" w:rsidRDefault="003B79C4" w:rsidP="003B79C4">
            <w:pPr>
              <w:spacing w:before="40" w:after="120"/>
              <w:ind w:right="113"/>
            </w:pPr>
            <w:r w:rsidRPr="003B79C4">
              <w:t>ICCPR-OP 1 (1982)</w:t>
            </w:r>
          </w:p>
          <w:p w:rsidR="003B79C4" w:rsidRPr="003B79C4" w:rsidRDefault="003B79C4" w:rsidP="003B79C4">
            <w:pPr>
              <w:spacing w:before="40" w:after="120"/>
              <w:ind w:right="113"/>
            </w:pPr>
            <w:r w:rsidRPr="003B79C4">
              <w:t>OP-CEDAW, art. 8 (2000)</w:t>
            </w:r>
          </w:p>
          <w:p w:rsidR="003B79C4" w:rsidRPr="003B79C4" w:rsidRDefault="003B79C4" w:rsidP="003B79C4">
            <w:pPr>
              <w:spacing w:before="40" w:after="120"/>
              <w:ind w:right="113"/>
            </w:pPr>
            <w:r w:rsidRPr="003B79C4">
              <w:t>CAT, arts. 20 (1999), 21 and 22 (2006)</w:t>
            </w:r>
          </w:p>
          <w:p w:rsidR="003B79C4" w:rsidRPr="003B79C4" w:rsidRDefault="003B79C4" w:rsidP="003B79C4">
            <w:pPr>
              <w:spacing w:before="40" w:after="120"/>
              <w:ind w:right="113"/>
            </w:pPr>
            <w:r w:rsidRPr="003B79C4">
              <w:t>OP-CRC-IC, art. 13 (2013)</w:t>
            </w:r>
          </w:p>
          <w:p w:rsidR="00A02BFB" w:rsidRPr="00A02BFB" w:rsidRDefault="003B79C4" w:rsidP="003B79C4">
            <w:pPr>
              <w:spacing w:before="40" w:after="120"/>
              <w:ind w:right="113"/>
            </w:pPr>
            <w:r w:rsidRPr="003B79C4">
              <w:t>OP-CRPD, art. 6 (2009)</w:t>
            </w:r>
          </w:p>
        </w:tc>
        <w:tc>
          <w:tcPr>
            <w:tcW w:w="2409" w:type="dxa"/>
            <w:tcBorders>
              <w:bottom w:val="single" w:sz="12" w:space="0" w:color="auto"/>
            </w:tcBorders>
            <w:shd w:val="clear" w:color="auto" w:fill="auto"/>
          </w:tcPr>
          <w:p w:rsidR="00A02BFB" w:rsidRPr="00A02BFB" w:rsidRDefault="00A02BFB" w:rsidP="0028001D">
            <w:pPr>
              <w:spacing w:before="40" w:after="120"/>
              <w:ind w:right="113"/>
            </w:pPr>
          </w:p>
        </w:tc>
        <w:tc>
          <w:tcPr>
            <w:tcW w:w="2410" w:type="dxa"/>
            <w:tcBorders>
              <w:bottom w:val="single" w:sz="12" w:space="0" w:color="auto"/>
            </w:tcBorders>
            <w:shd w:val="clear" w:color="auto" w:fill="auto"/>
          </w:tcPr>
          <w:p w:rsidR="003B79C4" w:rsidRPr="003B79C4" w:rsidRDefault="003B79C4" w:rsidP="003B79C4">
            <w:pPr>
              <w:spacing w:before="40" w:after="120"/>
              <w:ind w:right="113"/>
            </w:pPr>
            <w:r w:rsidRPr="003B79C4">
              <w:t>OP-ICESCR, arts. 10 and 11</w:t>
            </w:r>
          </w:p>
          <w:p w:rsidR="003B79C4" w:rsidRPr="003B79C4" w:rsidRDefault="003B79C4" w:rsidP="003B79C4">
            <w:pPr>
              <w:spacing w:before="40" w:after="120"/>
              <w:ind w:right="113"/>
            </w:pPr>
            <w:r w:rsidRPr="003B79C4">
              <w:t>ICCPR, art. 41</w:t>
            </w:r>
          </w:p>
          <w:p w:rsidR="003B79C4" w:rsidRPr="003B79C4" w:rsidRDefault="003B79C4" w:rsidP="003B79C4">
            <w:pPr>
              <w:spacing w:before="40" w:after="120"/>
              <w:ind w:right="113"/>
            </w:pPr>
            <w:r w:rsidRPr="003B79C4">
              <w:t>OP-CRC-IC, art. 12</w:t>
            </w:r>
          </w:p>
          <w:p w:rsidR="003B79C4" w:rsidRPr="003B79C4" w:rsidRDefault="003B79C4" w:rsidP="003B79C4">
            <w:pPr>
              <w:spacing w:before="40" w:after="120"/>
              <w:ind w:right="113"/>
            </w:pPr>
            <w:r w:rsidRPr="003B79C4">
              <w:t>ICRMW, arts. 76 and 77</w:t>
            </w:r>
          </w:p>
          <w:p w:rsidR="00A02BFB" w:rsidRPr="00A02BFB" w:rsidRDefault="003B79C4" w:rsidP="003B79C4">
            <w:pPr>
              <w:spacing w:before="40" w:after="120"/>
              <w:ind w:right="113"/>
            </w:pPr>
            <w:r w:rsidRPr="003B79C4">
              <w:t>ICPPED, arts. 31 and 32</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4E14C0" w:rsidP="0028001D">
            <w:pPr>
              <w:spacing w:before="40" w:after="120"/>
              <w:ind w:right="113"/>
            </w:pPr>
            <w:r w:rsidRPr="004E14C0">
              <w:t>OP-CRC-AC (Declaration, art. 3.2, minimum age of recruitment 18 years, 2004)</w:t>
            </w:r>
          </w:p>
        </w:tc>
        <w:tc>
          <w:tcPr>
            <w:tcW w:w="2409" w:type="dxa"/>
            <w:tcBorders>
              <w:bottom w:val="single" w:sz="12" w:space="0" w:color="auto"/>
            </w:tcBorders>
            <w:shd w:val="clear" w:color="auto" w:fill="auto"/>
          </w:tcPr>
          <w:p w:rsidR="0066149A" w:rsidRDefault="0066149A" w:rsidP="0028001D">
            <w:pPr>
              <w:spacing w:before="40" w:after="120"/>
              <w:ind w:right="113"/>
            </w:pPr>
          </w:p>
        </w:tc>
        <w:tc>
          <w:tcPr>
            <w:tcW w:w="2410" w:type="dxa"/>
            <w:tcBorders>
              <w:bottom w:val="single" w:sz="12" w:space="0" w:color="auto"/>
            </w:tcBorders>
            <w:shd w:val="clear" w:color="auto" w:fill="auto"/>
          </w:tcPr>
          <w:p w:rsidR="0066149A" w:rsidRPr="0066149A" w:rsidRDefault="004E14C0" w:rsidP="0028001D">
            <w:pPr>
              <w:spacing w:before="40" w:after="120"/>
              <w:ind w:right="113"/>
            </w:pPr>
            <w:r w:rsidRPr="004E14C0">
              <w:t>OP-CRC-AC (Declaration, art. 3.2, minimum age of recruitment 18 years)</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4E14C0" w:rsidP="0028001D">
            <w:pPr>
              <w:spacing w:before="40" w:after="120"/>
              <w:ind w:right="113"/>
              <w:rPr>
                <w:highlight w:val="yellow"/>
              </w:rPr>
            </w:pPr>
            <w:r w:rsidRPr="004E14C0">
              <w:t>Convention on the Prevention and Punishment of the Crime of Genocide</w:t>
            </w:r>
          </w:p>
        </w:tc>
        <w:tc>
          <w:tcPr>
            <w:tcW w:w="2409" w:type="dxa"/>
            <w:shd w:val="clear" w:color="auto" w:fill="auto"/>
          </w:tcPr>
          <w:p w:rsidR="00A02BFB" w:rsidRPr="00A02BFB" w:rsidRDefault="004E14C0" w:rsidP="0028001D">
            <w:pPr>
              <w:spacing w:before="40" w:after="120"/>
              <w:ind w:right="113"/>
            </w:pPr>
            <w:r w:rsidRPr="004E14C0">
              <w:t xml:space="preserve">Convention against Discrimination in </w:t>
            </w:r>
            <w:r>
              <w:br/>
            </w:r>
            <w:r w:rsidRPr="004E14C0">
              <w:t>Education</w:t>
            </w:r>
          </w:p>
        </w:tc>
        <w:tc>
          <w:tcPr>
            <w:tcW w:w="2410" w:type="dxa"/>
            <w:shd w:val="clear" w:color="auto" w:fill="auto"/>
          </w:tcPr>
          <w:p w:rsidR="00A02BFB" w:rsidRPr="00A02BFB" w:rsidRDefault="004E14C0" w:rsidP="00827E16">
            <w:pPr>
              <w:spacing w:before="40" w:after="120"/>
              <w:ind w:right="113"/>
            </w:pPr>
            <w:r w:rsidRPr="004E14C0">
              <w:t>Additional Protocol III to the 1949 Geneva Conventions</w:t>
            </w:r>
            <w:r w:rsidR="00827E16">
              <w:rPr>
                <w:rStyle w:val="EndnoteReference"/>
              </w:rPr>
              <w:endnoteReference w:id="5"/>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4E14C0" w:rsidP="0028001D">
            <w:pPr>
              <w:spacing w:before="40" w:after="120"/>
              <w:ind w:right="113"/>
            </w:pPr>
            <w:r w:rsidRPr="004E14C0">
              <w:t>Geneva Conventions of 12 August 1949 and Additional Protocols I and II</w:t>
            </w:r>
            <w:r w:rsidRPr="004E14C0">
              <w:rPr>
                <w:rStyle w:val="EndnoteReference"/>
              </w:rPr>
              <w:endnoteReference w:id="6"/>
            </w: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4E14C0" w:rsidP="0028001D">
            <w:pPr>
              <w:spacing w:before="40" w:after="120"/>
              <w:ind w:right="113"/>
            </w:pPr>
            <w:r w:rsidRPr="004E14C0">
              <w:t>Rome Statute of the International Criminal Court</w:t>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C32D5E"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4E14C0" w:rsidP="0028001D">
            <w:pPr>
              <w:spacing w:before="40" w:after="120"/>
              <w:ind w:right="113"/>
            </w:pPr>
            <w:r w:rsidRPr="004E14C0">
              <w:t>Conventions on refugees and stateless persons</w:t>
            </w:r>
            <w:r w:rsidRPr="004E14C0">
              <w:rPr>
                <w:rStyle w:val="EndnoteReference"/>
              </w:rPr>
              <w:endnoteReference w:id="7"/>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4E14C0" w:rsidP="0028001D">
            <w:pPr>
              <w:spacing w:before="40" w:after="120"/>
              <w:ind w:right="113"/>
            </w:pPr>
            <w:r w:rsidRPr="004E14C0">
              <w:t>Palermo Protocol</w:t>
            </w:r>
            <w:r w:rsidRPr="004E14C0">
              <w:rPr>
                <w:rStyle w:val="EndnoteReference"/>
              </w:rPr>
              <w:endnoteReference w:id="8"/>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B34871" w:rsidRPr="00A02BFB" w:rsidTr="002E5BE3">
        <w:tc>
          <w:tcPr>
            <w:tcW w:w="2409" w:type="dxa"/>
            <w:shd w:val="clear" w:color="auto" w:fill="auto"/>
          </w:tcPr>
          <w:p w:rsidR="00B34871" w:rsidRPr="00A02BFB" w:rsidRDefault="00AA4AA0" w:rsidP="0028001D">
            <w:pPr>
              <w:spacing w:before="40" w:after="120"/>
              <w:ind w:right="113"/>
            </w:pPr>
          </w:p>
        </w:tc>
        <w:tc>
          <w:tcPr>
            <w:tcW w:w="2409" w:type="dxa"/>
            <w:shd w:val="clear" w:color="auto" w:fill="auto"/>
          </w:tcPr>
          <w:p w:rsidR="00B34871" w:rsidRPr="007642AD" w:rsidRDefault="004E14C0" w:rsidP="0028001D">
            <w:pPr>
              <w:spacing w:before="40" w:after="120"/>
              <w:ind w:right="113"/>
              <w:rPr>
                <w:lang w:val="es-ES"/>
              </w:rPr>
            </w:pPr>
            <w:r w:rsidRPr="004E14C0">
              <w:t>ILO fundamental Conventions</w:t>
            </w:r>
            <w:r w:rsidRPr="004E14C0">
              <w:rPr>
                <w:rStyle w:val="EndnoteReference"/>
              </w:rPr>
              <w:endnoteReference w:id="9"/>
            </w:r>
          </w:p>
        </w:tc>
        <w:tc>
          <w:tcPr>
            <w:tcW w:w="2409" w:type="dxa"/>
            <w:shd w:val="clear" w:color="auto" w:fill="auto"/>
          </w:tcPr>
          <w:p w:rsidR="00B34871" w:rsidRDefault="00AA4AA0" w:rsidP="0028001D">
            <w:pPr>
              <w:spacing w:before="40" w:after="120"/>
              <w:ind w:right="113"/>
            </w:pPr>
          </w:p>
        </w:tc>
        <w:tc>
          <w:tcPr>
            <w:tcW w:w="2410" w:type="dxa"/>
            <w:shd w:val="clear" w:color="auto" w:fill="auto"/>
          </w:tcPr>
          <w:p w:rsidR="00B34871" w:rsidRDefault="00AA4AA0" w:rsidP="0028001D">
            <w:pPr>
              <w:spacing w:before="40" w:after="120"/>
              <w:ind w:right="113"/>
            </w:pP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4E14C0" w:rsidP="0028001D">
            <w:pPr>
              <w:spacing w:before="40" w:after="120"/>
              <w:ind w:right="113"/>
              <w:rPr>
                <w:lang w:val="es-ES"/>
              </w:rPr>
            </w:pPr>
            <w:r w:rsidRPr="004E14C0">
              <w:t>ILO Conventions Nos. 169 and 189</w:t>
            </w:r>
            <w:r w:rsidRPr="004E14C0">
              <w:rPr>
                <w:rStyle w:val="EndnoteReference"/>
              </w:rPr>
              <w:endnoteReference w:id="10"/>
            </w: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2E5BE3"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4E14C0" w:rsidRPr="004E14C0">
        <w:rPr>
          <w:rStyle w:val="EndnoteReference"/>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CF6980" w:rsidP="0028001D">
            <w:pPr>
              <w:spacing w:before="40" w:after="120"/>
              <w:ind w:right="113"/>
            </w:pPr>
            <w:r>
              <w:t>CERD</w:t>
            </w:r>
          </w:p>
        </w:tc>
        <w:tc>
          <w:tcPr>
            <w:tcW w:w="1928" w:type="dxa"/>
            <w:shd w:val="clear" w:color="auto" w:fill="auto"/>
          </w:tcPr>
          <w:p w:rsidR="00A02BFB" w:rsidRPr="00A02BFB" w:rsidRDefault="004E14C0" w:rsidP="0028001D">
            <w:pPr>
              <w:spacing w:before="40" w:after="120"/>
              <w:ind w:right="113"/>
            </w:pPr>
            <w:r>
              <w:t>March 2011</w:t>
            </w:r>
          </w:p>
        </w:tc>
        <w:tc>
          <w:tcPr>
            <w:tcW w:w="1927" w:type="dxa"/>
            <w:shd w:val="clear" w:color="auto" w:fill="auto"/>
          </w:tcPr>
          <w:p w:rsidR="00A02BFB" w:rsidRPr="00A02BFB" w:rsidRDefault="004E14C0" w:rsidP="0028001D">
            <w:pPr>
              <w:spacing w:before="40" w:after="120"/>
              <w:ind w:right="113"/>
            </w:pPr>
            <w:r>
              <w:t>2019</w:t>
            </w:r>
          </w:p>
        </w:tc>
        <w:tc>
          <w:tcPr>
            <w:tcW w:w="1927" w:type="dxa"/>
            <w:shd w:val="clear" w:color="auto" w:fill="auto"/>
          </w:tcPr>
          <w:p w:rsidR="00A02BFB" w:rsidRPr="00A02BFB" w:rsidRDefault="004E14C0" w:rsidP="0028001D">
            <w:pPr>
              <w:spacing w:before="40" w:after="120"/>
              <w:ind w:right="113"/>
            </w:pPr>
            <w:r>
              <w:t>--</w:t>
            </w:r>
          </w:p>
        </w:tc>
        <w:tc>
          <w:tcPr>
            <w:tcW w:w="1927" w:type="dxa"/>
            <w:shd w:val="clear" w:color="auto" w:fill="auto"/>
          </w:tcPr>
          <w:p w:rsidR="00A02BFB" w:rsidRPr="00A02BFB" w:rsidRDefault="004E14C0" w:rsidP="0028001D">
            <w:pPr>
              <w:spacing w:before="40" w:after="120"/>
              <w:ind w:right="113"/>
            </w:pPr>
            <w:r w:rsidRPr="004E14C0">
              <w:t>Twenty-first to twenty-sixth reports pending consideration</w:t>
            </w:r>
          </w:p>
        </w:tc>
      </w:tr>
      <w:tr w:rsidR="00FD242A" w:rsidRPr="00A02BFB" w:rsidTr="0028001D">
        <w:tc>
          <w:tcPr>
            <w:tcW w:w="1928" w:type="dxa"/>
            <w:shd w:val="clear" w:color="auto" w:fill="auto"/>
          </w:tcPr>
          <w:p w:rsidR="00A02BFB" w:rsidRPr="00A02BFB" w:rsidRDefault="00CF6980" w:rsidP="0028001D">
            <w:pPr>
              <w:spacing w:before="40" w:after="120"/>
              <w:ind w:right="113"/>
            </w:pPr>
            <w:r>
              <w:t>CESCR</w:t>
            </w:r>
          </w:p>
        </w:tc>
        <w:tc>
          <w:tcPr>
            <w:tcW w:w="1928" w:type="dxa"/>
            <w:shd w:val="clear" w:color="auto" w:fill="auto"/>
          </w:tcPr>
          <w:p w:rsidR="00A02BFB" w:rsidRPr="00A02BFB" w:rsidRDefault="004E14C0" w:rsidP="0028001D">
            <w:pPr>
              <w:spacing w:before="40" w:after="120"/>
              <w:ind w:right="113"/>
            </w:pPr>
            <w:r>
              <w:t>--</w:t>
            </w:r>
          </w:p>
        </w:tc>
        <w:tc>
          <w:tcPr>
            <w:tcW w:w="1927" w:type="dxa"/>
            <w:shd w:val="clear" w:color="auto" w:fill="auto"/>
          </w:tcPr>
          <w:p w:rsidR="00A02BFB" w:rsidRPr="00A02BFB" w:rsidRDefault="004E14C0" w:rsidP="0028001D">
            <w:pPr>
              <w:spacing w:before="40" w:after="120"/>
              <w:ind w:right="113"/>
            </w:pPr>
            <w:r>
              <w:t>2019</w:t>
            </w:r>
          </w:p>
        </w:tc>
        <w:tc>
          <w:tcPr>
            <w:tcW w:w="1927" w:type="dxa"/>
            <w:shd w:val="clear" w:color="auto" w:fill="auto"/>
          </w:tcPr>
          <w:p w:rsidR="00A02BFB" w:rsidRPr="00A02BFB" w:rsidRDefault="004E14C0" w:rsidP="0028001D">
            <w:pPr>
              <w:spacing w:before="40" w:after="120"/>
              <w:ind w:right="113"/>
            </w:pPr>
            <w:r>
              <w:t>--</w:t>
            </w:r>
          </w:p>
        </w:tc>
        <w:tc>
          <w:tcPr>
            <w:tcW w:w="1927" w:type="dxa"/>
            <w:shd w:val="clear" w:color="auto" w:fill="auto"/>
          </w:tcPr>
          <w:p w:rsidR="00A02BFB" w:rsidRPr="00A02BFB" w:rsidRDefault="004E14C0" w:rsidP="0028001D">
            <w:pPr>
              <w:spacing w:before="40" w:after="120"/>
              <w:ind w:right="113"/>
            </w:pPr>
            <w:r w:rsidRPr="004E14C0">
              <w:t>Third report pending consideration in 2020</w:t>
            </w:r>
          </w:p>
        </w:tc>
      </w:tr>
      <w:tr w:rsidR="00FD242A" w:rsidRPr="00A02BFB" w:rsidTr="0028001D">
        <w:tc>
          <w:tcPr>
            <w:tcW w:w="1928" w:type="dxa"/>
            <w:shd w:val="clear" w:color="auto" w:fill="auto"/>
          </w:tcPr>
          <w:p w:rsidR="00A02BFB" w:rsidRPr="00A02BFB" w:rsidRDefault="00CF6980" w:rsidP="0028001D">
            <w:pPr>
              <w:spacing w:before="40" w:after="120"/>
              <w:ind w:right="113"/>
            </w:pPr>
            <w:r>
              <w:t>HR Committee</w:t>
            </w:r>
          </w:p>
        </w:tc>
        <w:tc>
          <w:tcPr>
            <w:tcW w:w="1928" w:type="dxa"/>
            <w:shd w:val="clear" w:color="auto" w:fill="auto"/>
          </w:tcPr>
          <w:p w:rsidR="00A02BFB" w:rsidRPr="00A02BFB" w:rsidRDefault="004E14C0" w:rsidP="0028001D">
            <w:pPr>
              <w:spacing w:before="40" w:after="120"/>
              <w:ind w:right="113"/>
            </w:pPr>
            <w:r>
              <w:t>October 2013</w:t>
            </w:r>
          </w:p>
        </w:tc>
        <w:tc>
          <w:tcPr>
            <w:tcW w:w="1927" w:type="dxa"/>
            <w:shd w:val="clear" w:color="auto" w:fill="auto"/>
          </w:tcPr>
          <w:p w:rsidR="00A02BFB" w:rsidRPr="00A02BFB" w:rsidRDefault="004E14C0" w:rsidP="0028001D">
            <w:pPr>
              <w:spacing w:before="40" w:after="120"/>
              <w:ind w:right="113"/>
            </w:pPr>
            <w:r>
              <w:t>2018</w:t>
            </w:r>
          </w:p>
        </w:tc>
        <w:tc>
          <w:tcPr>
            <w:tcW w:w="1927" w:type="dxa"/>
            <w:shd w:val="clear" w:color="auto" w:fill="auto"/>
          </w:tcPr>
          <w:p w:rsidR="00A02BFB" w:rsidRPr="00A02BFB" w:rsidRDefault="004E14C0" w:rsidP="0028001D">
            <w:pPr>
              <w:spacing w:before="40" w:after="120"/>
              <w:ind w:right="113"/>
            </w:pPr>
            <w:r>
              <w:t>--</w:t>
            </w:r>
          </w:p>
        </w:tc>
        <w:tc>
          <w:tcPr>
            <w:tcW w:w="1927" w:type="dxa"/>
            <w:shd w:val="clear" w:color="auto" w:fill="auto"/>
          </w:tcPr>
          <w:p w:rsidR="00A02BFB" w:rsidRPr="00A02BFB" w:rsidRDefault="004E14C0" w:rsidP="0028001D">
            <w:pPr>
              <w:spacing w:before="40" w:after="120"/>
              <w:ind w:right="113"/>
            </w:pPr>
            <w:r w:rsidRPr="004E14C0">
              <w:t>Fourth report pending consideration</w:t>
            </w:r>
          </w:p>
        </w:tc>
      </w:tr>
      <w:tr w:rsidR="00FD242A" w:rsidRPr="00A02BFB" w:rsidTr="0028001D">
        <w:tc>
          <w:tcPr>
            <w:tcW w:w="1928" w:type="dxa"/>
            <w:shd w:val="clear" w:color="auto" w:fill="auto"/>
          </w:tcPr>
          <w:p w:rsidR="00A02BFB" w:rsidRPr="00A02BFB" w:rsidRDefault="00CF6980" w:rsidP="0028001D">
            <w:pPr>
              <w:spacing w:before="40" w:after="120"/>
              <w:ind w:right="113"/>
            </w:pPr>
            <w:r>
              <w:t>CEDAW</w:t>
            </w:r>
          </w:p>
        </w:tc>
        <w:tc>
          <w:tcPr>
            <w:tcW w:w="1928" w:type="dxa"/>
            <w:shd w:val="clear" w:color="auto" w:fill="auto"/>
          </w:tcPr>
          <w:p w:rsidR="00A02BFB" w:rsidRPr="00A02BFB" w:rsidRDefault="004E14C0" w:rsidP="0028001D">
            <w:pPr>
              <w:spacing w:before="40" w:after="120"/>
              <w:ind w:right="113"/>
            </w:pPr>
            <w:r>
              <w:t>--</w:t>
            </w:r>
          </w:p>
        </w:tc>
        <w:tc>
          <w:tcPr>
            <w:tcW w:w="1927" w:type="dxa"/>
            <w:shd w:val="clear" w:color="auto" w:fill="auto"/>
          </w:tcPr>
          <w:p w:rsidR="00A02BFB" w:rsidRPr="00A02BFB" w:rsidRDefault="004E14C0" w:rsidP="0028001D">
            <w:pPr>
              <w:spacing w:before="40" w:after="120"/>
              <w:ind w:right="113"/>
            </w:pPr>
            <w:r>
              <w:t>2013</w:t>
            </w:r>
          </w:p>
        </w:tc>
        <w:tc>
          <w:tcPr>
            <w:tcW w:w="1927" w:type="dxa"/>
            <w:shd w:val="clear" w:color="auto" w:fill="auto"/>
          </w:tcPr>
          <w:p w:rsidR="00A02BFB" w:rsidRPr="00A02BFB" w:rsidRDefault="004E14C0" w:rsidP="0028001D">
            <w:pPr>
              <w:spacing w:before="40" w:after="120"/>
              <w:ind w:right="113"/>
            </w:pPr>
            <w:r>
              <w:t>July 2015</w:t>
            </w:r>
          </w:p>
        </w:tc>
        <w:tc>
          <w:tcPr>
            <w:tcW w:w="1927" w:type="dxa"/>
            <w:shd w:val="clear" w:color="auto" w:fill="auto"/>
          </w:tcPr>
          <w:p w:rsidR="00A02BFB" w:rsidRPr="00A02BFB" w:rsidRDefault="004E14C0" w:rsidP="0028001D">
            <w:pPr>
              <w:spacing w:before="40" w:after="120"/>
              <w:ind w:right="113"/>
            </w:pPr>
            <w:r w:rsidRPr="004E14C0">
              <w:rPr>
                <w:bCs/>
              </w:rPr>
              <w:t>Seventh report overdue since July 2019</w:t>
            </w:r>
          </w:p>
        </w:tc>
      </w:tr>
      <w:tr w:rsidR="00FD242A" w:rsidRPr="00A02BFB" w:rsidTr="0028001D">
        <w:tc>
          <w:tcPr>
            <w:tcW w:w="1928" w:type="dxa"/>
            <w:shd w:val="clear" w:color="auto" w:fill="auto"/>
          </w:tcPr>
          <w:p w:rsidR="00A02BFB" w:rsidRPr="00A02BFB" w:rsidRDefault="00CF6980" w:rsidP="0028001D">
            <w:pPr>
              <w:spacing w:before="40" w:after="120"/>
              <w:ind w:right="113"/>
            </w:pPr>
            <w:r>
              <w:t>CAT</w:t>
            </w:r>
          </w:p>
        </w:tc>
        <w:tc>
          <w:tcPr>
            <w:tcW w:w="1928" w:type="dxa"/>
            <w:shd w:val="clear" w:color="auto" w:fill="auto"/>
          </w:tcPr>
          <w:p w:rsidR="00A02BFB" w:rsidRPr="00A02BFB" w:rsidRDefault="004E14C0" w:rsidP="0060015D">
            <w:pPr>
              <w:spacing w:before="40" w:after="120"/>
              <w:ind w:right="113"/>
            </w:pPr>
            <w:r>
              <w:t>May 2013</w:t>
            </w:r>
          </w:p>
        </w:tc>
        <w:tc>
          <w:tcPr>
            <w:tcW w:w="1927" w:type="dxa"/>
            <w:shd w:val="clear" w:color="auto" w:fill="auto"/>
          </w:tcPr>
          <w:p w:rsidR="00A02BFB" w:rsidRPr="00A02BFB" w:rsidRDefault="004E14C0" w:rsidP="0028001D">
            <w:pPr>
              <w:spacing w:before="40" w:after="120"/>
              <w:ind w:right="113"/>
            </w:pPr>
            <w:r>
              <w:t>2019</w:t>
            </w:r>
          </w:p>
        </w:tc>
        <w:tc>
          <w:tcPr>
            <w:tcW w:w="1927" w:type="dxa"/>
            <w:shd w:val="clear" w:color="auto" w:fill="auto"/>
          </w:tcPr>
          <w:p w:rsidR="00A02BFB" w:rsidRPr="00A02BFB" w:rsidRDefault="004E14C0" w:rsidP="0028001D">
            <w:pPr>
              <w:spacing w:before="40" w:after="120"/>
              <w:ind w:right="113"/>
            </w:pPr>
            <w:r>
              <w:t>--</w:t>
            </w:r>
          </w:p>
        </w:tc>
        <w:tc>
          <w:tcPr>
            <w:tcW w:w="1927" w:type="dxa"/>
            <w:shd w:val="clear" w:color="auto" w:fill="auto"/>
          </w:tcPr>
          <w:p w:rsidR="00A02BFB" w:rsidRPr="00A02BFB" w:rsidRDefault="004E14C0" w:rsidP="0028001D">
            <w:pPr>
              <w:spacing w:before="40" w:after="120"/>
              <w:ind w:right="113"/>
            </w:pPr>
            <w:r w:rsidRPr="004E14C0">
              <w:t>Third report pending consideration</w:t>
            </w:r>
          </w:p>
        </w:tc>
      </w:tr>
      <w:tr w:rsidR="00FD242A" w:rsidRPr="00A02BFB" w:rsidTr="00151C6A">
        <w:tc>
          <w:tcPr>
            <w:tcW w:w="1928" w:type="dxa"/>
            <w:shd w:val="clear" w:color="auto" w:fill="auto"/>
          </w:tcPr>
          <w:p w:rsidR="00A02BFB" w:rsidRPr="00A02BFB" w:rsidRDefault="00CF6980" w:rsidP="0028001D">
            <w:pPr>
              <w:spacing w:before="40" w:after="120"/>
              <w:ind w:right="113"/>
            </w:pPr>
            <w:r w:rsidRPr="00CF6980">
              <w:t>CRC</w:t>
            </w:r>
          </w:p>
        </w:tc>
        <w:tc>
          <w:tcPr>
            <w:tcW w:w="1928" w:type="dxa"/>
            <w:shd w:val="clear" w:color="auto" w:fill="auto"/>
          </w:tcPr>
          <w:p w:rsidR="00A02BFB" w:rsidRPr="00A02BFB" w:rsidRDefault="004E14C0" w:rsidP="0028001D">
            <w:pPr>
              <w:spacing w:before="40" w:after="120"/>
              <w:ind w:right="113"/>
            </w:pPr>
            <w:r>
              <w:t>--</w:t>
            </w:r>
          </w:p>
        </w:tc>
        <w:tc>
          <w:tcPr>
            <w:tcW w:w="1927" w:type="dxa"/>
            <w:shd w:val="clear" w:color="auto" w:fill="auto"/>
          </w:tcPr>
          <w:p w:rsidR="00A02BFB" w:rsidRPr="00A02BFB" w:rsidRDefault="004E14C0" w:rsidP="0028001D">
            <w:pPr>
              <w:spacing w:before="40" w:after="120"/>
              <w:ind w:right="113"/>
            </w:pPr>
            <w:r>
              <w:t>2019 (on CRC)</w:t>
            </w:r>
          </w:p>
        </w:tc>
        <w:tc>
          <w:tcPr>
            <w:tcW w:w="1927" w:type="dxa"/>
            <w:shd w:val="clear" w:color="auto" w:fill="auto"/>
          </w:tcPr>
          <w:p w:rsidR="00A02BFB" w:rsidRPr="00A02BFB" w:rsidRDefault="004E14C0" w:rsidP="0028001D">
            <w:pPr>
              <w:spacing w:before="40" w:after="120"/>
              <w:ind w:right="113"/>
            </w:pPr>
            <w:r>
              <w:t>--</w:t>
            </w:r>
          </w:p>
        </w:tc>
        <w:tc>
          <w:tcPr>
            <w:tcW w:w="1927" w:type="dxa"/>
            <w:shd w:val="clear" w:color="auto" w:fill="auto"/>
          </w:tcPr>
          <w:p w:rsidR="00A02BFB" w:rsidRPr="00A02BFB" w:rsidRDefault="004E14C0" w:rsidP="007D2157">
            <w:pPr>
              <w:spacing w:before="40" w:after="120"/>
              <w:ind w:right="113"/>
            </w:pPr>
            <w:r w:rsidRPr="004E14C0">
              <w:rPr>
                <w:bCs/>
              </w:rPr>
              <w:t>Fifth to sixth reports pending consideration. Initial reports to OP- CRC-</w:t>
            </w:r>
            <w:r w:rsidRPr="004E14C0">
              <w:rPr>
                <w:bCs/>
              </w:rPr>
              <w:lastRenderedPageBreak/>
              <w:t>AC and OP-CRC-SC overdue since 2007 and 2005, respectively</w:t>
            </w:r>
          </w:p>
        </w:tc>
      </w:tr>
      <w:tr w:rsidR="00C2509F" w:rsidRPr="00A02BFB" w:rsidTr="00151C6A">
        <w:tc>
          <w:tcPr>
            <w:tcW w:w="1928" w:type="dxa"/>
            <w:shd w:val="clear" w:color="auto" w:fill="auto"/>
          </w:tcPr>
          <w:p w:rsidR="00C2509F" w:rsidRDefault="00CF6980" w:rsidP="0060015D">
            <w:pPr>
              <w:spacing w:before="40" w:after="120"/>
              <w:ind w:right="113"/>
            </w:pPr>
            <w:r>
              <w:lastRenderedPageBreak/>
              <w:t>CMW</w:t>
            </w:r>
          </w:p>
        </w:tc>
        <w:tc>
          <w:tcPr>
            <w:tcW w:w="1928" w:type="dxa"/>
            <w:shd w:val="clear" w:color="auto" w:fill="auto"/>
          </w:tcPr>
          <w:p w:rsidR="00C2509F" w:rsidRDefault="004E14C0" w:rsidP="0028001D">
            <w:pPr>
              <w:spacing w:before="40" w:after="120"/>
              <w:ind w:right="113"/>
            </w:pPr>
            <w:r>
              <w:t>April 2013</w:t>
            </w:r>
          </w:p>
        </w:tc>
        <w:tc>
          <w:tcPr>
            <w:tcW w:w="1927" w:type="dxa"/>
            <w:shd w:val="clear" w:color="auto" w:fill="auto"/>
          </w:tcPr>
          <w:p w:rsidR="00C2509F" w:rsidRPr="00A02BFB" w:rsidRDefault="004E14C0" w:rsidP="0028001D">
            <w:pPr>
              <w:spacing w:before="40" w:after="120"/>
              <w:ind w:right="113"/>
            </w:pPr>
            <w:r>
              <w:t>2018</w:t>
            </w:r>
          </w:p>
        </w:tc>
        <w:tc>
          <w:tcPr>
            <w:tcW w:w="1927" w:type="dxa"/>
            <w:shd w:val="clear" w:color="auto" w:fill="auto"/>
          </w:tcPr>
          <w:p w:rsidR="00C2509F" w:rsidRPr="00A02BFB" w:rsidRDefault="004E14C0" w:rsidP="0028001D">
            <w:pPr>
              <w:spacing w:before="40" w:after="120"/>
              <w:ind w:right="113"/>
            </w:pPr>
            <w:r>
              <w:t>--</w:t>
            </w:r>
          </w:p>
        </w:tc>
        <w:tc>
          <w:tcPr>
            <w:tcW w:w="1927" w:type="dxa"/>
            <w:shd w:val="clear" w:color="auto" w:fill="auto"/>
          </w:tcPr>
          <w:p w:rsidR="007A09CD" w:rsidRPr="00A02BFB" w:rsidRDefault="004E14C0" w:rsidP="0028001D">
            <w:pPr>
              <w:spacing w:before="40" w:after="120"/>
              <w:ind w:right="113"/>
            </w:pPr>
            <w:r w:rsidRPr="004E14C0">
              <w:t>Third report pending consideration</w:t>
            </w:r>
          </w:p>
        </w:tc>
      </w:tr>
      <w:tr w:rsidR="00CF6980" w:rsidRPr="00A02BFB" w:rsidTr="00151C6A">
        <w:tc>
          <w:tcPr>
            <w:tcW w:w="1928" w:type="dxa"/>
            <w:shd w:val="clear" w:color="auto" w:fill="auto"/>
          </w:tcPr>
          <w:p w:rsidR="00CF6980" w:rsidRDefault="00CF6980" w:rsidP="0060015D">
            <w:pPr>
              <w:spacing w:before="40" w:after="120"/>
              <w:ind w:right="113"/>
            </w:pPr>
            <w:r>
              <w:t>CRPD</w:t>
            </w:r>
          </w:p>
        </w:tc>
        <w:tc>
          <w:tcPr>
            <w:tcW w:w="1928" w:type="dxa"/>
            <w:shd w:val="clear" w:color="auto" w:fill="auto"/>
          </w:tcPr>
          <w:p w:rsidR="00CF6980" w:rsidRDefault="004E14C0" w:rsidP="0028001D">
            <w:pPr>
              <w:spacing w:before="40" w:after="120"/>
              <w:ind w:right="113"/>
            </w:pPr>
            <w:r>
              <w:t>--</w:t>
            </w:r>
          </w:p>
        </w:tc>
        <w:tc>
          <w:tcPr>
            <w:tcW w:w="1927" w:type="dxa"/>
            <w:shd w:val="clear" w:color="auto" w:fill="auto"/>
          </w:tcPr>
          <w:p w:rsidR="00CF6980" w:rsidRDefault="004E14C0" w:rsidP="0028001D">
            <w:pPr>
              <w:spacing w:before="40" w:after="120"/>
              <w:ind w:right="113"/>
            </w:pPr>
            <w:r>
              <w:t>2013</w:t>
            </w:r>
          </w:p>
        </w:tc>
        <w:tc>
          <w:tcPr>
            <w:tcW w:w="1927" w:type="dxa"/>
            <w:shd w:val="clear" w:color="auto" w:fill="auto"/>
          </w:tcPr>
          <w:p w:rsidR="00CF6980" w:rsidRDefault="004E14C0" w:rsidP="0028001D">
            <w:pPr>
              <w:spacing w:before="40" w:after="120"/>
              <w:ind w:right="113"/>
            </w:pPr>
            <w:r>
              <w:t>August 2016</w:t>
            </w:r>
          </w:p>
        </w:tc>
        <w:tc>
          <w:tcPr>
            <w:tcW w:w="1927" w:type="dxa"/>
            <w:shd w:val="clear" w:color="auto" w:fill="auto"/>
          </w:tcPr>
          <w:p w:rsidR="00CF6980" w:rsidRPr="00CF6980" w:rsidRDefault="004E14C0" w:rsidP="0028001D">
            <w:pPr>
              <w:spacing w:before="40" w:after="120"/>
              <w:ind w:right="113"/>
            </w:pPr>
            <w:r w:rsidRPr="004E14C0">
              <w:rPr>
                <w:bCs/>
              </w:rPr>
              <w:t>Second to fourth reports due in 2023</w:t>
            </w:r>
          </w:p>
        </w:tc>
      </w:tr>
      <w:tr w:rsidR="004E14C0" w:rsidRPr="00A02BFB" w:rsidTr="00151C6A">
        <w:tc>
          <w:tcPr>
            <w:tcW w:w="1928" w:type="dxa"/>
            <w:shd w:val="clear" w:color="auto" w:fill="auto"/>
          </w:tcPr>
          <w:p w:rsidR="004E14C0" w:rsidRDefault="004E14C0" w:rsidP="0060015D">
            <w:pPr>
              <w:spacing w:before="40" w:after="120"/>
              <w:ind w:right="113"/>
            </w:pPr>
            <w:r>
              <w:t>CED</w:t>
            </w:r>
          </w:p>
        </w:tc>
        <w:tc>
          <w:tcPr>
            <w:tcW w:w="1928" w:type="dxa"/>
            <w:shd w:val="clear" w:color="auto" w:fill="auto"/>
          </w:tcPr>
          <w:p w:rsidR="004E14C0" w:rsidRDefault="004E14C0" w:rsidP="0028001D">
            <w:pPr>
              <w:spacing w:before="40" w:after="120"/>
              <w:ind w:right="113"/>
            </w:pPr>
            <w:r>
              <w:t>--</w:t>
            </w:r>
          </w:p>
        </w:tc>
        <w:tc>
          <w:tcPr>
            <w:tcW w:w="1927" w:type="dxa"/>
            <w:shd w:val="clear" w:color="auto" w:fill="auto"/>
          </w:tcPr>
          <w:p w:rsidR="004E14C0" w:rsidRDefault="004E14C0" w:rsidP="0028001D">
            <w:pPr>
              <w:spacing w:before="40" w:after="120"/>
              <w:ind w:right="113"/>
            </w:pPr>
            <w:r>
              <w:t>2018</w:t>
            </w:r>
          </w:p>
        </w:tc>
        <w:tc>
          <w:tcPr>
            <w:tcW w:w="1927" w:type="dxa"/>
            <w:shd w:val="clear" w:color="auto" w:fill="auto"/>
          </w:tcPr>
          <w:p w:rsidR="004E14C0" w:rsidRDefault="004E14C0" w:rsidP="0028001D">
            <w:pPr>
              <w:spacing w:before="40" w:after="120"/>
              <w:ind w:right="113"/>
            </w:pPr>
            <w:r>
              <w:t>--</w:t>
            </w:r>
          </w:p>
        </w:tc>
        <w:tc>
          <w:tcPr>
            <w:tcW w:w="1927" w:type="dxa"/>
            <w:shd w:val="clear" w:color="auto" w:fill="auto"/>
          </w:tcPr>
          <w:p w:rsidR="004E14C0" w:rsidRPr="004E14C0" w:rsidRDefault="004E14C0" w:rsidP="0028001D">
            <w:pPr>
              <w:spacing w:before="40" w:after="120"/>
              <w:ind w:right="113"/>
              <w:rPr>
                <w:bCs/>
              </w:rPr>
            </w:pPr>
            <w:r w:rsidRPr="004E14C0">
              <w:rPr>
                <w:bCs/>
              </w:rPr>
              <w:t>Initial report pending consideration in October 2019</w:t>
            </w:r>
          </w:p>
        </w:tc>
      </w:tr>
      <w:tr w:rsidR="007D2157" w:rsidRPr="007A09CD" w:rsidTr="007D2157">
        <w:tc>
          <w:tcPr>
            <w:tcW w:w="1925"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7D2157">
        <w:trPr>
          <w:trHeight w:hRule="exact" w:val="113"/>
        </w:trPr>
        <w:tc>
          <w:tcPr>
            <w:tcW w:w="1925"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955A19" w:rsidP="007D2157">
            <w:pPr>
              <w:spacing w:before="40" w:after="120"/>
              <w:ind w:right="113"/>
            </w:pPr>
            <w:r>
              <w:t>HR Committee</w:t>
            </w:r>
          </w:p>
        </w:tc>
        <w:tc>
          <w:tcPr>
            <w:tcW w:w="2410" w:type="dxa"/>
            <w:shd w:val="clear" w:color="auto" w:fill="auto"/>
          </w:tcPr>
          <w:p w:rsidR="00B22B96" w:rsidRPr="00B22B96" w:rsidRDefault="00955A19" w:rsidP="007D2157">
            <w:pPr>
              <w:spacing w:before="40" w:after="120"/>
              <w:ind w:right="113"/>
            </w:pPr>
            <w:r>
              <w:t>2014</w:t>
            </w:r>
          </w:p>
        </w:tc>
        <w:tc>
          <w:tcPr>
            <w:tcW w:w="2410" w:type="dxa"/>
            <w:shd w:val="clear" w:color="auto" w:fill="auto"/>
          </w:tcPr>
          <w:p w:rsidR="00B22B96" w:rsidRPr="00B22B96" w:rsidRDefault="00955A19" w:rsidP="007D2157">
            <w:pPr>
              <w:spacing w:before="40" w:after="120"/>
              <w:ind w:right="113"/>
            </w:pPr>
            <w:r w:rsidRPr="00955A19">
              <w:t>Investigation of human rights violations; military justice and human rights violations, particularly torture; and investigation of racial violence in 2008.</w:t>
            </w:r>
            <w:r w:rsidRPr="00955A19">
              <w:rPr>
                <w:vertAlign w:val="superscript"/>
              </w:rPr>
              <w:endnoteReference w:id="12"/>
            </w:r>
          </w:p>
        </w:tc>
        <w:tc>
          <w:tcPr>
            <w:tcW w:w="2410" w:type="dxa"/>
            <w:shd w:val="clear" w:color="auto" w:fill="auto"/>
          </w:tcPr>
          <w:p w:rsidR="00B22B96" w:rsidRPr="00B22B96" w:rsidRDefault="00955A19" w:rsidP="007D2157">
            <w:pPr>
              <w:spacing w:before="40" w:after="120"/>
              <w:ind w:right="113"/>
            </w:pPr>
            <w:r w:rsidRPr="00955A19">
              <w:t>2015</w:t>
            </w:r>
            <w:r w:rsidRPr="00955A19">
              <w:rPr>
                <w:vertAlign w:val="superscript"/>
              </w:rPr>
              <w:endnoteReference w:id="13"/>
            </w:r>
            <w:r w:rsidRPr="00955A19">
              <w:t xml:space="preserve"> and 2018</w:t>
            </w:r>
            <w:r w:rsidRPr="00955A19">
              <w:rPr>
                <w:vertAlign w:val="superscript"/>
              </w:rPr>
              <w:endnoteReference w:id="14"/>
            </w:r>
          </w:p>
        </w:tc>
      </w:tr>
      <w:tr w:rsidR="00396B52" w:rsidRPr="00B22B96" w:rsidTr="00292DEC">
        <w:tc>
          <w:tcPr>
            <w:tcW w:w="2407" w:type="dxa"/>
            <w:shd w:val="clear" w:color="auto" w:fill="auto"/>
          </w:tcPr>
          <w:p w:rsidR="00396B52" w:rsidRPr="00B22B96" w:rsidRDefault="00955A19" w:rsidP="007D2157">
            <w:pPr>
              <w:spacing w:before="40" w:after="120"/>
              <w:ind w:right="113"/>
            </w:pPr>
            <w:r>
              <w:t>CEDAW</w:t>
            </w:r>
          </w:p>
        </w:tc>
        <w:tc>
          <w:tcPr>
            <w:tcW w:w="2410" w:type="dxa"/>
            <w:shd w:val="clear" w:color="auto" w:fill="auto"/>
          </w:tcPr>
          <w:p w:rsidR="00396B52" w:rsidRPr="00B22B96" w:rsidRDefault="00955A19" w:rsidP="007D2157">
            <w:pPr>
              <w:spacing w:before="40" w:after="120"/>
              <w:ind w:right="113"/>
            </w:pPr>
            <w:r>
              <w:t>2017</w:t>
            </w:r>
          </w:p>
        </w:tc>
        <w:tc>
          <w:tcPr>
            <w:tcW w:w="2410" w:type="dxa"/>
            <w:shd w:val="clear" w:color="auto" w:fill="auto"/>
          </w:tcPr>
          <w:p w:rsidR="00396B52" w:rsidRPr="00B22B96" w:rsidRDefault="00D4447B" w:rsidP="007D2157">
            <w:pPr>
              <w:spacing w:before="40" w:after="120"/>
              <w:ind w:right="113"/>
            </w:pPr>
            <w:r w:rsidRPr="00D4447B">
              <w:rPr>
                <w:bCs/>
              </w:rPr>
              <w:t>Develop a strategy on violence against women; strengthen the “Genoveva Ríos” special police force against violence; introduce age-appropriate school education on sexual and reproductive health and rights, and ensure affordable access to services and information on sexual and reproductive rights; and decriminalize abortion.</w:t>
            </w:r>
            <w:r w:rsidRPr="00D4447B">
              <w:rPr>
                <w:bCs/>
                <w:vertAlign w:val="superscript"/>
              </w:rPr>
              <w:endnoteReference w:id="15"/>
            </w:r>
          </w:p>
        </w:tc>
        <w:tc>
          <w:tcPr>
            <w:tcW w:w="2410" w:type="dxa"/>
            <w:shd w:val="clear" w:color="auto" w:fill="auto"/>
          </w:tcPr>
          <w:p w:rsidR="00396B52" w:rsidRPr="00B22B96" w:rsidRDefault="00D4447B" w:rsidP="007D2157">
            <w:pPr>
              <w:spacing w:before="40" w:after="120"/>
              <w:ind w:right="113"/>
            </w:pPr>
            <w:r w:rsidRPr="00D4447B">
              <w:t>2017.</w:t>
            </w:r>
            <w:r w:rsidRPr="00D4447B">
              <w:rPr>
                <w:vertAlign w:val="superscript"/>
              </w:rPr>
              <w:endnoteReference w:id="16"/>
            </w:r>
            <w:r w:rsidRPr="00D4447B">
              <w:t xml:space="preserve"> Further information requested.</w:t>
            </w:r>
            <w:r w:rsidRPr="00D4447B">
              <w:rPr>
                <w:vertAlign w:val="superscript"/>
              </w:rPr>
              <w:endnoteReference w:id="17"/>
            </w:r>
          </w:p>
        </w:tc>
      </w:tr>
      <w:tr w:rsidR="00396B52" w:rsidRPr="00B22B96" w:rsidTr="00292DEC">
        <w:tc>
          <w:tcPr>
            <w:tcW w:w="2407" w:type="dxa"/>
            <w:shd w:val="clear" w:color="auto" w:fill="auto"/>
          </w:tcPr>
          <w:p w:rsidR="00396B52" w:rsidRPr="00B22B96" w:rsidRDefault="00D4447B" w:rsidP="007D2157">
            <w:pPr>
              <w:spacing w:before="40" w:after="120"/>
              <w:ind w:right="113"/>
            </w:pPr>
            <w:r>
              <w:t>CAT</w:t>
            </w:r>
          </w:p>
        </w:tc>
        <w:tc>
          <w:tcPr>
            <w:tcW w:w="2410" w:type="dxa"/>
            <w:shd w:val="clear" w:color="auto" w:fill="auto"/>
          </w:tcPr>
          <w:p w:rsidR="00396B52" w:rsidRPr="00B22B96" w:rsidRDefault="00D4447B" w:rsidP="007D2157">
            <w:pPr>
              <w:spacing w:before="40" w:after="120"/>
              <w:ind w:right="113"/>
            </w:pPr>
            <w:r>
              <w:t>2014</w:t>
            </w:r>
          </w:p>
        </w:tc>
        <w:tc>
          <w:tcPr>
            <w:tcW w:w="2410" w:type="dxa"/>
            <w:shd w:val="clear" w:color="auto" w:fill="auto"/>
          </w:tcPr>
          <w:p w:rsidR="00396B52" w:rsidRPr="00B22B96" w:rsidRDefault="00D4447B" w:rsidP="007D2157">
            <w:pPr>
              <w:spacing w:before="40" w:after="120"/>
              <w:ind w:right="113"/>
            </w:pPr>
            <w:r w:rsidRPr="00D4447B">
              <w:t>Fundamental legal safeguards for persons in custody; impartial investigations and prosecution of torture; and sexual abuse of children in educational institutions.</w:t>
            </w:r>
            <w:r w:rsidRPr="00D4447B">
              <w:rPr>
                <w:vertAlign w:val="superscript"/>
              </w:rPr>
              <w:endnoteReference w:id="18"/>
            </w:r>
          </w:p>
        </w:tc>
        <w:tc>
          <w:tcPr>
            <w:tcW w:w="2410" w:type="dxa"/>
            <w:shd w:val="clear" w:color="auto" w:fill="auto"/>
          </w:tcPr>
          <w:p w:rsidR="00396B52" w:rsidRPr="00B22B96" w:rsidRDefault="00D4447B" w:rsidP="007D2157">
            <w:pPr>
              <w:spacing w:before="40" w:after="120"/>
              <w:ind w:right="113"/>
            </w:pPr>
            <w:r w:rsidRPr="00D4447B">
              <w:t>Reminder sent.</w:t>
            </w:r>
            <w:r w:rsidRPr="00D4447B">
              <w:rPr>
                <w:vertAlign w:val="superscript"/>
              </w:rPr>
              <w:endnoteReference w:id="19"/>
            </w:r>
          </w:p>
        </w:tc>
      </w:tr>
      <w:tr w:rsidR="00292DEC" w:rsidRPr="00B22B96" w:rsidTr="007D2157">
        <w:tc>
          <w:tcPr>
            <w:tcW w:w="2407" w:type="dxa"/>
            <w:tcBorders>
              <w:bottom w:val="single" w:sz="12" w:space="0" w:color="auto"/>
            </w:tcBorders>
            <w:shd w:val="clear" w:color="auto" w:fill="auto"/>
          </w:tcPr>
          <w:p w:rsidR="00292DEC" w:rsidRPr="00B22B96" w:rsidRDefault="00D4447B" w:rsidP="007D2157">
            <w:pPr>
              <w:spacing w:before="40" w:after="120"/>
              <w:ind w:right="113"/>
            </w:pPr>
            <w:r>
              <w:t>CRPD</w:t>
            </w:r>
          </w:p>
        </w:tc>
        <w:tc>
          <w:tcPr>
            <w:tcW w:w="2410" w:type="dxa"/>
            <w:tcBorders>
              <w:bottom w:val="single" w:sz="12" w:space="0" w:color="auto"/>
            </w:tcBorders>
            <w:shd w:val="clear" w:color="auto" w:fill="auto"/>
          </w:tcPr>
          <w:p w:rsidR="00292DEC" w:rsidRPr="00B22B96" w:rsidRDefault="00D4447B" w:rsidP="007D2157">
            <w:pPr>
              <w:spacing w:before="40" w:after="120"/>
              <w:ind w:right="113"/>
            </w:pPr>
            <w:r>
              <w:t>2017</w:t>
            </w:r>
          </w:p>
        </w:tc>
        <w:tc>
          <w:tcPr>
            <w:tcW w:w="2410" w:type="dxa"/>
            <w:tcBorders>
              <w:bottom w:val="single" w:sz="12" w:space="0" w:color="auto"/>
            </w:tcBorders>
            <w:shd w:val="clear" w:color="auto" w:fill="auto"/>
          </w:tcPr>
          <w:p w:rsidR="00292DEC" w:rsidRPr="00B22B96" w:rsidRDefault="00D4447B" w:rsidP="00827E16">
            <w:pPr>
              <w:spacing w:before="40" w:after="120"/>
              <w:ind w:right="113"/>
            </w:pPr>
            <w:r w:rsidRPr="00D4447B">
              <w:rPr>
                <w:bCs/>
              </w:rPr>
              <w:t>Deinstitutionalization of children with disabilities, and the right of all persons with disabilities to be registered.</w:t>
            </w:r>
            <w:r w:rsidR="00827E16">
              <w:rPr>
                <w:rStyle w:val="EndnoteReference"/>
                <w:bCs/>
              </w:rPr>
              <w:endnoteReference w:id="20"/>
            </w:r>
          </w:p>
        </w:tc>
        <w:tc>
          <w:tcPr>
            <w:tcW w:w="2410" w:type="dxa"/>
            <w:tcBorders>
              <w:bottom w:val="single" w:sz="12" w:space="0" w:color="auto"/>
            </w:tcBorders>
            <w:shd w:val="clear" w:color="auto" w:fill="auto"/>
          </w:tcPr>
          <w:p w:rsidR="00292DEC" w:rsidRPr="00B22B96" w:rsidRDefault="00D4447B" w:rsidP="007D2157">
            <w:pPr>
              <w:spacing w:before="40" w:after="120"/>
              <w:ind w:right="113"/>
            </w:pPr>
            <w:r>
              <w:t>--</w:t>
            </w:r>
          </w:p>
        </w:tc>
      </w:tr>
    </w:tbl>
    <w:bookmarkEnd w:id="3"/>
    <w:p w:rsidR="00D4447B" w:rsidRDefault="00D4447B" w:rsidP="00D4447B">
      <w:pPr>
        <w:pStyle w:val="H23G"/>
      </w:pPr>
      <w:r>
        <w:lastRenderedPageBreak/>
        <w:tab/>
      </w:r>
      <w:r>
        <w:tab/>
      </w:r>
      <w:r w:rsidRPr="00D4447B">
        <w:t>Views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D4447B" w:rsidRPr="00D4447B" w:rsidTr="00D4447B">
        <w:tc>
          <w:tcPr>
            <w:tcW w:w="2456" w:type="dxa"/>
            <w:tcBorders>
              <w:top w:val="single" w:sz="4" w:space="0" w:color="auto"/>
              <w:bottom w:val="single" w:sz="12" w:space="0" w:color="auto"/>
            </w:tcBorders>
            <w:shd w:val="clear" w:color="auto" w:fill="auto"/>
            <w:vAlign w:val="bottom"/>
          </w:tcPr>
          <w:p w:rsidR="00D4447B" w:rsidRPr="00D4447B" w:rsidRDefault="00D4447B" w:rsidP="00D4447B">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rsidR="00D4447B" w:rsidRPr="00D4447B" w:rsidRDefault="00D4447B" w:rsidP="00D4447B">
            <w:pPr>
              <w:spacing w:before="80" w:after="80" w:line="200" w:lineRule="exact"/>
              <w:ind w:right="113"/>
              <w:rPr>
                <w:i/>
                <w:sz w:val="16"/>
              </w:rPr>
            </w:pPr>
            <w:r>
              <w:rPr>
                <w:i/>
                <w:sz w:val="16"/>
              </w:rPr>
              <w:t>Number of views</w:t>
            </w:r>
          </w:p>
        </w:tc>
        <w:tc>
          <w:tcPr>
            <w:tcW w:w="2457" w:type="dxa"/>
            <w:tcBorders>
              <w:top w:val="single" w:sz="4" w:space="0" w:color="auto"/>
              <w:bottom w:val="single" w:sz="12" w:space="0" w:color="auto"/>
            </w:tcBorders>
            <w:shd w:val="clear" w:color="auto" w:fill="auto"/>
            <w:vAlign w:val="bottom"/>
          </w:tcPr>
          <w:p w:rsidR="00D4447B" w:rsidRPr="00D4447B" w:rsidRDefault="00D4447B" w:rsidP="00D4447B">
            <w:pPr>
              <w:spacing w:before="80" w:after="80" w:line="200" w:lineRule="exact"/>
              <w:ind w:right="113"/>
              <w:rPr>
                <w:i/>
                <w:sz w:val="16"/>
              </w:rPr>
            </w:pPr>
            <w:r>
              <w:rPr>
                <w:i/>
                <w:sz w:val="16"/>
              </w:rPr>
              <w:t>Status</w:t>
            </w:r>
          </w:p>
        </w:tc>
      </w:tr>
      <w:tr w:rsidR="00D4447B" w:rsidRPr="00D4447B" w:rsidTr="00D4447B">
        <w:trPr>
          <w:trHeight w:hRule="exact" w:val="113"/>
        </w:trPr>
        <w:tc>
          <w:tcPr>
            <w:tcW w:w="2456" w:type="dxa"/>
            <w:tcBorders>
              <w:top w:val="single" w:sz="12" w:space="0" w:color="auto"/>
            </w:tcBorders>
            <w:shd w:val="clear" w:color="auto" w:fill="auto"/>
            <w:vAlign w:val="bottom"/>
          </w:tcPr>
          <w:p w:rsidR="00D4447B" w:rsidRPr="00D4447B" w:rsidRDefault="00D4447B" w:rsidP="00D4447B">
            <w:pPr>
              <w:spacing w:before="80" w:after="80" w:line="200" w:lineRule="exact"/>
              <w:ind w:right="113"/>
              <w:rPr>
                <w:i/>
                <w:sz w:val="16"/>
              </w:rPr>
            </w:pPr>
          </w:p>
        </w:tc>
        <w:tc>
          <w:tcPr>
            <w:tcW w:w="2457" w:type="dxa"/>
            <w:tcBorders>
              <w:top w:val="single" w:sz="12" w:space="0" w:color="auto"/>
            </w:tcBorders>
            <w:shd w:val="clear" w:color="auto" w:fill="auto"/>
            <w:vAlign w:val="bottom"/>
          </w:tcPr>
          <w:p w:rsidR="00D4447B" w:rsidRPr="00D4447B" w:rsidRDefault="00D4447B" w:rsidP="00D4447B">
            <w:pPr>
              <w:spacing w:before="80" w:after="80" w:line="200" w:lineRule="exact"/>
              <w:ind w:right="113"/>
              <w:rPr>
                <w:i/>
                <w:sz w:val="16"/>
              </w:rPr>
            </w:pPr>
          </w:p>
        </w:tc>
        <w:tc>
          <w:tcPr>
            <w:tcW w:w="2457" w:type="dxa"/>
            <w:tcBorders>
              <w:top w:val="single" w:sz="12" w:space="0" w:color="auto"/>
            </w:tcBorders>
            <w:shd w:val="clear" w:color="auto" w:fill="auto"/>
            <w:vAlign w:val="bottom"/>
          </w:tcPr>
          <w:p w:rsidR="00D4447B" w:rsidRPr="00D4447B" w:rsidRDefault="00D4447B" w:rsidP="00D4447B">
            <w:pPr>
              <w:spacing w:before="80" w:after="80" w:line="200" w:lineRule="exact"/>
              <w:ind w:right="113"/>
              <w:rPr>
                <w:i/>
                <w:sz w:val="16"/>
              </w:rPr>
            </w:pPr>
          </w:p>
        </w:tc>
      </w:tr>
      <w:tr w:rsidR="00D4447B" w:rsidRPr="00D4447B" w:rsidTr="00D4447B">
        <w:tc>
          <w:tcPr>
            <w:tcW w:w="2456" w:type="dxa"/>
            <w:tcBorders>
              <w:bottom w:val="single" w:sz="12" w:space="0" w:color="auto"/>
            </w:tcBorders>
            <w:shd w:val="clear" w:color="auto" w:fill="auto"/>
          </w:tcPr>
          <w:p w:rsidR="00D4447B" w:rsidRPr="00D4447B" w:rsidRDefault="00D4447B" w:rsidP="00D4447B">
            <w:pPr>
              <w:spacing w:before="40" w:after="120"/>
              <w:ind w:right="113"/>
            </w:pPr>
            <w:r>
              <w:t>HR Committee</w:t>
            </w:r>
          </w:p>
        </w:tc>
        <w:tc>
          <w:tcPr>
            <w:tcW w:w="2457" w:type="dxa"/>
            <w:tcBorders>
              <w:bottom w:val="single" w:sz="12" w:space="0" w:color="auto"/>
            </w:tcBorders>
            <w:shd w:val="clear" w:color="auto" w:fill="auto"/>
          </w:tcPr>
          <w:p w:rsidR="00D4447B" w:rsidRPr="00D4447B" w:rsidRDefault="00D4447B" w:rsidP="00D4447B">
            <w:pPr>
              <w:spacing w:before="40" w:after="120"/>
              <w:ind w:right="113"/>
            </w:pPr>
            <w:r w:rsidRPr="00D4447B">
              <w:t>2</w:t>
            </w:r>
            <w:r w:rsidRPr="00D4447B">
              <w:rPr>
                <w:rStyle w:val="EndnoteReference"/>
              </w:rPr>
              <w:endnoteReference w:id="21"/>
            </w:r>
          </w:p>
        </w:tc>
        <w:tc>
          <w:tcPr>
            <w:tcW w:w="2457" w:type="dxa"/>
            <w:tcBorders>
              <w:bottom w:val="single" w:sz="12" w:space="0" w:color="auto"/>
            </w:tcBorders>
            <w:shd w:val="clear" w:color="auto" w:fill="auto"/>
          </w:tcPr>
          <w:p w:rsidR="00D4447B" w:rsidRPr="00D4447B" w:rsidRDefault="00D4447B" w:rsidP="00D4447B">
            <w:pPr>
              <w:spacing w:before="40" w:after="120"/>
              <w:ind w:right="113"/>
            </w:pPr>
            <w:r>
              <w:t>Information requested</w:t>
            </w:r>
            <w:r w:rsidRPr="00D4447B">
              <w:rPr>
                <w:rStyle w:val="EndnoteReference"/>
              </w:rPr>
              <w:endnoteReference w:id="22"/>
            </w:r>
          </w:p>
        </w:tc>
      </w:tr>
    </w:tbl>
    <w:p w:rsidR="00292DEC" w:rsidRPr="00D4447B" w:rsidRDefault="00292DEC" w:rsidP="00D4447B">
      <w:pPr>
        <w:pStyle w:val="H23G"/>
      </w:pPr>
      <w:r w:rsidRPr="00D4447B">
        <w:tab/>
      </w:r>
      <w:r w:rsidR="00D4447B">
        <w:tab/>
      </w:r>
      <w:r w:rsidRPr="00D4447B">
        <w:t>Country visits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2"/>
        <w:gridCol w:w="2494"/>
        <w:gridCol w:w="4651"/>
      </w:tblGrid>
      <w:tr w:rsidR="00292DEC" w:rsidRPr="00D4447B" w:rsidTr="00D4447B">
        <w:tc>
          <w:tcPr>
            <w:tcW w:w="2199" w:type="dxa"/>
            <w:tcBorders>
              <w:top w:val="single" w:sz="4" w:space="0" w:color="auto"/>
              <w:bottom w:val="single" w:sz="12" w:space="0" w:color="auto"/>
            </w:tcBorders>
            <w:shd w:val="clear" w:color="auto" w:fill="auto"/>
            <w:vAlign w:val="bottom"/>
          </w:tcPr>
          <w:p w:rsidR="00292DEC" w:rsidRPr="00D4447B" w:rsidRDefault="00292DEC" w:rsidP="00D4447B">
            <w:pPr>
              <w:spacing w:before="40" w:after="120"/>
              <w:ind w:right="113"/>
              <w:rPr>
                <w:i/>
                <w:sz w:val="16"/>
              </w:rPr>
            </w:pPr>
            <w:r w:rsidRPr="00D4447B">
              <w:rPr>
                <w:i/>
                <w:sz w:val="16"/>
              </w:rPr>
              <w:t>Treaty body</w:t>
            </w:r>
          </w:p>
        </w:tc>
        <w:tc>
          <w:tcPr>
            <w:tcW w:w="2201" w:type="dxa"/>
            <w:tcBorders>
              <w:top w:val="single" w:sz="4" w:space="0" w:color="auto"/>
              <w:bottom w:val="single" w:sz="12" w:space="0" w:color="auto"/>
            </w:tcBorders>
            <w:shd w:val="clear" w:color="auto" w:fill="auto"/>
            <w:vAlign w:val="bottom"/>
          </w:tcPr>
          <w:p w:rsidR="00292DEC" w:rsidRPr="00D4447B" w:rsidRDefault="00292DEC" w:rsidP="00D4447B">
            <w:pPr>
              <w:spacing w:before="40" w:after="120"/>
              <w:ind w:right="113"/>
              <w:rPr>
                <w:i/>
                <w:sz w:val="16"/>
              </w:rPr>
            </w:pPr>
            <w:r w:rsidRPr="00D4447B">
              <w:rPr>
                <w:i/>
                <w:sz w:val="16"/>
              </w:rPr>
              <w:t>Date</w:t>
            </w:r>
          </w:p>
        </w:tc>
        <w:tc>
          <w:tcPr>
            <w:tcW w:w="4104" w:type="dxa"/>
            <w:tcBorders>
              <w:top w:val="single" w:sz="4" w:space="0" w:color="auto"/>
              <w:bottom w:val="single" w:sz="12" w:space="0" w:color="auto"/>
            </w:tcBorders>
            <w:shd w:val="clear" w:color="auto" w:fill="auto"/>
            <w:vAlign w:val="bottom"/>
          </w:tcPr>
          <w:p w:rsidR="00292DEC" w:rsidRPr="00D4447B" w:rsidRDefault="00292DEC" w:rsidP="00D4447B">
            <w:pPr>
              <w:spacing w:before="40" w:after="120"/>
              <w:ind w:right="113"/>
              <w:rPr>
                <w:i/>
                <w:sz w:val="16"/>
              </w:rPr>
            </w:pPr>
            <w:r w:rsidRPr="00D4447B">
              <w:rPr>
                <w:i/>
                <w:sz w:val="16"/>
              </w:rPr>
              <w:t>Subject matter</w:t>
            </w:r>
          </w:p>
        </w:tc>
      </w:tr>
      <w:tr w:rsidR="00292DEC" w:rsidRPr="00292DEC" w:rsidTr="00D4447B">
        <w:trPr>
          <w:trHeight w:hRule="exact" w:val="113"/>
        </w:trPr>
        <w:tc>
          <w:tcPr>
            <w:tcW w:w="2199"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c>
          <w:tcPr>
            <w:tcW w:w="2201"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c>
          <w:tcPr>
            <w:tcW w:w="4104"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r>
      <w:tr w:rsidR="00292DEC" w:rsidRPr="00292DEC" w:rsidTr="00D4447B">
        <w:tc>
          <w:tcPr>
            <w:tcW w:w="2199" w:type="dxa"/>
            <w:tcBorders>
              <w:bottom w:val="single" w:sz="12" w:space="0" w:color="auto"/>
            </w:tcBorders>
            <w:shd w:val="clear" w:color="auto" w:fill="auto"/>
          </w:tcPr>
          <w:p w:rsidR="00292DEC" w:rsidRPr="00292DEC" w:rsidRDefault="00D4447B" w:rsidP="00292DEC">
            <w:pPr>
              <w:spacing w:before="40" w:after="120"/>
              <w:ind w:right="113"/>
            </w:pPr>
            <w:r>
              <w:t>SPT</w:t>
            </w:r>
          </w:p>
        </w:tc>
        <w:tc>
          <w:tcPr>
            <w:tcW w:w="2201" w:type="dxa"/>
            <w:tcBorders>
              <w:bottom w:val="single" w:sz="12" w:space="0" w:color="auto"/>
            </w:tcBorders>
            <w:shd w:val="clear" w:color="auto" w:fill="auto"/>
          </w:tcPr>
          <w:p w:rsidR="00292DEC" w:rsidRPr="00292DEC" w:rsidRDefault="00D4447B" w:rsidP="00292DEC">
            <w:pPr>
              <w:spacing w:before="40" w:after="120"/>
              <w:ind w:right="113"/>
            </w:pPr>
            <w:r w:rsidRPr="00D4447B">
              <w:t>2017</w:t>
            </w:r>
            <w:r w:rsidRPr="00D4447B">
              <w:rPr>
                <w:rStyle w:val="EndnoteReference"/>
              </w:rPr>
              <w:endnoteReference w:id="23"/>
            </w:r>
          </w:p>
        </w:tc>
        <w:tc>
          <w:tcPr>
            <w:tcW w:w="4104" w:type="dxa"/>
            <w:tcBorders>
              <w:bottom w:val="single" w:sz="12" w:space="0" w:color="auto"/>
            </w:tcBorders>
            <w:shd w:val="clear" w:color="auto" w:fill="auto"/>
          </w:tcPr>
          <w:p w:rsidR="00292DEC" w:rsidRPr="00292DEC" w:rsidRDefault="00D4447B" w:rsidP="00D4447B">
            <w:pPr>
              <w:spacing w:before="40" w:after="120"/>
              <w:ind w:right="992"/>
            </w:pPr>
            <w:r w:rsidRPr="00D4447B">
              <w:t>Recommendations concerning the prevention of torture and ill-treatment of pe</w:t>
            </w:r>
            <w:r>
              <w:t>rsons deprived of their liberty</w:t>
            </w:r>
            <w:r w:rsidRPr="00D4447B">
              <w:rPr>
                <w:rStyle w:val="EndnoteReference"/>
              </w:rPr>
              <w:endnoteReference w:id="24"/>
            </w:r>
          </w:p>
        </w:tc>
      </w:tr>
    </w:tbl>
    <w:p w:rsidR="00A02BFB" w:rsidRPr="00292DEC" w:rsidRDefault="00A02BFB" w:rsidP="00292DEC">
      <w:pPr>
        <w:pStyle w:val="H1G"/>
      </w:pPr>
      <w:r w:rsidRPr="00292DEC">
        <w:tab/>
        <w:t>B.</w:t>
      </w:r>
      <w:r w:rsidRPr="00292DEC">
        <w:tab/>
      </w:r>
      <w:r w:rsidR="00677AF1" w:rsidRPr="00292DEC">
        <w:t>Cooperation with special procedures</w:t>
      </w:r>
      <w:r w:rsidR="00D4447B" w:rsidRPr="00D4447B">
        <w:rPr>
          <w:rStyle w:val="EndnoteReference"/>
          <w:b w:val="0"/>
        </w:rPr>
        <w:endnoteReference w:id="25"/>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D4447B" w:rsidRDefault="009E78E3" w:rsidP="00292DEC">
            <w:pPr>
              <w:spacing w:before="40" w:after="120"/>
              <w:ind w:right="113"/>
              <w:rPr>
                <w:i/>
                <w:sz w:val="16"/>
              </w:rPr>
            </w:pPr>
            <w:r w:rsidRPr="00D4447B">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D4447B" w:rsidRDefault="009E78E3" w:rsidP="00D4447B">
            <w:pPr>
              <w:spacing w:before="40" w:after="120"/>
              <w:ind w:right="1275"/>
              <w:rPr>
                <w:i/>
                <w:sz w:val="16"/>
              </w:rPr>
            </w:pPr>
            <w:r w:rsidRPr="00D4447B">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D4447B" w:rsidP="0028001D">
            <w:pPr>
              <w:spacing w:before="40" w:after="120"/>
              <w:ind w:right="113"/>
            </w:pPr>
            <w:r>
              <w:t>Yes</w:t>
            </w:r>
          </w:p>
        </w:tc>
        <w:tc>
          <w:tcPr>
            <w:tcW w:w="3400" w:type="dxa"/>
            <w:shd w:val="clear" w:color="auto" w:fill="auto"/>
          </w:tcPr>
          <w:p w:rsidR="003E33AE" w:rsidRPr="00F9635C" w:rsidRDefault="00D4447B"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Pr="009E78E3" w:rsidRDefault="00D4447B" w:rsidP="0028001D">
            <w:pPr>
              <w:spacing w:before="40" w:after="120"/>
              <w:ind w:right="113"/>
            </w:pPr>
            <w:r>
              <w:t>Racism</w:t>
            </w:r>
          </w:p>
        </w:tc>
        <w:tc>
          <w:tcPr>
            <w:tcW w:w="3400" w:type="dxa"/>
            <w:shd w:val="clear" w:color="auto" w:fill="auto"/>
          </w:tcPr>
          <w:p w:rsidR="00A850C2" w:rsidRPr="009E78E3" w:rsidRDefault="00D4447B" w:rsidP="00730838">
            <w:pPr>
              <w:spacing w:before="40" w:after="120"/>
              <w:ind w:right="113"/>
            </w:pPr>
            <w:r>
              <w:t>Foreign debt</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471995" w:rsidRPr="00A31ADE" w:rsidRDefault="00D4447B" w:rsidP="00953956">
            <w:pPr>
              <w:ind w:right="113"/>
            </w:pPr>
            <w:r>
              <w:t>Torture</w:t>
            </w:r>
          </w:p>
        </w:tc>
        <w:tc>
          <w:tcPr>
            <w:tcW w:w="3400" w:type="dxa"/>
            <w:shd w:val="clear" w:color="auto" w:fill="auto"/>
          </w:tcPr>
          <w:p w:rsidR="00953956" w:rsidRPr="00A31ADE" w:rsidRDefault="00D4447B" w:rsidP="00953956">
            <w:pPr>
              <w:rPr>
                <w:rFonts w:eastAsia="Calibri"/>
                <w:lang w:eastAsia="en-GB"/>
              </w:rPr>
            </w:pPr>
            <w:r>
              <w:rPr>
                <w:rFonts w:eastAsia="Calibri"/>
                <w:lang w:eastAsia="en-GB"/>
              </w:rPr>
              <w:t>--</w:t>
            </w: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D4447B" w:rsidRPr="00D4447B" w:rsidRDefault="00D4447B" w:rsidP="00547770">
            <w:pPr>
              <w:spacing w:before="240"/>
              <w:ind w:right="113"/>
            </w:pPr>
            <w:r w:rsidRPr="00D4447B">
              <w:t>Mercenaries</w:t>
            </w:r>
          </w:p>
          <w:p w:rsidR="00D4447B" w:rsidRPr="00D4447B" w:rsidRDefault="00D4447B" w:rsidP="00547770">
            <w:pPr>
              <w:ind w:right="113"/>
            </w:pPr>
            <w:r w:rsidRPr="00D4447B">
              <w:t>Foreign debt</w:t>
            </w:r>
          </w:p>
          <w:p w:rsidR="00D4447B" w:rsidRPr="00D4447B" w:rsidRDefault="00D4447B" w:rsidP="00547770">
            <w:pPr>
              <w:ind w:right="113"/>
            </w:pPr>
            <w:r w:rsidRPr="00D4447B">
              <w:t>Violence against women</w:t>
            </w:r>
          </w:p>
          <w:p w:rsidR="00953956" w:rsidRPr="00BE3252" w:rsidRDefault="00D4447B" w:rsidP="00547770">
            <w:pPr>
              <w:ind w:right="113"/>
            </w:pPr>
            <w:r w:rsidRPr="00D4447B">
              <w:t>Business and human rights</w:t>
            </w:r>
          </w:p>
        </w:tc>
        <w:tc>
          <w:tcPr>
            <w:tcW w:w="3400" w:type="dxa"/>
            <w:shd w:val="clear" w:color="auto" w:fill="auto"/>
          </w:tcPr>
          <w:p w:rsidR="00953956" w:rsidRDefault="00547770" w:rsidP="00547770">
            <w:pPr>
              <w:spacing w:before="240"/>
              <w:ind w:right="113"/>
            </w:pPr>
            <w:r>
              <w:t>Business and human rights</w:t>
            </w:r>
          </w:p>
          <w:p w:rsidR="00547770" w:rsidRDefault="00547770" w:rsidP="00547770">
            <w:pPr>
              <w:ind w:right="113"/>
            </w:pPr>
            <w:r>
              <w:t>Indigenous peoples</w:t>
            </w:r>
          </w:p>
          <w:p w:rsidR="00547770" w:rsidRDefault="00547770" w:rsidP="00547770">
            <w:pPr>
              <w:ind w:right="113"/>
            </w:pPr>
            <w:r>
              <w:t>Water and sanitation</w:t>
            </w:r>
          </w:p>
          <w:p w:rsidR="00547770" w:rsidRDefault="00547770" w:rsidP="00547770">
            <w:pPr>
              <w:ind w:right="113"/>
            </w:pPr>
            <w:r>
              <w:t>Slavery</w:t>
            </w:r>
          </w:p>
          <w:p w:rsidR="00547770" w:rsidRPr="00BE3252" w:rsidRDefault="00547770" w:rsidP="00547770">
            <w:pPr>
              <w:ind w:right="113"/>
            </w:pPr>
            <w:r>
              <w:t>Freedom of Assembly</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953956">
            <w:pPr>
              <w:spacing w:before="40" w:after="120"/>
              <w:ind w:right="113"/>
            </w:pPr>
            <w:r>
              <w:t xml:space="preserve">During the period under review </w:t>
            </w:r>
            <w:r w:rsidR="00EF6B11">
              <w:t>5</w:t>
            </w:r>
            <w:r w:rsidR="009D3FA1">
              <w:t xml:space="preserve"> communications were sent</w:t>
            </w:r>
            <w:r>
              <w:t>. The Government replied to</w:t>
            </w:r>
            <w:r w:rsidR="002B4657">
              <w:t xml:space="preserve"> </w:t>
            </w:r>
            <w:r w:rsidR="00EF6B11">
              <w:t>3</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5023AD" w:rsidP="00A81300">
            <w:pPr>
              <w:spacing w:before="40" w:after="120"/>
              <w:ind w:right="113"/>
            </w:pPr>
            <w:r>
              <w:t>Summary executions</w:t>
            </w: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5023AD" w:rsidRPr="005023AD">
        <w:rPr>
          <w:rStyle w:val="EndnoteReference"/>
          <w:b w:val="0"/>
        </w:rPr>
        <w:endnoteReference w:id="26"/>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AA4AA0">
            <w:pPr>
              <w:spacing w:before="40" w:after="120"/>
              <w:ind w:right="113"/>
              <w:rPr>
                <w:i/>
                <w:sz w:val="16"/>
              </w:rPr>
            </w:pPr>
            <w:r w:rsidRPr="005D71E9">
              <w:rPr>
                <w:i/>
                <w:sz w:val="16"/>
              </w:rPr>
              <w:t>Status during present cycle</w:t>
            </w:r>
            <w:r w:rsidR="00AA4AA0" w:rsidRPr="00AA4AA0">
              <w:rPr>
                <w:rStyle w:val="EndnoteReference"/>
              </w:rPr>
              <w:endnoteReference w:id="27"/>
            </w:r>
          </w:p>
        </w:tc>
      </w:tr>
      <w:tr w:rsidR="00A02BFB" w:rsidRPr="00332822" w:rsidTr="005D71E9">
        <w:trPr>
          <w:trHeight w:hRule="exact" w:val="530"/>
        </w:trPr>
        <w:tc>
          <w:tcPr>
            <w:tcW w:w="3211" w:type="dxa"/>
            <w:shd w:val="clear" w:color="auto" w:fill="auto"/>
            <w:vAlign w:val="bottom"/>
          </w:tcPr>
          <w:p w:rsidR="00A02BFB" w:rsidRPr="00953956" w:rsidRDefault="00A02BFB" w:rsidP="0028001D">
            <w:pPr>
              <w:spacing w:before="80" w:after="80" w:line="200" w:lineRule="exact"/>
              <w:ind w:right="113"/>
            </w:pPr>
          </w:p>
        </w:tc>
        <w:tc>
          <w:tcPr>
            <w:tcW w:w="3213" w:type="dxa"/>
            <w:shd w:val="clear" w:color="auto" w:fill="auto"/>
            <w:vAlign w:val="bottom"/>
          </w:tcPr>
          <w:p w:rsidR="00A02BFB" w:rsidRPr="00A81300" w:rsidRDefault="002F261C" w:rsidP="0028001D">
            <w:pPr>
              <w:spacing w:before="80" w:after="80" w:line="200" w:lineRule="exact"/>
              <w:ind w:right="113"/>
            </w:pPr>
            <w:r>
              <w:t>A</w:t>
            </w:r>
          </w:p>
        </w:tc>
        <w:tc>
          <w:tcPr>
            <w:tcW w:w="3213" w:type="dxa"/>
            <w:shd w:val="clear" w:color="auto" w:fill="auto"/>
            <w:vAlign w:val="bottom"/>
          </w:tcPr>
          <w:p w:rsidR="00A02BFB" w:rsidRPr="00A81300" w:rsidRDefault="002F261C" w:rsidP="0028001D">
            <w:pPr>
              <w:spacing w:before="80" w:after="80" w:line="200" w:lineRule="exact"/>
              <w:ind w:right="113"/>
            </w:pPr>
            <w:r>
              <w:t>A</w:t>
            </w:r>
          </w:p>
        </w:tc>
      </w:tr>
    </w:tbl>
    <w:p w:rsidR="008B7D95" w:rsidRPr="00A02BFB" w:rsidRDefault="008B7D95" w:rsidP="000200B9">
      <w:bookmarkStart w:id="4" w:name="_GoBack"/>
      <w:bookmarkEnd w:id="4"/>
    </w:p>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264349" w:rsidRDefault="00264349" w:rsidP="00264349">
      <w:pPr>
        <w:pStyle w:val="H4G"/>
      </w:pPr>
      <w:r>
        <w:t>Notes</w:t>
      </w:r>
    </w:p>
    <w:p w:rsidR="00264349" w:rsidRPr="00174744" w:rsidRDefault="00264349" w:rsidP="00264349">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Plurinational State of Bolivia </w:t>
      </w:r>
      <w:r w:rsidRPr="00806A55">
        <w:t>from the previous cycle (A/HRC/WG.6/</w:t>
      </w:r>
      <w:r>
        <w:t>20/BOL</w:t>
      </w:r>
      <w:r w:rsidRPr="00806A55">
        <w:t>/2).</w:t>
      </w:r>
    </w:p>
  </w:endnote>
  <w:endnote w:id="3">
    <w:p w:rsidR="00264349" w:rsidRDefault="00264349" w:rsidP="00264349">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264349" w:rsidRPr="00174744" w:rsidRDefault="00264349" w:rsidP="00264349">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27E16">
        <w:rPr>
          <w:szCs w:val="18"/>
        </w:rPr>
        <w:t>;</w:t>
      </w:r>
    </w:p>
    <w:p w:rsidR="00264349" w:rsidRPr="00174744" w:rsidRDefault="00827E16" w:rsidP="00264349">
      <w:pPr>
        <w:pStyle w:val="EndnoteText"/>
        <w:widowControl w:val="0"/>
        <w:ind w:left="3969" w:hanging="2268"/>
        <w:rPr>
          <w:szCs w:val="18"/>
        </w:rPr>
      </w:pPr>
      <w:r>
        <w:rPr>
          <w:szCs w:val="18"/>
        </w:rPr>
        <w:t>ICESCR</w:t>
      </w:r>
      <w:r w:rsidR="00264349" w:rsidRPr="00174744">
        <w:rPr>
          <w:szCs w:val="18"/>
        </w:rPr>
        <w:tab/>
        <w:t>International Covenant on Economic, Social and Cultural Rights</w:t>
      </w:r>
      <w:r>
        <w:rPr>
          <w:szCs w:val="18"/>
        </w:rPr>
        <w:t>;</w:t>
      </w:r>
    </w:p>
    <w:p w:rsidR="00264349" w:rsidRPr="00174744" w:rsidRDefault="00264349" w:rsidP="00264349">
      <w:pPr>
        <w:pStyle w:val="EndnoteText"/>
        <w:widowControl w:val="0"/>
        <w:ind w:left="3969" w:hanging="2269"/>
        <w:rPr>
          <w:szCs w:val="18"/>
        </w:rPr>
      </w:pPr>
      <w:r w:rsidRPr="00174744">
        <w:rPr>
          <w:szCs w:val="18"/>
        </w:rPr>
        <w:t>OP-ICESCR</w:t>
      </w:r>
      <w:r w:rsidRPr="00174744">
        <w:rPr>
          <w:szCs w:val="18"/>
        </w:rPr>
        <w:tab/>
        <w:t>Optional Protocol to ICESCR</w:t>
      </w:r>
      <w:r w:rsidR="00827E16">
        <w:rPr>
          <w:szCs w:val="18"/>
        </w:rPr>
        <w:t>;</w:t>
      </w:r>
    </w:p>
    <w:p w:rsidR="00264349" w:rsidRPr="00174744" w:rsidRDefault="00264349" w:rsidP="00264349">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27E16">
        <w:rPr>
          <w:szCs w:val="18"/>
        </w:rPr>
        <w:t>;</w:t>
      </w:r>
    </w:p>
    <w:p w:rsidR="00264349" w:rsidRPr="00174744" w:rsidRDefault="00264349" w:rsidP="00264349">
      <w:pPr>
        <w:pStyle w:val="EndnoteText"/>
        <w:widowControl w:val="0"/>
        <w:ind w:left="3969" w:hanging="2268"/>
        <w:rPr>
          <w:szCs w:val="18"/>
        </w:rPr>
      </w:pPr>
      <w:r w:rsidRPr="00174744">
        <w:rPr>
          <w:szCs w:val="18"/>
        </w:rPr>
        <w:t>ICCPR-OP 1</w:t>
      </w:r>
      <w:r w:rsidRPr="00174744">
        <w:rPr>
          <w:szCs w:val="18"/>
        </w:rPr>
        <w:tab/>
        <w:t>Optional Protocol to ICCPR</w:t>
      </w:r>
      <w:r w:rsidR="00827E16">
        <w:rPr>
          <w:szCs w:val="18"/>
        </w:rPr>
        <w:t>;</w:t>
      </w:r>
    </w:p>
    <w:p w:rsidR="00264349" w:rsidRPr="00174744" w:rsidRDefault="00264349" w:rsidP="00264349">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27E16">
        <w:rPr>
          <w:szCs w:val="18"/>
        </w:rPr>
        <w:t>;</w:t>
      </w:r>
    </w:p>
    <w:p w:rsidR="00264349" w:rsidRPr="00174744" w:rsidRDefault="00264349" w:rsidP="00264349">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27E16">
        <w:rPr>
          <w:szCs w:val="18"/>
        </w:rPr>
        <w:t>;</w:t>
      </w:r>
    </w:p>
    <w:p w:rsidR="00264349" w:rsidRPr="00174744" w:rsidRDefault="00264349" w:rsidP="00264349">
      <w:pPr>
        <w:pStyle w:val="EndnoteText"/>
        <w:widowControl w:val="0"/>
        <w:ind w:left="3969" w:hanging="2269"/>
        <w:rPr>
          <w:szCs w:val="18"/>
        </w:rPr>
      </w:pPr>
      <w:r w:rsidRPr="00174744">
        <w:rPr>
          <w:szCs w:val="18"/>
        </w:rPr>
        <w:t>OP-CEDAW</w:t>
      </w:r>
      <w:r w:rsidRPr="00174744">
        <w:rPr>
          <w:szCs w:val="18"/>
        </w:rPr>
        <w:tab/>
        <w:t>Optional Protocol to CEDAW</w:t>
      </w:r>
      <w:r w:rsidR="00827E16">
        <w:rPr>
          <w:szCs w:val="18"/>
        </w:rPr>
        <w:t>;</w:t>
      </w:r>
    </w:p>
    <w:p w:rsidR="00264349" w:rsidRPr="00174744" w:rsidRDefault="00264349" w:rsidP="00264349">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27E16">
        <w:rPr>
          <w:szCs w:val="18"/>
        </w:rPr>
        <w:t>;</w:t>
      </w:r>
    </w:p>
    <w:p w:rsidR="00264349" w:rsidRPr="00174744" w:rsidRDefault="00264349" w:rsidP="00264349">
      <w:pPr>
        <w:pStyle w:val="EndnoteText"/>
        <w:widowControl w:val="0"/>
        <w:ind w:left="3969" w:hanging="2269"/>
        <w:rPr>
          <w:szCs w:val="18"/>
        </w:rPr>
      </w:pPr>
      <w:r w:rsidRPr="00174744">
        <w:rPr>
          <w:szCs w:val="18"/>
        </w:rPr>
        <w:t>OP-CAT</w:t>
      </w:r>
      <w:r w:rsidRPr="00174744">
        <w:rPr>
          <w:szCs w:val="18"/>
        </w:rPr>
        <w:tab/>
        <w:t>Optional Protocol to CAT</w:t>
      </w:r>
      <w:r w:rsidR="00827E16">
        <w:rPr>
          <w:szCs w:val="18"/>
        </w:rPr>
        <w:t>;</w:t>
      </w:r>
    </w:p>
    <w:p w:rsidR="00264349" w:rsidRPr="00174744" w:rsidRDefault="00264349" w:rsidP="00264349">
      <w:pPr>
        <w:pStyle w:val="EndnoteText"/>
        <w:widowControl w:val="0"/>
        <w:ind w:left="3969" w:hanging="2269"/>
        <w:rPr>
          <w:szCs w:val="18"/>
        </w:rPr>
      </w:pPr>
      <w:r w:rsidRPr="00174744">
        <w:rPr>
          <w:szCs w:val="18"/>
        </w:rPr>
        <w:t>CRC</w:t>
      </w:r>
      <w:r w:rsidRPr="00174744">
        <w:rPr>
          <w:szCs w:val="18"/>
        </w:rPr>
        <w:tab/>
        <w:t>Convention on the Rights of the Child</w:t>
      </w:r>
      <w:r w:rsidR="00827E16">
        <w:rPr>
          <w:szCs w:val="18"/>
        </w:rPr>
        <w:t>;</w:t>
      </w:r>
    </w:p>
    <w:p w:rsidR="00264349" w:rsidRPr="00174744" w:rsidRDefault="00264349" w:rsidP="00264349">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27E16">
        <w:rPr>
          <w:szCs w:val="18"/>
        </w:rPr>
        <w:t>;</w:t>
      </w:r>
    </w:p>
    <w:p w:rsidR="00264349" w:rsidRPr="00174744" w:rsidRDefault="00264349" w:rsidP="00264349">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27E16">
        <w:rPr>
          <w:szCs w:val="18"/>
        </w:rPr>
        <w:t>;</w:t>
      </w:r>
    </w:p>
    <w:p w:rsidR="00264349" w:rsidRPr="00174744" w:rsidRDefault="00264349" w:rsidP="00264349">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27E16">
        <w:rPr>
          <w:szCs w:val="18"/>
        </w:rPr>
        <w:t>;</w:t>
      </w:r>
    </w:p>
    <w:p w:rsidR="00264349" w:rsidRPr="00174744" w:rsidRDefault="00264349" w:rsidP="00264349">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27E16">
        <w:rPr>
          <w:szCs w:val="18"/>
        </w:rPr>
        <w:t>;</w:t>
      </w:r>
    </w:p>
    <w:p w:rsidR="00264349" w:rsidRPr="00174744" w:rsidRDefault="00264349" w:rsidP="00264349">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27E16">
        <w:rPr>
          <w:szCs w:val="18"/>
        </w:rPr>
        <w:t>;</w:t>
      </w:r>
    </w:p>
    <w:p w:rsidR="00264349" w:rsidRPr="00174744" w:rsidRDefault="00264349" w:rsidP="00264349">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27E16">
        <w:rPr>
          <w:szCs w:val="18"/>
        </w:rPr>
        <w:t>;</w:t>
      </w:r>
    </w:p>
    <w:p w:rsidR="00264349" w:rsidRPr="00AC3610" w:rsidRDefault="00264349" w:rsidP="00264349">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3B79C4" w:rsidRDefault="003B79C4" w:rsidP="003B79C4">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827E16" w:rsidRDefault="00827E16" w:rsidP="00827E16">
      <w:pPr>
        <w:pStyle w:val="EndnoteText"/>
        <w:widowControl w:val="0"/>
        <w:tabs>
          <w:tab w:val="clear" w:pos="1021"/>
          <w:tab w:val="right" w:pos="1020"/>
        </w:tabs>
      </w:pPr>
      <w:r>
        <w:tab/>
      </w:r>
      <w:r>
        <w:rPr>
          <w:rStyle w:val="EndnoteReference"/>
        </w:rPr>
        <w:endnoteRef/>
      </w:r>
      <w:r>
        <w:tab/>
      </w:r>
      <w:r w:rsidRPr="00827E16">
        <w:rPr>
          <w:lang w:val="en-US"/>
        </w:rPr>
        <w:t>Protocol Additional to the Geneva Conventions of 12 August 1949, and relating to the Adoption of an Additional Di</w:t>
      </w:r>
      <w:r>
        <w:rPr>
          <w:lang w:val="en-US"/>
        </w:rPr>
        <w:t>stinctive Emblem (Protocol III).</w:t>
      </w:r>
    </w:p>
  </w:endnote>
  <w:endnote w:id="6">
    <w:p w:rsidR="004E14C0" w:rsidRPr="000819F3" w:rsidRDefault="004E14C0" w:rsidP="00827E16">
      <w:pPr>
        <w:pStyle w:val="EndnoteText"/>
        <w:widowControl w:val="0"/>
        <w:tabs>
          <w:tab w:val="clear" w:pos="1021"/>
          <w:tab w:val="right" w:pos="1020"/>
        </w:tabs>
      </w:pPr>
      <w:r w:rsidRPr="0085220D">
        <w:tab/>
      </w:r>
      <w:r w:rsidRPr="0085220D">
        <w:rPr>
          <w:rStyle w:val="EndnoteReference"/>
        </w:rPr>
        <w:endnoteRef/>
      </w:r>
      <w:r w:rsidR="00827E16">
        <w:tab/>
      </w:r>
      <w:r w:rsidRPr="0085220D">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For the official status of ratifications, see Federal Department of Foreign Affairs of Switzerland, at </w:t>
      </w:r>
      <w:hyperlink r:id="rId1" w:history="1">
        <w:r w:rsidRPr="0085220D">
          <w:rPr>
            <w:rStyle w:val="Hyperlink"/>
          </w:rPr>
          <w:t>https://www.eda.admin.ch/eda/fr/dfae/politique-exterieure/droit-international-public/traites-internationaux/depositaire/protection-des-victimes-de-la-guerre.html</w:t>
        </w:r>
      </w:hyperlink>
      <w:r w:rsidRPr="0085220D">
        <w:t>.</w:t>
      </w:r>
    </w:p>
  </w:endnote>
  <w:endnote w:id="7">
    <w:p w:rsidR="004E14C0" w:rsidRPr="00827E16" w:rsidRDefault="004E14C0" w:rsidP="004E14C0">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B1207B">
        <w:rPr>
          <w:szCs w:val="18"/>
        </w:rPr>
        <w:t>1951 Convention relating to the Status of Refugees and its 1967 Protocol, 1954 Convention relating to the Status of Stateless Persons, and 1961 Convention on the Reduction of Statelessness.</w:t>
      </w:r>
    </w:p>
  </w:endnote>
  <w:endnote w:id="8">
    <w:p w:rsidR="004E14C0" w:rsidRPr="00A82F81" w:rsidRDefault="004E14C0" w:rsidP="004E14C0">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rsidR="004E14C0" w:rsidRPr="00827E16" w:rsidRDefault="004E14C0" w:rsidP="004E14C0">
      <w:pPr>
        <w:pStyle w:val="EndnoteText"/>
        <w:rPr>
          <w:szCs w:val="18"/>
        </w:rPr>
      </w:pPr>
      <w:r w:rsidRPr="00A82F81">
        <w:rPr>
          <w:szCs w:val="18"/>
        </w:rPr>
        <w:tab/>
      </w:r>
      <w:r w:rsidRPr="00A82F81">
        <w:rPr>
          <w:rStyle w:val="EndnoteReference"/>
          <w:szCs w:val="18"/>
        </w:rPr>
        <w:endnoteRef/>
      </w:r>
      <w:r w:rsidRPr="00A82F81">
        <w:rPr>
          <w:szCs w:val="18"/>
        </w:rPr>
        <w:tab/>
      </w:r>
      <w:r w:rsidRPr="00B1207B">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rsidR="004E14C0" w:rsidRPr="00827E16" w:rsidRDefault="004E14C0" w:rsidP="004E14C0">
      <w:pPr>
        <w:pStyle w:val="EndnoteText"/>
        <w:rPr>
          <w:szCs w:val="18"/>
        </w:rPr>
      </w:pPr>
      <w:r w:rsidRPr="00A82F81">
        <w:rPr>
          <w:szCs w:val="18"/>
        </w:rPr>
        <w:tab/>
      </w:r>
      <w:r w:rsidRPr="00A82F81">
        <w:rPr>
          <w:rStyle w:val="EndnoteReference"/>
          <w:szCs w:val="18"/>
        </w:rPr>
        <w:endnoteRef/>
      </w:r>
      <w:r w:rsidRPr="00A82F81">
        <w:rPr>
          <w:szCs w:val="18"/>
        </w:rPr>
        <w:tab/>
      </w:r>
      <w:r w:rsidRPr="00B1207B">
        <w:rPr>
          <w:szCs w:val="18"/>
        </w:rPr>
        <w:t>ILO</w:t>
      </w:r>
      <w:r w:rsidRPr="00B1207B">
        <w:rPr>
          <w:szCs w:val="18"/>
          <w:lang w:val="en-US"/>
        </w:rPr>
        <w:t xml:space="preserve"> Indigenous and Tribal Peoples Convention, 1989 (No. 169) and </w:t>
      </w:r>
      <w:r w:rsidRPr="00B1207B">
        <w:rPr>
          <w:szCs w:val="18"/>
        </w:rPr>
        <w:t xml:space="preserve">Domestic Workers </w:t>
      </w:r>
      <w:r w:rsidRPr="00B1207B">
        <w:rPr>
          <w:szCs w:val="18"/>
          <w:lang w:val="en-US"/>
        </w:rPr>
        <w:t>Convention, 2011 (No. 189)</w:t>
      </w:r>
      <w:r w:rsidRPr="00B1207B">
        <w:rPr>
          <w:szCs w:val="18"/>
        </w:rPr>
        <w:t>.</w:t>
      </w:r>
    </w:p>
  </w:endnote>
  <w:endnote w:id="11">
    <w:p w:rsidR="004E14C0" w:rsidRPr="00A82F81" w:rsidRDefault="004E14C0" w:rsidP="004E14C0">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4E14C0" w:rsidRPr="00A82F81" w:rsidRDefault="004E14C0" w:rsidP="004E14C0">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27E16">
        <w:rPr>
          <w:szCs w:val="18"/>
        </w:rPr>
        <w:t>;</w:t>
      </w:r>
    </w:p>
    <w:p w:rsidR="004E14C0" w:rsidRPr="00A82F81" w:rsidRDefault="004E14C0" w:rsidP="004E14C0">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27E16">
        <w:rPr>
          <w:szCs w:val="18"/>
        </w:rPr>
        <w:t>;</w:t>
      </w:r>
    </w:p>
    <w:p w:rsidR="004E14C0" w:rsidRPr="00A82F81" w:rsidRDefault="004E14C0" w:rsidP="004E14C0">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27E16">
        <w:rPr>
          <w:szCs w:val="18"/>
        </w:rPr>
        <w:t>;</w:t>
      </w:r>
    </w:p>
    <w:p w:rsidR="004E14C0" w:rsidRPr="00A82F81" w:rsidRDefault="004E14C0" w:rsidP="004E14C0">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27E16">
        <w:rPr>
          <w:szCs w:val="18"/>
        </w:rPr>
        <w:t>;</w:t>
      </w:r>
    </w:p>
    <w:p w:rsidR="004E14C0" w:rsidRPr="00A82F81" w:rsidRDefault="004E14C0" w:rsidP="004E14C0">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27E16">
        <w:rPr>
          <w:szCs w:val="18"/>
        </w:rPr>
        <w:t>;</w:t>
      </w:r>
    </w:p>
    <w:p w:rsidR="004E14C0" w:rsidRPr="00A82F81" w:rsidRDefault="004E14C0" w:rsidP="004E14C0">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27E16">
        <w:rPr>
          <w:szCs w:val="18"/>
        </w:rPr>
        <w:t>;</w:t>
      </w:r>
    </w:p>
    <w:p w:rsidR="004E14C0" w:rsidRPr="00A82F81" w:rsidRDefault="004E14C0" w:rsidP="004E14C0">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27E16">
        <w:rPr>
          <w:szCs w:val="18"/>
        </w:rPr>
        <w:t>;</w:t>
      </w:r>
    </w:p>
    <w:p w:rsidR="004E14C0" w:rsidRPr="00A82F81" w:rsidRDefault="004E14C0" w:rsidP="004E14C0">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27E16">
        <w:rPr>
          <w:szCs w:val="18"/>
        </w:rPr>
        <w:t>;</w:t>
      </w:r>
    </w:p>
    <w:p w:rsidR="004E14C0" w:rsidRPr="00A82F81" w:rsidRDefault="004E14C0" w:rsidP="004E14C0">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27E16">
        <w:rPr>
          <w:szCs w:val="18"/>
        </w:rPr>
        <w:t>;</w:t>
      </w:r>
    </w:p>
    <w:p w:rsidR="004E14C0" w:rsidRPr="00A82F81" w:rsidRDefault="004E14C0" w:rsidP="004E14C0">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27E16">
        <w:rPr>
          <w:szCs w:val="18"/>
        </w:rPr>
        <w:t>.</w:t>
      </w:r>
    </w:p>
  </w:endnote>
  <w:endnote w:id="12">
    <w:p w:rsidR="00955A19" w:rsidRPr="00794A0E" w:rsidRDefault="00827E16" w:rsidP="00827E16">
      <w:pPr>
        <w:pStyle w:val="EndnoteText"/>
        <w:rPr>
          <w:szCs w:val="18"/>
        </w:rPr>
      </w:pPr>
      <w:r>
        <w:rPr>
          <w:szCs w:val="18"/>
          <w:lang w:val="es-ES"/>
        </w:rPr>
        <w:tab/>
      </w:r>
      <w:r w:rsidR="00955A19" w:rsidRPr="00794A0E">
        <w:rPr>
          <w:rStyle w:val="EndnoteReference"/>
          <w:szCs w:val="18"/>
        </w:rPr>
        <w:endnoteRef/>
      </w:r>
      <w:r>
        <w:rPr>
          <w:szCs w:val="18"/>
          <w:lang w:val="es-ES"/>
        </w:rPr>
        <w:tab/>
      </w:r>
      <w:r w:rsidR="00955A19" w:rsidRPr="00794A0E">
        <w:rPr>
          <w:bCs/>
          <w:szCs w:val="18"/>
          <w:lang w:val="es-ES" w:eastAsia="en-GB"/>
        </w:rPr>
        <w:t xml:space="preserve">CCPR/C/BOL/CO/3, para. </w:t>
      </w:r>
      <w:r w:rsidR="00955A19" w:rsidRPr="00794A0E">
        <w:rPr>
          <w:bCs/>
          <w:szCs w:val="18"/>
          <w:lang w:eastAsia="en-GB"/>
        </w:rPr>
        <w:t>27.</w:t>
      </w:r>
    </w:p>
  </w:endnote>
  <w:endnote w:id="13">
    <w:p w:rsidR="00955A19" w:rsidRPr="00794A0E" w:rsidRDefault="00827E16" w:rsidP="00827E16">
      <w:pPr>
        <w:pStyle w:val="EndnoteText"/>
        <w:rPr>
          <w:szCs w:val="18"/>
        </w:rPr>
      </w:pPr>
      <w:r>
        <w:rPr>
          <w:szCs w:val="18"/>
        </w:rPr>
        <w:tab/>
      </w:r>
      <w:r w:rsidR="00955A19" w:rsidRPr="00794A0E">
        <w:rPr>
          <w:rStyle w:val="EndnoteReference"/>
          <w:szCs w:val="18"/>
        </w:rPr>
        <w:endnoteRef/>
      </w:r>
      <w:r>
        <w:rPr>
          <w:szCs w:val="18"/>
        </w:rPr>
        <w:tab/>
      </w:r>
      <w:r w:rsidR="00955A19" w:rsidRPr="00794A0E">
        <w:rPr>
          <w:szCs w:val="18"/>
          <w:lang w:val="en-US"/>
        </w:rPr>
        <w:t xml:space="preserve">CCPR/C/BOL/CO/3/Add.1. See also reply available from </w:t>
      </w:r>
      <w:hyperlink r:id="rId2" w:history="1">
        <w:r w:rsidR="00955A19" w:rsidRPr="00794A0E">
          <w:rPr>
            <w:rStyle w:val="Hyperlink"/>
            <w:szCs w:val="18"/>
            <w:lang w:val="en-US"/>
          </w:rPr>
          <w:t>https://tbinternet.ohchr.org/Treaties/CCPR/Shared%20Documents/BOL/INT_CCPR_FCO_BOL_22345_S.pdf</w:t>
        </w:r>
      </w:hyperlink>
      <w:r w:rsidR="00955A19" w:rsidRPr="00794A0E">
        <w:rPr>
          <w:szCs w:val="18"/>
          <w:lang w:val="en-US"/>
        </w:rPr>
        <w:t xml:space="preserve"> </w:t>
      </w:r>
      <w:r w:rsidR="00955A19" w:rsidRPr="00794A0E">
        <w:rPr>
          <w:szCs w:val="18"/>
        </w:rPr>
        <w:t xml:space="preserve">(accessed on </w:t>
      </w:r>
      <w:r w:rsidR="00955A19">
        <w:rPr>
          <w:szCs w:val="18"/>
        </w:rPr>
        <w:t xml:space="preserve">25 June </w:t>
      </w:r>
      <w:r w:rsidR="00955A19" w:rsidRPr="00794A0E">
        <w:rPr>
          <w:szCs w:val="18"/>
        </w:rPr>
        <w:t>201</w:t>
      </w:r>
      <w:r w:rsidR="00955A19">
        <w:rPr>
          <w:szCs w:val="18"/>
        </w:rPr>
        <w:t>9</w:t>
      </w:r>
      <w:r w:rsidR="00955A19" w:rsidRPr="00794A0E">
        <w:rPr>
          <w:szCs w:val="18"/>
        </w:rPr>
        <w:t>).</w:t>
      </w:r>
    </w:p>
  </w:endnote>
  <w:endnote w:id="14">
    <w:p w:rsidR="00955A19" w:rsidRPr="00794A0E" w:rsidRDefault="00827E16" w:rsidP="00827E16">
      <w:pPr>
        <w:pStyle w:val="EndnoteText"/>
        <w:rPr>
          <w:szCs w:val="18"/>
        </w:rPr>
      </w:pPr>
      <w:r>
        <w:rPr>
          <w:szCs w:val="18"/>
        </w:rPr>
        <w:tab/>
      </w:r>
      <w:r w:rsidR="00955A19" w:rsidRPr="00794A0E">
        <w:rPr>
          <w:rStyle w:val="EndnoteReference"/>
          <w:szCs w:val="18"/>
        </w:rPr>
        <w:endnoteRef/>
      </w:r>
      <w:r>
        <w:rPr>
          <w:szCs w:val="18"/>
        </w:rPr>
        <w:tab/>
      </w:r>
      <w:r w:rsidR="00955A19" w:rsidRPr="00794A0E">
        <w:rPr>
          <w:szCs w:val="18"/>
          <w:lang w:val="en-US"/>
        </w:rPr>
        <w:t xml:space="preserve">CCPR/C/BOL/CO/3/Add.2. See also </w:t>
      </w:r>
      <w:r w:rsidR="00955A19">
        <w:rPr>
          <w:szCs w:val="18"/>
        </w:rPr>
        <w:t>l</w:t>
      </w:r>
      <w:r w:rsidR="00955A19" w:rsidRPr="00794A0E">
        <w:rPr>
          <w:szCs w:val="18"/>
        </w:rPr>
        <w:t xml:space="preserve">etters from HR Committee to the Permanent Mission of the Plurinational State of Bolivia </w:t>
      </w:r>
      <w:r w:rsidR="00955A19" w:rsidRPr="00794A0E">
        <w:rPr>
          <w:rStyle w:val="EndnoteTextChar"/>
          <w:szCs w:val="18"/>
        </w:rPr>
        <w:t>to the United Nations Office and other international organizations in Geneva</w:t>
      </w:r>
      <w:r w:rsidR="00955A19" w:rsidRPr="00794A0E">
        <w:rPr>
          <w:szCs w:val="18"/>
        </w:rPr>
        <w:t xml:space="preserve">, dated </w:t>
      </w:r>
      <w:r w:rsidR="00955A19">
        <w:rPr>
          <w:szCs w:val="18"/>
        </w:rPr>
        <w:t>6</w:t>
      </w:r>
      <w:r w:rsidR="00955A19" w:rsidRPr="00794A0E">
        <w:rPr>
          <w:szCs w:val="18"/>
        </w:rPr>
        <w:t xml:space="preserve"> August 2015, 16 August 2016 and 18 April 2017, available from </w:t>
      </w:r>
      <w:hyperlink r:id="rId3" w:history="1">
        <w:r w:rsidR="00955A19" w:rsidRPr="00794A0E">
          <w:rPr>
            <w:rStyle w:val="Hyperlink"/>
            <w:szCs w:val="18"/>
          </w:rPr>
          <w:t>https://tbinternet.ohchr.org/Treaties/CCPR/Shared%20Documents/BOL/INT_CCPR_FUL_BOL_21297_S.pdf</w:t>
        </w:r>
      </w:hyperlink>
      <w:r w:rsidR="00955A19" w:rsidRPr="00794A0E">
        <w:rPr>
          <w:szCs w:val="18"/>
        </w:rPr>
        <w:t xml:space="preserve">; </w:t>
      </w:r>
      <w:hyperlink r:id="rId4" w:history="1">
        <w:r w:rsidR="00955A19" w:rsidRPr="00794A0E">
          <w:rPr>
            <w:rStyle w:val="Hyperlink"/>
            <w:szCs w:val="18"/>
          </w:rPr>
          <w:t>https://tbinternet.ohchr.org/Treaties/CCPR/Shared%20Documents/BOL/INT_CCPR_FUL_BOL_24976_S.pdf</w:t>
        </w:r>
      </w:hyperlink>
      <w:r w:rsidR="00955A19" w:rsidRPr="00794A0E">
        <w:rPr>
          <w:szCs w:val="18"/>
        </w:rPr>
        <w:t xml:space="preserve">; and https://tbinternet.ohchr.org/Treaties/CCPR/Shared%20Documents/BOL/INT_CCPR_FUL_BOL_27207_S.pdf (accessed on </w:t>
      </w:r>
      <w:r w:rsidR="00955A19">
        <w:rPr>
          <w:szCs w:val="18"/>
        </w:rPr>
        <w:t xml:space="preserve">26 June </w:t>
      </w:r>
      <w:r w:rsidR="00955A19" w:rsidRPr="00794A0E">
        <w:rPr>
          <w:szCs w:val="18"/>
        </w:rPr>
        <w:t>201</w:t>
      </w:r>
      <w:r w:rsidR="00955A19">
        <w:rPr>
          <w:szCs w:val="18"/>
        </w:rPr>
        <w:t>9</w:t>
      </w:r>
      <w:r w:rsidR="00955A19" w:rsidRPr="00794A0E">
        <w:rPr>
          <w:szCs w:val="18"/>
        </w:rPr>
        <w:t>).</w:t>
      </w:r>
    </w:p>
  </w:endnote>
  <w:endnote w:id="15">
    <w:p w:rsidR="00D4447B" w:rsidRPr="00794A0E" w:rsidRDefault="00827E16" w:rsidP="00827E16">
      <w:pPr>
        <w:pStyle w:val="EndnoteText"/>
        <w:rPr>
          <w:szCs w:val="18"/>
        </w:rPr>
      </w:pPr>
      <w:r>
        <w:rPr>
          <w:szCs w:val="18"/>
          <w:lang w:val="es-ES"/>
        </w:rPr>
        <w:tab/>
      </w:r>
      <w:r w:rsidR="00D4447B" w:rsidRPr="00794A0E">
        <w:rPr>
          <w:rStyle w:val="EndnoteReference"/>
          <w:szCs w:val="18"/>
        </w:rPr>
        <w:endnoteRef/>
      </w:r>
      <w:r>
        <w:rPr>
          <w:szCs w:val="18"/>
          <w:lang w:val="es-ES"/>
        </w:rPr>
        <w:tab/>
      </w:r>
      <w:r w:rsidR="00D4447B" w:rsidRPr="00794A0E">
        <w:rPr>
          <w:bCs/>
          <w:szCs w:val="18"/>
          <w:lang w:val="es-ES"/>
        </w:rPr>
        <w:t xml:space="preserve">CEDAW/C/BOL/CO/5-6, para. </w:t>
      </w:r>
      <w:r w:rsidR="00D4447B" w:rsidRPr="00794A0E">
        <w:rPr>
          <w:bCs/>
          <w:szCs w:val="18"/>
        </w:rPr>
        <w:t>45.</w:t>
      </w:r>
    </w:p>
  </w:endnote>
  <w:endnote w:id="16">
    <w:p w:rsidR="00D4447B" w:rsidRPr="00794A0E" w:rsidRDefault="00827E16" w:rsidP="00827E16">
      <w:pPr>
        <w:pStyle w:val="EndnoteText"/>
        <w:rPr>
          <w:szCs w:val="18"/>
        </w:rPr>
      </w:pPr>
      <w:r>
        <w:rPr>
          <w:szCs w:val="18"/>
        </w:rPr>
        <w:tab/>
      </w:r>
      <w:r w:rsidR="00D4447B" w:rsidRPr="00794A0E">
        <w:rPr>
          <w:rStyle w:val="EndnoteReference"/>
          <w:szCs w:val="18"/>
        </w:rPr>
        <w:endnoteRef/>
      </w:r>
      <w:r>
        <w:rPr>
          <w:szCs w:val="18"/>
        </w:rPr>
        <w:tab/>
      </w:r>
      <w:r w:rsidR="00D4447B" w:rsidRPr="00794A0E">
        <w:rPr>
          <w:szCs w:val="18"/>
          <w:lang w:val="en-US"/>
        </w:rPr>
        <w:t>CEDAW/C/BOL/CO/5-6/Add.1.</w:t>
      </w:r>
    </w:p>
  </w:endnote>
  <w:endnote w:id="17">
    <w:p w:rsidR="00D4447B" w:rsidRPr="00794A0E" w:rsidRDefault="00827E16" w:rsidP="00827E16">
      <w:pPr>
        <w:pStyle w:val="EndnoteText"/>
        <w:rPr>
          <w:szCs w:val="18"/>
        </w:rPr>
      </w:pPr>
      <w:r>
        <w:rPr>
          <w:szCs w:val="18"/>
        </w:rPr>
        <w:tab/>
      </w:r>
      <w:r w:rsidR="00D4447B" w:rsidRPr="00794A0E">
        <w:rPr>
          <w:rStyle w:val="EndnoteReference"/>
          <w:szCs w:val="18"/>
        </w:rPr>
        <w:endnoteRef/>
      </w:r>
      <w:r>
        <w:rPr>
          <w:szCs w:val="18"/>
        </w:rPr>
        <w:tab/>
      </w:r>
      <w:r w:rsidR="00D4447B" w:rsidRPr="00794A0E">
        <w:rPr>
          <w:szCs w:val="18"/>
        </w:rPr>
        <w:t xml:space="preserve">Letter from CEDAW to the Permanent Mission of the Plurinational State of Bolivia </w:t>
      </w:r>
      <w:r w:rsidR="00D4447B" w:rsidRPr="00794A0E">
        <w:rPr>
          <w:rStyle w:val="EndnoteTextChar"/>
          <w:szCs w:val="18"/>
        </w:rPr>
        <w:t>to the United Nations Office and other international organizations in Geneva</w:t>
      </w:r>
      <w:r w:rsidR="00D4447B" w:rsidRPr="00794A0E">
        <w:rPr>
          <w:szCs w:val="18"/>
        </w:rPr>
        <w:t xml:space="preserve">, dated 13 April 2018, available from https://tbinternet.ohchr.org/Treaties/CEDAW/Shared%20Documents/BOL/INT_CEDAW_FUL_BOL_30896_E.pdf (accessed on </w:t>
      </w:r>
      <w:r w:rsidR="00D4447B">
        <w:rPr>
          <w:szCs w:val="18"/>
        </w:rPr>
        <w:t xml:space="preserve">26 June </w:t>
      </w:r>
      <w:r w:rsidR="00D4447B" w:rsidRPr="00794A0E">
        <w:rPr>
          <w:szCs w:val="18"/>
        </w:rPr>
        <w:t>201</w:t>
      </w:r>
      <w:r w:rsidR="00D4447B">
        <w:rPr>
          <w:szCs w:val="18"/>
        </w:rPr>
        <w:t>9</w:t>
      </w:r>
      <w:r w:rsidR="00D4447B" w:rsidRPr="00794A0E">
        <w:rPr>
          <w:szCs w:val="18"/>
        </w:rPr>
        <w:t>).</w:t>
      </w:r>
    </w:p>
  </w:endnote>
  <w:endnote w:id="18">
    <w:p w:rsidR="00D4447B" w:rsidRPr="00794A0E" w:rsidRDefault="00827E16" w:rsidP="00827E16">
      <w:pPr>
        <w:pStyle w:val="EndnoteText"/>
        <w:rPr>
          <w:szCs w:val="18"/>
        </w:rPr>
      </w:pPr>
      <w:r>
        <w:rPr>
          <w:szCs w:val="18"/>
          <w:lang w:val="es-ES"/>
        </w:rPr>
        <w:tab/>
      </w:r>
      <w:r w:rsidR="00D4447B" w:rsidRPr="00794A0E">
        <w:rPr>
          <w:rStyle w:val="EndnoteReference"/>
          <w:szCs w:val="18"/>
        </w:rPr>
        <w:endnoteRef/>
      </w:r>
      <w:r>
        <w:rPr>
          <w:szCs w:val="18"/>
          <w:lang w:val="es-ES"/>
        </w:rPr>
        <w:tab/>
      </w:r>
      <w:r w:rsidR="00D4447B" w:rsidRPr="00794A0E">
        <w:rPr>
          <w:bCs/>
          <w:szCs w:val="18"/>
          <w:lang w:val="es-ES" w:eastAsia="en-GB"/>
        </w:rPr>
        <w:t xml:space="preserve">CAT/C/BOL/CO/2, para. </w:t>
      </w:r>
      <w:r w:rsidR="00D4447B" w:rsidRPr="00794A0E">
        <w:rPr>
          <w:bCs/>
          <w:szCs w:val="18"/>
          <w:lang w:eastAsia="en-GB"/>
        </w:rPr>
        <w:t>27.</w:t>
      </w:r>
    </w:p>
  </w:endnote>
  <w:endnote w:id="19">
    <w:p w:rsidR="00D4447B" w:rsidRPr="00794A0E" w:rsidRDefault="00827E16" w:rsidP="00827E16">
      <w:pPr>
        <w:pStyle w:val="EndnoteText"/>
        <w:rPr>
          <w:szCs w:val="18"/>
        </w:rPr>
      </w:pPr>
      <w:r>
        <w:rPr>
          <w:szCs w:val="18"/>
        </w:rPr>
        <w:tab/>
      </w:r>
      <w:r w:rsidR="00D4447B" w:rsidRPr="00794A0E">
        <w:rPr>
          <w:rStyle w:val="EndnoteReference"/>
          <w:szCs w:val="18"/>
        </w:rPr>
        <w:endnoteRef/>
      </w:r>
      <w:r>
        <w:rPr>
          <w:szCs w:val="18"/>
        </w:rPr>
        <w:tab/>
      </w:r>
      <w:r w:rsidR="00D4447B" w:rsidRPr="00794A0E">
        <w:rPr>
          <w:szCs w:val="18"/>
        </w:rPr>
        <w:t xml:space="preserve">Letter from CAT to the Permanent Mission of the Plurinational State of Bolivia </w:t>
      </w:r>
      <w:r w:rsidR="00D4447B" w:rsidRPr="00794A0E">
        <w:rPr>
          <w:rStyle w:val="EndnoteTextChar"/>
          <w:szCs w:val="18"/>
        </w:rPr>
        <w:t>to the United Nations Office and other international organizations in Geneva</w:t>
      </w:r>
      <w:r w:rsidR="00D4447B" w:rsidRPr="00794A0E">
        <w:rPr>
          <w:szCs w:val="18"/>
        </w:rPr>
        <w:t xml:space="preserve">, dated 7 July 2014, available from https://tbinternet.ohchr.org/Treaties/CAT/Shared%20Documents/BOL/INT_CAT_FUL_BOL_17606_E.pdf (accessed on </w:t>
      </w:r>
      <w:r w:rsidR="00D4447B">
        <w:rPr>
          <w:szCs w:val="18"/>
        </w:rPr>
        <w:t xml:space="preserve">26 June </w:t>
      </w:r>
      <w:r w:rsidR="00D4447B" w:rsidRPr="00794A0E">
        <w:rPr>
          <w:szCs w:val="18"/>
        </w:rPr>
        <w:t>201</w:t>
      </w:r>
      <w:r w:rsidR="00D4447B">
        <w:rPr>
          <w:szCs w:val="18"/>
        </w:rPr>
        <w:t>9</w:t>
      </w:r>
      <w:r w:rsidR="00D4447B" w:rsidRPr="00794A0E">
        <w:rPr>
          <w:szCs w:val="18"/>
        </w:rPr>
        <w:t>).</w:t>
      </w:r>
    </w:p>
  </w:endnote>
  <w:endnote w:id="20">
    <w:p w:rsidR="00827E16" w:rsidRDefault="00827E16" w:rsidP="00827E16">
      <w:pPr>
        <w:pStyle w:val="EndnoteText"/>
        <w:widowControl w:val="0"/>
        <w:tabs>
          <w:tab w:val="clear" w:pos="1021"/>
          <w:tab w:val="right" w:pos="1020"/>
        </w:tabs>
      </w:pPr>
      <w:r>
        <w:tab/>
      </w:r>
      <w:r>
        <w:rPr>
          <w:rStyle w:val="EndnoteReference"/>
        </w:rPr>
        <w:endnoteRef/>
      </w:r>
      <w:r>
        <w:tab/>
      </w:r>
      <w:r w:rsidRPr="00827E16">
        <w:rPr>
          <w:bCs/>
          <w:lang w:val="es-ES"/>
        </w:rPr>
        <w:t xml:space="preserve">CRPD/C/BOL/CO/1, para. </w:t>
      </w:r>
      <w:r w:rsidRPr="00827E16">
        <w:rPr>
          <w:bCs/>
        </w:rPr>
        <w:t>78.</w:t>
      </w:r>
    </w:p>
  </w:endnote>
  <w:endnote w:id="21">
    <w:p w:rsidR="00D4447B" w:rsidRPr="00794A0E" w:rsidRDefault="00827E16" w:rsidP="00827E16">
      <w:pPr>
        <w:pStyle w:val="EndnoteText"/>
        <w:rPr>
          <w:szCs w:val="18"/>
        </w:rPr>
      </w:pPr>
      <w:r>
        <w:rPr>
          <w:szCs w:val="18"/>
        </w:rPr>
        <w:tab/>
      </w:r>
      <w:r w:rsidR="00D4447B" w:rsidRPr="00794A0E">
        <w:rPr>
          <w:rStyle w:val="EndnoteReference"/>
          <w:szCs w:val="18"/>
        </w:rPr>
        <w:endnoteRef/>
      </w:r>
      <w:r>
        <w:rPr>
          <w:szCs w:val="18"/>
        </w:rPr>
        <w:tab/>
      </w:r>
      <w:r w:rsidR="00D4447B" w:rsidRPr="00794A0E">
        <w:rPr>
          <w:bCs/>
          <w:szCs w:val="18"/>
        </w:rPr>
        <w:t>CCPR/C/122/D/2629/2015 and CCPR/C/122/D/2628/2015</w:t>
      </w:r>
      <w:r>
        <w:rPr>
          <w:bCs/>
          <w:szCs w:val="18"/>
        </w:rPr>
        <w:t>.</w:t>
      </w:r>
    </w:p>
  </w:endnote>
  <w:endnote w:id="22">
    <w:p w:rsidR="00D4447B" w:rsidRPr="00794A0E" w:rsidRDefault="00827E16" w:rsidP="00827E16">
      <w:pPr>
        <w:pStyle w:val="EndnoteText"/>
        <w:rPr>
          <w:szCs w:val="18"/>
        </w:rPr>
      </w:pPr>
      <w:r>
        <w:rPr>
          <w:szCs w:val="18"/>
          <w:lang w:val="es-ES"/>
        </w:rPr>
        <w:tab/>
      </w:r>
      <w:r w:rsidR="00D4447B" w:rsidRPr="00794A0E">
        <w:rPr>
          <w:rStyle w:val="EndnoteReference"/>
          <w:szCs w:val="18"/>
        </w:rPr>
        <w:endnoteRef/>
      </w:r>
      <w:r>
        <w:rPr>
          <w:szCs w:val="18"/>
          <w:lang w:val="es-ES"/>
        </w:rPr>
        <w:tab/>
      </w:r>
      <w:r w:rsidR="00D4447B" w:rsidRPr="00794A0E">
        <w:rPr>
          <w:bCs/>
          <w:szCs w:val="18"/>
          <w:lang w:val="es-ES"/>
        </w:rPr>
        <w:t xml:space="preserve">CCPR/C/122/D/2629/2015, para. 14 and CCPR/C/122/D/2628/2015, para. </w:t>
      </w:r>
      <w:r w:rsidR="00D4447B" w:rsidRPr="00794A0E">
        <w:rPr>
          <w:bCs/>
          <w:szCs w:val="18"/>
        </w:rPr>
        <w:t>14.</w:t>
      </w:r>
    </w:p>
  </w:endnote>
  <w:endnote w:id="23">
    <w:p w:rsidR="00D4447B" w:rsidRDefault="00827E16" w:rsidP="00827E16">
      <w:pPr>
        <w:pStyle w:val="EndnoteText"/>
      </w:pPr>
      <w:r>
        <w:rPr>
          <w:szCs w:val="18"/>
        </w:rPr>
        <w:tab/>
      </w:r>
      <w:r w:rsidR="00D4447B" w:rsidRPr="00794A0E">
        <w:rPr>
          <w:rStyle w:val="EndnoteReference"/>
          <w:szCs w:val="18"/>
        </w:rPr>
        <w:endnoteRef/>
      </w:r>
      <w:r>
        <w:rPr>
          <w:szCs w:val="18"/>
        </w:rPr>
        <w:tab/>
      </w:r>
      <w:r w:rsidR="00D4447B" w:rsidRPr="000C62B1">
        <w:rPr>
          <w:bCs/>
          <w:szCs w:val="18"/>
        </w:rPr>
        <w:t>CAT/OP/BOL/3</w:t>
      </w:r>
      <w:r w:rsidR="00D4447B">
        <w:rPr>
          <w:bCs/>
          <w:szCs w:val="18"/>
        </w:rPr>
        <w:t xml:space="preserve">. </w:t>
      </w:r>
      <w:r w:rsidR="00D4447B" w:rsidRPr="00794A0E">
        <w:rPr>
          <w:bCs/>
          <w:szCs w:val="18"/>
        </w:rPr>
        <w:t xml:space="preserve">See also </w:t>
      </w:r>
      <w:hyperlink r:id="rId5" w:tgtFrame="_blank" w:tooltip="View document" w:history="1">
        <w:r w:rsidR="00D4447B" w:rsidRPr="00794A0E">
          <w:rPr>
            <w:rStyle w:val="Hyperlink"/>
            <w:szCs w:val="18"/>
          </w:rPr>
          <w:t>CAT/OP/BOL/3/Add.1</w:t>
        </w:r>
      </w:hyperlink>
      <w:r w:rsidR="00D4447B">
        <w:rPr>
          <w:rStyle w:val="Hyperlink"/>
          <w:szCs w:val="18"/>
        </w:rPr>
        <w:t>.</w:t>
      </w:r>
    </w:p>
  </w:endnote>
  <w:endnote w:id="24">
    <w:p w:rsidR="00D4447B" w:rsidRDefault="00827E16" w:rsidP="00827E16">
      <w:pPr>
        <w:pStyle w:val="EndnoteText"/>
      </w:pPr>
      <w:r>
        <w:rPr>
          <w:szCs w:val="18"/>
        </w:rPr>
        <w:tab/>
      </w:r>
      <w:r w:rsidR="00D4447B" w:rsidRPr="00794A0E">
        <w:rPr>
          <w:rStyle w:val="EndnoteReference"/>
          <w:szCs w:val="18"/>
        </w:rPr>
        <w:endnoteRef/>
      </w:r>
      <w:r>
        <w:rPr>
          <w:szCs w:val="18"/>
        </w:rPr>
        <w:tab/>
      </w:r>
      <w:r w:rsidR="00D4447B" w:rsidRPr="000C62B1">
        <w:rPr>
          <w:bCs/>
          <w:szCs w:val="18"/>
        </w:rPr>
        <w:t xml:space="preserve">CAT/OP/BOL/3, para. </w:t>
      </w:r>
      <w:r w:rsidR="00D4447B" w:rsidRPr="00794A0E">
        <w:rPr>
          <w:bCs/>
          <w:szCs w:val="18"/>
        </w:rPr>
        <w:t>4.</w:t>
      </w:r>
    </w:p>
  </w:endnote>
  <w:endnote w:id="25">
    <w:p w:rsidR="00D4447B" w:rsidRPr="00A82F81" w:rsidRDefault="00D4447B" w:rsidP="00D4447B">
      <w:pPr>
        <w:pStyle w:val="EndnoteText"/>
        <w:rPr>
          <w:szCs w:val="18"/>
        </w:rPr>
      </w:pPr>
      <w:r w:rsidRPr="00FB7B06">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6">
    <w:p w:rsidR="005023AD" w:rsidRPr="00A82F81" w:rsidRDefault="005023AD" w:rsidP="005023AD">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7">
    <w:p w:rsidR="00AA4AA0" w:rsidRDefault="00AA4AA0" w:rsidP="00AA4AA0">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AA4AA0" w:rsidRDefault="00AA4AA0" w:rsidP="00AA4AA0">
      <w:pPr>
        <w:pStyle w:val="EndnoteText"/>
        <w:widowControl w:val="0"/>
        <w:ind w:firstLine="0"/>
        <w:rPr>
          <w:bCs/>
        </w:rPr>
      </w:pPr>
      <w:hyperlink r:id="rId6" w:history="1">
        <w:r>
          <w:rPr>
            <w:rStyle w:val="Hyperlink"/>
            <w:bCs/>
          </w:rPr>
          <w:t>https://nhri.ohchr.org/EN/Documents/Status%20Accreditation%20Chart%20%289%20May%202019%29.pdf</w:t>
        </w:r>
      </w:hyperlink>
    </w:p>
    <w:p w:rsidR="00AA4AA0" w:rsidRDefault="00AA4AA0" w:rsidP="00AA4AA0">
      <w:pPr>
        <w:pStyle w:val="EndnoteText"/>
        <w:spacing w:before="240" w:line="240" w:lineRule="exac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AA4AA0">
      <w:rPr>
        <w:noProof/>
      </w:rPr>
      <w:t>4</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AA4AA0"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00B9"/>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C0F5E"/>
    <w:rsid w:val="000D0709"/>
    <w:rsid w:val="000D1851"/>
    <w:rsid w:val="000E0415"/>
    <w:rsid w:val="000F63EB"/>
    <w:rsid w:val="0010479D"/>
    <w:rsid w:val="0013065A"/>
    <w:rsid w:val="0013136E"/>
    <w:rsid w:val="00132BC7"/>
    <w:rsid w:val="00143696"/>
    <w:rsid w:val="00144AF4"/>
    <w:rsid w:val="00146D32"/>
    <w:rsid w:val="001509BA"/>
    <w:rsid w:val="00151C6A"/>
    <w:rsid w:val="00157983"/>
    <w:rsid w:val="001614E7"/>
    <w:rsid w:val="00181B7D"/>
    <w:rsid w:val="001B4B04"/>
    <w:rsid w:val="001C215C"/>
    <w:rsid w:val="001C264A"/>
    <w:rsid w:val="001C6663"/>
    <w:rsid w:val="001C7895"/>
    <w:rsid w:val="001D26DF"/>
    <w:rsid w:val="001E2790"/>
    <w:rsid w:val="001E5256"/>
    <w:rsid w:val="002036FF"/>
    <w:rsid w:val="0021130C"/>
    <w:rsid w:val="00211E0B"/>
    <w:rsid w:val="00211E72"/>
    <w:rsid w:val="00212C44"/>
    <w:rsid w:val="00214047"/>
    <w:rsid w:val="0021454A"/>
    <w:rsid w:val="0022130F"/>
    <w:rsid w:val="0022777B"/>
    <w:rsid w:val="00237785"/>
    <w:rsid w:val="002410DD"/>
    <w:rsid w:val="00241466"/>
    <w:rsid w:val="00246442"/>
    <w:rsid w:val="00253D58"/>
    <w:rsid w:val="00254654"/>
    <w:rsid w:val="0025642D"/>
    <w:rsid w:val="00264349"/>
    <w:rsid w:val="00264FA3"/>
    <w:rsid w:val="00267425"/>
    <w:rsid w:val="00270E89"/>
    <w:rsid w:val="0027725F"/>
    <w:rsid w:val="0028001D"/>
    <w:rsid w:val="00283347"/>
    <w:rsid w:val="00292DEC"/>
    <w:rsid w:val="00296EB7"/>
    <w:rsid w:val="002A18B1"/>
    <w:rsid w:val="002B4657"/>
    <w:rsid w:val="002B4713"/>
    <w:rsid w:val="002C1E8B"/>
    <w:rsid w:val="002C21F0"/>
    <w:rsid w:val="002E0FB9"/>
    <w:rsid w:val="002E2FEF"/>
    <w:rsid w:val="002E5BE3"/>
    <w:rsid w:val="002E646B"/>
    <w:rsid w:val="002F2142"/>
    <w:rsid w:val="002F261C"/>
    <w:rsid w:val="003015A8"/>
    <w:rsid w:val="00301D10"/>
    <w:rsid w:val="003107FA"/>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6B52"/>
    <w:rsid w:val="003972E0"/>
    <w:rsid w:val="003975ED"/>
    <w:rsid w:val="003A4E25"/>
    <w:rsid w:val="003B79C4"/>
    <w:rsid w:val="003C2CC4"/>
    <w:rsid w:val="003C3A75"/>
    <w:rsid w:val="003D4B23"/>
    <w:rsid w:val="003D6D46"/>
    <w:rsid w:val="003E065C"/>
    <w:rsid w:val="003E19D9"/>
    <w:rsid w:val="003E33AE"/>
    <w:rsid w:val="003E6998"/>
    <w:rsid w:val="003F48B9"/>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1995"/>
    <w:rsid w:val="004721B1"/>
    <w:rsid w:val="004766F2"/>
    <w:rsid w:val="004859EC"/>
    <w:rsid w:val="00495639"/>
    <w:rsid w:val="00496A15"/>
    <w:rsid w:val="004A76BD"/>
    <w:rsid w:val="004B07D6"/>
    <w:rsid w:val="004B75D2"/>
    <w:rsid w:val="004D1140"/>
    <w:rsid w:val="004D3D46"/>
    <w:rsid w:val="004E01CE"/>
    <w:rsid w:val="004E14C0"/>
    <w:rsid w:val="004E25CB"/>
    <w:rsid w:val="004E4E92"/>
    <w:rsid w:val="004E7393"/>
    <w:rsid w:val="004F406C"/>
    <w:rsid w:val="004F50B2"/>
    <w:rsid w:val="004F55ED"/>
    <w:rsid w:val="005023AD"/>
    <w:rsid w:val="00503C50"/>
    <w:rsid w:val="00517888"/>
    <w:rsid w:val="0052176C"/>
    <w:rsid w:val="00521F07"/>
    <w:rsid w:val="00522048"/>
    <w:rsid w:val="005231D9"/>
    <w:rsid w:val="005261E5"/>
    <w:rsid w:val="0053569C"/>
    <w:rsid w:val="005420F2"/>
    <w:rsid w:val="00542574"/>
    <w:rsid w:val="005436AB"/>
    <w:rsid w:val="005457B9"/>
    <w:rsid w:val="00546DBF"/>
    <w:rsid w:val="00547770"/>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10085"/>
    <w:rsid w:val="006116A3"/>
    <w:rsid w:val="00611FC4"/>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1710"/>
    <w:rsid w:val="006E4940"/>
    <w:rsid w:val="006E564B"/>
    <w:rsid w:val="006F13F0"/>
    <w:rsid w:val="006F5035"/>
    <w:rsid w:val="007065EB"/>
    <w:rsid w:val="00714C15"/>
    <w:rsid w:val="00720183"/>
    <w:rsid w:val="00722A3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27E16"/>
    <w:rsid w:val="00856CD2"/>
    <w:rsid w:val="00861BC6"/>
    <w:rsid w:val="00871FD5"/>
    <w:rsid w:val="008741DC"/>
    <w:rsid w:val="00875FCF"/>
    <w:rsid w:val="00896CDD"/>
    <w:rsid w:val="008979B1"/>
    <w:rsid w:val="008A6B25"/>
    <w:rsid w:val="008A6C4F"/>
    <w:rsid w:val="008B7D95"/>
    <w:rsid w:val="008C1E4D"/>
    <w:rsid w:val="008C32F7"/>
    <w:rsid w:val="008C3EA7"/>
    <w:rsid w:val="008D1396"/>
    <w:rsid w:val="008D7D5A"/>
    <w:rsid w:val="008E0E46"/>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563C"/>
    <w:rsid w:val="00953956"/>
    <w:rsid w:val="00955917"/>
    <w:rsid w:val="00955A19"/>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23424"/>
    <w:rsid w:val="00A31ADE"/>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A4AA0"/>
    <w:rsid w:val="00AB1F38"/>
    <w:rsid w:val="00AC2000"/>
    <w:rsid w:val="00AD09E9"/>
    <w:rsid w:val="00AD7B29"/>
    <w:rsid w:val="00AF0576"/>
    <w:rsid w:val="00AF3829"/>
    <w:rsid w:val="00AF39C7"/>
    <w:rsid w:val="00B0271C"/>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740"/>
    <w:rsid w:val="00B65CCC"/>
    <w:rsid w:val="00B67F5E"/>
    <w:rsid w:val="00B70275"/>
    <w:rsid w:val="00B73E65"/>
    <w:rsid w:val="00B75057"/>
    <w:rsid w:val="00B81E12"/>
    <w:rsid w:val="00B83435"/>
    <w:rsid w:val="00B849AB"/>
    <w:rsid w:val="00B84EF0"/>
    <w:rsid w:val="00B87110"/>
    <w:rsid w:val="00B90627"/>
    <w:rsid w:val="00B97FA8"/>
    <w:rsid w:val="00BA732B"/>
    <w:rsid w:val="00BB0769"/>
    <w:rsid w:val="00BB2720"/>
    <w:rsid w:val="00BC1385"/>
    <w:rsid w:val="00BC25CA"/>
    <w:rsid w:val="00BC74E9"/>
    <w:rsid w:val="00BE3252"/>
    <w:rsid w:val="00BE58F1"/>
    <w:rsid w:val="00BE618E"/>
    <w:rsid w:val="00C24693"/>
    <w:rsid w:val="00C2509F"/>
    <w:rsid w:val="00C32D5E"/>
    <w:rsid w:val="00C3427B"/>
    <w:rsid w:val="00C35F0B"/>
    <w:rsid w:val="00C36DCD"/>
    <w:rsid w:val="00C463DD"/>
    <w:rsid w:val="00C500EF"/>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D6995"/>
    <w:rsid w:val="00CE0FF5"/>
    <w:rsid w:val="00CE2F46"/>
    <w:rsid w:val="00CE4A8F"/>
    <w:rsid w:val="00CF0214"/>
    <w:rsid w:val="00CF586F"/>
    <w:rsid w:val="00CF6980"/>
    <w:rsid w:val="00CF7D43"/>
    <w:rsid w:val="00D11129"/>
    <w:rsid w:val="00D15A68"/>
    <w:rsid w:val="00D17C76"/>
    <w:rsid w:val="00D2031B"/>
    <w:rsid w:val="00D22332"/>
    <w:rsid w:val="00D226FD"/>
    <w:rsid w:val="00D25FE2"/>
    <w:rsid w:val="00D40094"/>
    <w:rsid w:val="00D411DC"/>
    <w:rsid w:val="00D43252"/>
    <w:rsid w:val="00D4447B"/>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21DE8"/>
    <w:rsid w:val="00E33D04"/>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7A2A"/>
    <w:rsid w:val="00EE7D5F"/>
    <w:rsid w:val="00EF1D7F"/>
    <w:rsid w:val="00EF2FCC"/>
    <w:rsid w:val="00EF5BDB"/>
    <w:rsid w:val="00EF6B11"/>
    <w:rsid w:val="00F00528"/>
    <w:rsid w:val="00F07FD9"/>
    <w:rsid w:val="00F110E1"/>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83A68"/>
    <w:rsid w:val="00F927F0"/>
    <w:rsid w:val="00F9635C"/>
    <w:rsid w:val="00FA4B49"/>
    <w:rsid w:val="00FA7DF3"/>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22E9AA"/>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paragraph" w:styleId="NormalWeb">
    <w:name w:val="Normal (Web)"/>
    <w:basedOn w:val="Normal"/>
    <w:uiPriority w:val="99"/>
    <w:unhideWhenUsed/>
    <w:rsid w:val="004E1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 w:id="17227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BOL/INT_CCPR_FUL_BOL_21297_S.pdf" TargetMode="External"/><Relationship Id="rId2" Type="http://schemas.openxmlformats.org/officeDocument/2006/relationships/hyperlink" Target="https://tbinternet.ohchr.org/Treaties/CCPR/Shared%20Documents/BOL/INT_CCPR_FCO_BOL_22345_S.pdf" TargetMode="External"/><Relationship Id="rId1" Type="http://schemas.openxmlformats.org/officeDocument/2006/relationships/hyperlink" Target="https://www.eda.admin.ch/eda/fr/dfae/politique-exterieure/droit-international-public/traites-internationaux/depositaire/protection-des-victimes-de-la-guerre.html" TargetMode="External"/><Relationship Id="rId6" Type="http://schemas.openxmlformats.org/officeDocument/2006/relationships/hyperlink" Target="https://nhri.ohchr.org/EN/Documents/Status%20Accreditation%20Chart%20%289%20May%202019%29.pdf" TargetMode="External"/><Relationship Id="rId5" Type="http://schemas.openxmlformats.org/officeDocument/2006/relationships/hyperlink" Target="https://tbinternet.ohchr.org/_layouts/treatybodyexternal/Download.aspx?symbolno=CAT%2fOP%2fBOL%2f3%2fAdd.1&amp;Lang=en" TargetMode="External"/><Relationship Id="rId4" Type="http://schemas.openxmlformats.org/officeDocument/2006/relationships/hyperlink" Target="https://tbinternet.ohchr.org/Treaties/CCPR/Shared%20Documents/BOL/INT_CCPR_FUL_BOL_24976_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3B8EDE-9CB9-448A-85E6-5EC750A27857}">
  <ds:schemaRefs>
    <ds:schemaRef ds:uri="http://schemas.openxmlformats.org/officeDocument/2006/bibliography"/>
  </ds:schemaRefs>
</ds:datastoreItem>
</file>

<file path=customXml/itemProps2.xml><?xml version="1.0" encoding="utf-8"?>
<ds:datastoreItem xmlns:ds="http://schemas.openxmlformats.org/officeDocument/2006/customXml" ds:itemID="{556A92BC-9812-4B3E-A668-E004544B678B}"/>
</file>

<file path=customXml/itemProps3.xml><?xml version="1.0" encoding="utf-8"?>
<ds:datastoreItem xmlns:ds="http://schemas.openxmlformats.org/officeDocument/2006/customXml" ds:itemID="{825C3604-EC73-4ED7-8856-B7D8C434521B}"/>
</file>

<file path=customXml/itemProps4.xml><?xml version="1.0" encoding="utf-8"?>
<ds:datastoreItem xmlns:ds="http://schemas.openxmlformats.org/officeDocument/2006/customXml" ds:itemID="{C50A3013-4D85-4543-9371-8E64E9862FF2}"/>
</file>

<file path=docProps/app.xml><?xml version="1.0" encoding="utf-8"?>
<Properties xmlns="http://schemas.openxmlformats.org/officeDocument/2006/extended-properties" xmlns:vt="http://schemas.openxmlformats.org/officeDocument/2006/docPropsVTypes">
  <Template>A_E.dotm</Template>
  <TotalTime>58</TotalTime>
  <Pages>7</Pages>
  <Words>698</Words>
  <Characters>3980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 6_34_BOL_2_Plurinational State of Bolivia_Annex_E</dc:title>
  <dc:creator>Sumiko IHARA</dc:creator>
  <cp:lastModifiedBy>Feyikemi Oyewole</cp:lastModifiedBy>
  <cp:revision>14</cp:revision>
  <cp:lastPrinted>2008-01-29T07:30:00Z</cp:lastPrinted>
  <dcterms:created xsi:type="dcterms:W3CDTF">2019-09-02T14:02:00Z</dcterms:created>
  <dcterms:modified xsi:type="dcterms:W3CDTF">2019-10-01T14:24:00Z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