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2F2EBD" w:rsidRPr="002F2EBD">
        <w:t>Bosnia and Herzegovina</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2F2EBD" w:rsidRPr="002F2EBD">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2F2EBD" w:rsidRPr="002F2EBD">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266FA4" w:rsidRPr="00266FA4" w:rsidRDefault="00266FA4" w:rsidP="00266FA4">
            <w:pPr>
              <w:spacing w:before="40" w:after="120"/>
              <w:ind w:right="113"/>
            </w:pPr>
            <w:r w:rsidRPr="00266FA4">
              <w:t>ICERD (1993)</w:t>
            </w:r>
          </w:p>
          <w:p w:rsidR="00266FA4" w:rsidRPr="00266FA4" w:rsidRDefault="00266FA4" w:rsidP="00266FA4">
            <w:pPr>
              <w:spacing w:before="40" w:after="120"/>
              <w:ind w:right="113"/>
            </w:pPr>
            <w:r w:rsidRPr="00266FA4">
              <w:t>ICESCR (1993)</w:t>
            </w:r>
          </w:p>
          <w:p w:rsidR="00266FA4" w:rsidRPr="00266FA4" w:rsidRDefault="00266FA4" w:rsidP="00266FA4">
            <w:pPr>
              <w:spacing w:before="40" w:after="120"/>
              <w:ind w:right="113"/>
            </w:pPr>
            <w:r w:rsidRPr="00266FA4">
              <w:t>ICCPR (1993)</w:t>
            </w:r>
          </w:p>
          <w:p w:rsidR="00266FA4" w:rsidRPr="00266FA4" w:rsidRDefault="00266FA4" w:rsidP="00266FA4">
            <w:pPr>
              <w:spacing w:before="40" w:after="120"/>
              <w:ind w:right="113"/>
            </w:pPr>
            <w:r w:rsidRPr="00266FA4">
              <w:t>ICCPR-OP 2 (2001)</w:t>
            </w:r>
          </w:p>
          <w:p w:rsidR="00266FA4" w:rsidRPr="00266FA4" w:rsidRDefault="00266FA4" w:rsidP="00266FA4">
            <w:pPr>
              <w:spacing w:before="40" w:after="120"/>
              <w:ind w:right="113"/>
            </w:pPr>
            <w:r w:rsidRPr="00266FA4">
              <w:t>CEDAW (1993)</w:t>
            </w:r>
          </w:p>
          <w:p w:rsidR="00266FA4" w:rsidRPr="00266FA4" w:rsidRDefault="00266FA4" w:rsidP="00266FA4">
            <w:pPr>
              <w:spacing w:before="40" w:after="120"/>
              <w:ind w:right="113"/>
            </w:pPr>
            <w:r w:rsidRPr="00266FA4">
              <w:t>CAT (1993)</w:t>
            </w:r>
          </w:p>
          <w:p w:rsidR="00266FA4" w:rsidRPr="00266FA4" w:rsidRDefault="00266FA4" w:rsidP="00266FA4">
            <w:pPr>
              <w:spacing w:before="40" w:after="120"/>
              <w:ind w:right="113"/>
            </w:pPr>
            <w:r w:rsidRPr="00266FA4">
              <w:t>OP-CAT (2008)</w:t>
            </w:r>
          </w:p>
          <w:p w:rsidR="00266FA4" w:rsidRPr="00266FA4" w:rsidRDefault="00266FA4" w:rsidP="00266FA4">
            <w:pPr>
              <w:spacing w:before="40" w:after="120"/>
              <w:ind w:right="113"/>
            </w:pPr>
            <w:r w:rsidRPr="00266FA4">
              <w:t>CRC (1993)</w:t>
            </w:r>
          </w:p>
          <w:p w:rsidR="00521F07" w:rsidRDefault="00266FA4" w:rsidP="00266FA4">
            <w:pPr>
              <w:spacing w:before="40" w:after="120"/>
              <w:ind w:right="113"/>
            </w:pPr>
            <w:r w:rsidRPr="00266FA4">
              <w:t>OP-CRC-AC (2003)</w:t>
            </w:r>
          </w:p>
          <w:p w:rsidR="00266FA4" w:rsidRPr="00266FA4" w:rsidRDefault="00266FA4" w:rsidP="00266FA4">
            <w:pPr>
              <w:spacing w:before="40" w:after="120"/>
              <w:ind w:right="113"/>
            </w:pPr>
            <w:r w:rsidRPr="00266FA4">
              <w:t>OP-CRC-SC (2002)</w:t>
            </w:r>
          </w:p>
          <w:p w:rsidR="00266FA4" w:rsidRPr="00266FA4" w:rsidRDefault="00266FA4" w:rsidP="00266FA4">
            <w:pPr>
              <w:spacing w:before="40" w:after="120"/>
              <w:ind w:right="113"/>
            </w:pPr>
            <w:r w:rsidRPr="00266FA4">
              <w:t>ICRMW (1996)</w:t>
            </w:r>
          </w:p>
          <w:p w:rsidR="00266FA4" w:rsidRPr="00266FA4" w:rsidRDefault="00266FA4" w:rsidP="00266FA4">
            <w:pPr>
              <w:spacing w:before="40" w:after="120"/>
              <w:ind w:right="113"/>
            </w:pPr>
            <w:r w:rsidRPr="00266FA4">
              <w:t>CRPD (2010)</w:t>
            </w:r>
          </w:p>
          <w:p w:rsidR="00266FA4" w:rsidRPr="00A02BFB" w:rsidRDefault="00266FA4" w:rsidP="00266FA4">
            <w:pPr>
              <w:spacing w:before="40" w:after="120"/>
              <w:ind w:right="113"/>
            </w:pPr>
            <w:r w:rsidRPr="00266FA4">
              <w:t>ICPPED (2012)</w:t>
            </w:r>
          </w:p>
        </w:tc>
        <w:tc>
          <w:tcPr>
            <w:tcW w:w="2409" w:type="dxa"/>
            <w:shd w:val="clear" w:color="auto" w:fill="auto"/>
          </w:tcPr>
          <w:p w:rsidR="00A02BFB" w:rsidRPr="00A02BFB" w:rsidRDefault="00A02BFB" w:rsidP="00A4314D">
            <w:pPr>
              <w:spacing w:before="40" w:after="120"/>
              <w:ind w:right="113"/>
            </w:pPr>
          </w:p>
        </w:tc>
        <w:tc>
          <w:tcPr>
            <w:tcW w:w="2410" w:type="dxa"/>
            <w:shd w:val="clear" w:color="auto" w:fill="auto"/>
          </w:tcPr>
          <w:p w:rsidR="00A02BFB" w:rsidRPr="00A02BFB" w:rsidRDefault="00A02BFB" w:rsidP="00CE0FF5">
            <w:pPr>
              <w:spacing w:before="40" w:after="120"/>
              <w:ind w:right="113"/>
            </w:pPr>
          </w:p>
        </w:tc>
      </w:tr>
      <w:tr w:rsidR="00A02BFB" w:rsidRPr="00A02BFB" w:rsidTr="0028001D">
        <w:tc>
          <w:tcPr>
            <w:tcW w:w="2410" w:type="dxa"/>
            <w:tcBorders>
              <w:bottom w:val="single" w:sz="12" w:space="0" w:color="auto"/>
            </w:tcBorders>
            <w:shd w:val="clear" w:color="auto" w:fill="auto"/>
          </w:tcPr>
          <w:p w:rsidR="00A02BFB" w:rsidRPr="00A02BFB" w:rsidRDefault="00A4314D" w:rsidP="00266FA4">
            <w:pPr>
              <w:spacing w:before="40" w:after="120"/>
              <w:ind w:right="113"/>
            </w:pPr>
            <w:r w:rsidRPr="00A4314D">
              <w:rPr>
                <w:i/>
              </w:rPr>
              <w:t xml:space="preserve">Complaints procedures, inquiries and </w:t>
            </w:r>
            <w:r w:rsidRPr="00A4314D">
              <w:rPr>
                <w:i/>
              </w:rPr>
              <w:br/>
              <w:t>urgent action</w:t>
            </w:r>
            <w:r w:rsidR="00266FA4" w:rsidRPr="00266FA4">
              <w:rPr>
                <w:rStyle w:val="EndnoteReference"/>
              </w:rPr>
              <w:endnoteReference w:id="4"/>
            </w:r>
          </w:p>
        </w:tc>
        <w:tc>
          <w:tcPr>
            <w:tcW w:w="2408" w:type="dxa"/>
            <w:tcBorders>
              <w:bottom w:val="single" w:sz="12" w:space="0" w:color="auto"/>
            </w:tcBorders>
            <w:shd w:val="clear" w:color="auto" w:fill="auto"/>
          </w:tcPr>
          <w:p w:rsidR="00266FA4" w:rsidRPr="00266FA4" w:rsidRDefault="00266FA4" w:rsidP="00266FA4">
            <w:pPr>
              <w:spacing w:before="40" w:after="120"/>
              <w:ind w:right="113"/>
            </w:pPr>
            <w:r w:rsidRPr="00266FA4">
              <w:t>OP-ICESCR (2012)</w:t>
            </w:r>
          </w:p>
          <w:p w:rsidR="00266FA4" w:rsidRPr="00266FA4" w:rsidRDefault="00266FA4" w:rsidP="00266FA4">
            <w:pPr>
              <w:spacing w:before="40" w:after="120"/>
              <w:ind w:right="113"/>
            </w:pPr>
            <w:r w:rsidRPr="00266FA4">
              <w:t>ICCPR, art. 41 (1993)</w:t>
            </w:r>
          </w:p>
          <w:p w:rsidR="00266FA4" w:rsidRPr="00266FA4" w:rsidRDefault="00266FA4" w:rsidP="00266FA4">
            <w:pPr>
              <w:spacing w:before="40" w:after="120"/>
              <w:ind w:right="113"/>
            </w:pPr>
            <w:r w:rsidRPr="00266FA4">
              <w:t>ICCPR-OP 1 (1995)</w:t>
            </w:r>
          </w:p>
          <w:p w:rsidR="00266FA4" w:rsidRPr="00266FA4" w:rsidRDefault="00266FA4" w:rsidP="00266FA4">
            <w:pPr>
              <w:spacing w:before="40" w:after="120"/>
              <w:ind w:right="113"/>
            </w:pPr>
            <w:r w:rsidRPr="00266FA4">
              <w:t>OP-CEDAW, art. 8 (2002)</w:t>
            </w:r>
          </w:p>
          <w:p w:rsidR="00266FA4" w:rsidRPr="00266FA4" w:rsidRDefault="00266FA4" w:rsidP="00266FA4">
            <w:pPr>
              <w:spacing w:before="40" w:after="120"/>
              <w:ind w:right="113"/>
            </w:pPr>
            <w:r w:rsidRPr="00266FA4">
              <w:t>CAT, arts. 20 (1993) and 22 (2003)</w:t>
            </w:r>
          </w:p>
          <w:p w:rsidR="00266FA4" w:rsidRPr="00266FA4" w:rsidRDefault="00266FA4" w:rsidP="00266FA4">
            <w:pPr>
              <w:spacing w:before="40" w:after="120"/>
              <w:ind w:right="113"/>
            </w:pPr>
            <w:r w:rsidRPr="00266FA4">
              <w:t>OP-CRPD, art. 6 (2010)</w:t>
            </w:r>
          </w:p>
          <w:p w:rsidR="00A02BFB" w:rsidRPr="00A02BFB" w:rsidRDefault="00266FA4" w:rsidP="00266FA4">
            <w:pPr>
              <w:spacing w:before="40" w:after="120"/>
              <w:ind w:right="113"/>
            </w:pPr>
            <w:r w:rsidRPr="00266FA4">
              <w:t>ICPPED, arts. 31 and 32 (2012)</w:t>
            </w:r>
          </w:p>
        </w:tc>
        <w:tc>
          <w:tcPr>
            <w:tcW w:w="2409" w:type="dxa"/>
            <w:tcBorders>
              <w:bottom w:val="single" w:sz="12" w:space="0" w:color="auto"/>
            </w:tcBorders>
            <w:shd w:val="clear" w:color="auto" w:fill="auto"/>
          </w:tcPr>
          <w:p w:rsidR="00A02BFB" w:rsidRPr="00A02BFB" w:rsidRDefault="00266FA4" w:rsidP="0028001D">
            <w:pPr>
              <w:spacing w:before="40" w:after="120"/>
              <w:ind w:right="113"/>
            </w:pPr>
            <w:r w:rsidRPr="00266FA4">
              <w:t>OP-CRC-IC, art. 13 (2018)</w:t>
            </w:r>
          </w:p>
        </w:tc>
        <w:tc>
          <w:tcPr>
            <w:tcW w:w="2410" w:type="dxa"/>
            <w:tcBorders>
              <w:bottom w:val="single" w:sz="12" w:space="0" w:color="auto"/>
            </w:tcBorders>
            <w:shd w:val="clear" w:color="auto" w:fill="auto"/>
          </w:tcPr>
          <w:p w:rsidR="00266FA4" w:rsidRPr="00266FA4" w:rsidRDefault="00266FA4" w:rsidP="00266FA4">
            <w:pPr>
              <w:spacing w:before="40" w:after="120"/>
              <w:ind w:right="113"/>
            </w:pPr>
            <w:r w:rsidRPr="00266FA4">
              <w:t>ICERD, art. 14</w:t>
            </w:r>
          </w:p>
          <w:p w:rsidR="00266FA4" w:rsidRPr="00266FA4" w:rsidRDefault="00266FA4" w:rsidP="00266FA4">
            <w:pPr>
              <w:spacing w:before="40" w:after="120"/>
              <w:ind w:right="113"/>
            </w:pPr>
            <w:r w:rsidRPr="00266FA4">
              <w:t>OP-ICESCR, arts. 10 and 11</w:t>
            </w:r>
          </w:p>
          <w:p w:rsidR="00266FA4" w:rsidRPr="00266FA4" w:rsidRDefault="00266FA4" w:rsidP="00266FA4">
            <w:pPr>
              <w:spacing w:before="40" w:after="120"/>
              <w:ind w:right="113"/>
            </w:pPr>
            <w:r w:rsidRPr="00266FA4">
              <w:t>CAT, art. 21</w:t>
            </w:r>
          </w:p>
          <w:p w:rsidR="00266FA4" w:rsidRPr="00266FA4" w:rsidRDefault="00266FA4" w:rsidP="00266FA4">
            <w:pPr>
              <w:spacing w:before="40" w:after="120"/>
              <w:ind w:right="113"/>
            </w:pPr>
            <w:r w:rsidRPr="00266FA4">
              <w:t>OP-CRC-IC, art. 12</w:t>
            </w:r>
          </w:p>
          <w:p w:rsidR="00A02BFB" w:rsidRPr="00A02BFB" w:rsidRDefault="00266FA4" w:rsidP="00266FA4">
            <w:pPr>
              <w:spacing w:before="40" w:after="120"/>
              <w:ind w:right="113"/>
            </w:pPr>
            <w:r w:rsidRPr="00266FA4">
              <w:t>ICRMW, arts. 76 and 77</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011AE0" w:rsidP="0028001D">
            <w:pPr>
              <w:spacing w:before="40" w:after="120"/>
              <w:ind w:right="113"/>
            </w:pPr>
            <w:r w:rsidRPr="00011AE0">
              <w:t>OP-CAT (Declaration, art. 24, 2012)</w:t>
            </w:r>
          </w:p>
        </w:tc>
        <w:tc>
          <w:tcPr>
            <w:tcW w:w="2409" w:type="dxa"/>
            <w:shd w:val="clear" w:color="auto" w:fill="auto"/>
          </w:tcPr>
          <w:p w:rsidR="00517888" w:rsidRDefault="00011AE0" w:rsidP="0028001D">
            <w:pPr>
              <w:spacing w:before="40" w:after="120"/>
              <w:ind w:right="113"/>
            </w:pPr>
            <w:r>
              <w:t>--</w:t>
            </w:r>
          </w:p>
        </w:tc>
        <w:tc>
          <w:tcPr>
            <w:tcW w:w="2410" w:type="dxa"/>
            <w:shd w:val="clear" w:color="auto" w:fill="auto"/>
          </w:tcPr>
          <w:p w:rsidR="00517888" w:rsidRPr="0028001D" w:rsidRDefault="00011AE0" w:rsidP="0028001D">
            <w:pPr>
              <w:spacing w:before="40" w:after="120"/>
              <w:ind w:right="113"/>
              <w:rPr>
                <w:lang w:val="es-ES"/>
              </w:rPr>
            </w:pPr>
            <w:r w:rsidRPr="00011AE0">
              <w:t>OP-CAT (Declaration, art. 24)</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011AE0" w:rsidP="0028001D">
            <w:pPr>
              <w:spacing w:before="40" w:after="120"/>
              <w:ind w:right="113"/>
            </w:pPr>
            <w:r w:rsidRPr="00011AE0">
              <w:t>OP-CRC-AC (Declaration, art. 3.2, minimum age of recruitment 18 years, 2003)</w:t>
            </w:r>
          </w:p>
        </w:tc>
        <w:tc>
          <w:tcPr>
            <w:tcW w:w="2409" w:type="dxa"/>
            <w:tcBorders>
              <w:bottom w:val="single" w:sz="12" w:space="0" w:color="auto"/>
            </w:tcBorders>
            <w:shd w:val="clear" w:color="auto" w:fill="auto"/>
          </w:tcPr>
          <w:p w:rsidR="0066149A" w:rsidRDefault="00011AE0" w:rsidP="0028001D">
            <w:pPr>
              <w:spacing w:before="40" w:after="120"/>
              <w:ind w:right="113"/>
            </w:pPr>
            <w:r>
              <w:t>--</w:t>
            </w:r>
          </w:p>
        </w:tc>
        <w:tc>
          <w:tcPr>
            <w:tcW w:w="2410" w:type="dxa"/>
            <w:tcBorders>
              <w:bottom w:val="single" w:sz="12" w:space="0" w:color="auto"/>
            </w:tcBorders>
            <w:shd w:val="clear" w:color="auto" w:fill="auto"/>
          </w:tcPr>
          <w:p w:rsidR="0066149A" w:rsidRPr="0066149A" w:rsidRDefault="00011AE0" w:rsidP="0028001D">
            <w:pPr>
              <w:spacing w:before="40" w:after="120"/>
              <w:ind w:right="113"/>
            </w:pPr>
            <w:r w:rsidRPr="00011AE0">
              <w:t>OP-CRC-AC (Declaration, art. 3.2, minimum age of recruitment 18 years)</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84383A" w:rsidP="0028001D">
            <w:pPr>
              <w:spacing w:before="40" w:after="120"/>
              <w:ind w:right="113"/>
              <w:rPr>
                <w:highlight w:val="yellow"/>
              </w:rPr>
            </w:pPr>
            <w:r w:rsidRPr="0084383A">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84383A" w:rsidP="0028001D">
            <w:pPr>
              <w:spacing w:before="40" w:after="120"/>
              <w:ind w:right="113"/>
            </w:pPr>
            <w:r w:rsidRPr="0084383A">
              <w:t>Geneva Conventions of 12 August 1949 and Additional Protocols thereto</w:t>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84383A" w:rsidRPr="0084383A" w:rsidRDefault="0084383A" w:rsidP="0084383A">
            <w:pPr>
              <w:ind w:right="113"/>
            </w:pPr>
            <w:r w:rsidRPr="0084383A">
              <w:t>Additional Protocol</w:t>
            </w:r>
          </w:p>
          <w:p w:rsidR="0084383A" w:rsidRPr="0084383A" w:rsidRDefault="0084383A" w:rsidP="0084383A">
            <w:pPr>
              <w:ind w:right="113"/>
            </w:pPr>
            <w:r w:rsidRPr="0084383A">
              <w:t>III to the 1949 Geneva</w:t>
            </w:r>
          </w:p>
          <w:p w:rsidR="00A02BFB" w:rsidRPr="00A02BFB" w:rsidRDefault="0084383A" w:rsidP="00B01CDB">
            <w:pPr>
              <w:ind w:right="113"/>
            </w:pPr>
            <w:r w:rsidRPr="0084383A">
              <w:t>Conventions</w:t>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84383A" w:rsidP="0028001D">
            <w:pPr>
              <w:spacing w:before="40" w:after="120"/>
              <w:ind w:right="113"/>
            </w:pPr>
            <w:r w:rsidRPr="0084383A">
              <w:t>Rome Statute of the International Criminal Court</w:t>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84383A" w:rsidP="0028001D">
            <w:pPr>
              <w:spacing w:before="40" w:after="120"/>
              <w:ind w:right="113"/>
            </w:pPr>
            <w:r w:rsidRPr="0084383A">
              <w:t>Conventions on refugees and stateless persons</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84383A" w:rsidP="0028001D">
            <w:pPr>
              <w:spacing w:before="40" w:after="120"/>
              <w:ind w:right="113"/>
            </w:pPr>
            <w:r w:rsidRPr="0084383A">
              <w:t>Palermo Protocol</w:t>
            </w:r>
            <w:r w:rsidRPr="0084383A">
              <w:rPr>
                <w:rStyle w:val="EndnoteReference"/>
              </w:rPr>
              <w:endnoteReference w:id="5"/>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72466E" w:rsidP="0028001D">
            <w:pPr>
              <w:spacing w:before="40" w:after="120"/>
              <w:ind w:right="113"/>
            </w:pPr>
          </w:p>
        </w:tc>
        <w:tc>
          <w:tcPr>
            <w:tcW w:w="2409" w:type="dxa"/>
            <w:shd w:val="clear" w:color="auto" w:fill="auto"/>
          </w:tcPr>
          <w:p w:rsidR="00B34871" w:rsidRPr="007642AD" w:rsidRDefault="0084383A" w:rsidP="0028001D">
            <w:pPr>
              <w:spacing w:before="40" w:after="120"/>
              <w:ind w:right="113"/>
              <w:rPr>
                <w:lang w:val="es-ES"/>
              </w:rPr>
            </w:pPr>
            <w:r w:rsidRPr="0084383A">
              <w:t>ILO fundamental Conventions</w:t>
            </w:r>
          </w:p>
        </w:tc>
        <w:tc>
          <w:tcPr>
            <w:tcW w:w="2409" w:type="dxa"/>
            <w:shd w:val="clear" w:color="auto" w:fill="auto"/>
          </w:tcPr>
          <w:p w:rsidR="00B34871" w:rsidRDefault="0072466E" w:rsidP="0028001D">
            <w:pPr>
              <w:spacing w:before="40" w:after="120"/>
              <w:ind w:right="113"/>
            </w:pPr>
          </w:p>
        </w:tc>
        <w:tc>
          <w:tcPr>
            <w:tcW w:w="2410" w:type="dxa"/>
            <w:shd w:val="clear" w:color="auto" w:fill="auto"/>
          </w:tcPr>
          <w:p w:rsidR="00B34871" w:rsidRDefault="0072466E" w:rsidP="0028001D">
            <w:pPr>
              <w:spacing w:before="40" w:after="120"/>
              <w:ind w:right="113"/>
            </w:pPr>
          </w:p>
        </w:tc>
      </w:tr>
      <w:tr w:rsidR="0084383A" w:rsidRPr="00A02BFB" w:rsidTr="002E5BE3">
        <w:tc>
          <w:tcPr>
            <w:tcW w:w="2409" w:type="dxa"/>
            <w:shd w:val="clear" w:color="auto" w:fill="auto"/>
          </w:tcPr>
          <w:p w:rsidR="0084383A" w:rsidRPr="00A02BFB" w:rsidRDefault="0084383A" w:rsidP="0028001D">
            <w:pPr>
              <w:spacing w:before="40" w:after="120"/>
              <w:ind w:right="113"/>
            </w:pPr>
          </w:p>
        </w:tc>
        <w:tc>
          <w:tcPr>
            <w:tcW w:w="2409" w:type="dxa"/>
            <w:shd w:val="clear" w:color="auto" w:fill="auto"/>
          </w:tcPr>
          <w:p w:rsidR="0084383A" w:rsidRPr="007642AD" w:rsidRDefault="0084383A" w:rsidP="0028001D">
            <w:pPr>
              <w:spacing w:before="40" w:after="120"/>
              <w:ind w:right="113"/>
              <w:rPr>
                <w:lang w:val="es-ES"/>
              </w:rPr>
            </w:pPr>
            <w:r w:rsidRPr="0084383A">
              <w:t>ILO Conventions Nos. 169 and 189</w:t>
            </w:r>
          </w:p>
        </w:tc>
        <w:tc>
          <w:tcPr>
            <w:tcW w:w="2409" w:type="dxa"/>
            <w:shd w:val="clear" w:color="auto" w:fill="auto"/>
          </w:tcPr>
          <w:p w:rsidR="0084383A" w:rsidRDefault="0084383A" w:rsidP="0028001D">
            <w:pPr>
              <w:spacing w:before="40" w:after="120"/>
              <w:ind w:right="113"/>
            </w:pPr>
          </w:p>
        </w:tc>
        <w:tc>
          <w:tcPr>
            <w:tcW w:w="2410" w:type="dxa"/>
            <w:shd w:val="clear" w:color="auto" w:fill="auto"/>
          </w:tcPr>
          <w:p w:rsidR="0084383A" w:rsidRDefault="0084383A" w:rsidP="0028001D">
            <w:pPr>
              <w:spacing w:before="40" w:after="120"/>
              <w:ind w:right="113"/>
            </w:pP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84383A" w:rsidP="0028001D">
            <w:pPr>
              <w:spacing w:before="40" w:after="120"/>
              <w:ind w:right="113"/>
              <w:rPr>
                <w:lang w:val="es-ES"/>
              </w:rPr>
            </w:pPr>
            <w:r w:rsidRPr="0084383A">
              <w:t>Convention against Discrimination in Education</w:t>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615804" w:rsidRPr="00615804">
        <w:rPr>
          <w:rStyle w:val="EndnoteReference"/>
          <w:b w:val="0"/>
        </w:rPr>
        <w:endnoteReference w:id="6"/>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F6980" w:rsidP="0028001D">
            <w:pPr>
              <w:spacing w:before="40" w:after="120"/>
              <w:ind w:right="113"/>
            </w:pPr>
            <w:r>
              <w:t>CERD</w:t>
            </w:r>
          </w:p>
        </w:tc>
        <w:tc>
          <w:tcPr>
            <w:tcW w:w="1928" w:type="dxa"/>
            <w:shd w:val="clear" w:color="auto" w:fill="auto"/>
          </w:tcPr>
          <w:p w:rsidR="00A02BFB" w:rsidRPr="00A02BFB" w:rsidRDefault="00615804" w:rsidP="0028001D">
            <w:pPr>
              <w:spacing w:before="40" w:after="120"/>
              <w:ind w:right="113"/>
            </w:pPr>
            <w:r>
              <w:t>August 2010</w:t>
            </w:r>
          </w:p>
        </w:tc>
        <w:tc>
          <w:tcPr>
            <w:tcW w:w="1927" w:type="dxa"/>
            <w:shd w:val="clear" w:color="auto" w:fill="auto"/>
          </w:tcPr>
          <w:p w:rsidR="00A02BFB" w:rsidRPr="00A02BFB" w:rsidRDefault="00615804" w:rsidP="0028001D">
            <w:pPr>
              <w:spacing w:before="40" w:after="120"/>
              <w:ind w:right="113"/>
            </w:pPr>
            <w:r>
              <w:t>2013/2017</w:t>
            </w:r>
          </w:p>
        </w:tc>
        <w:tc>
          <w:tcPr>
            <w:tcW w:w="1927" w:type="dxa"/>
            <w:shd w:val="clear" w:color="auto" w:fill="auto"/>
          </w:tcPr>
          <w:p w:rsidR="00A02BFB" w:rsidRPr="00A02BFB" w:rsidRDefault="00615804" w:rsidP="0028001D">
            <w:pPr>
              <w:spacing w:before="40" w:after="120"/>
              <w:ind w:right="113"/>
            </w:pPr>
            <w:r>
              <w:t>May 2015 / August 2018</w:t>
            </w:r>
          </w:p>
        </w:tc>
        <w:tc>
          <w:tcPr>
            <w:tcW w:w="1927" w:type="dxa"/>
            <w:shd w:val="clear" w:color="auto" w:fill="auto"/>
          </w:tcPr>
          <w:p w:rsidR="00A02BFB" w:rsidRPr="00A02BFB" w:rsidRDefault="00615804" w:rsidP="0028001D">
            <w:pPr>
              <w:spacing w:before="40" w:after="120"/>
              <w:ind w:right="113"/>
            </w:pPr>
            <w:r>
              <w:t>Fourteenth and fifteenth reports due in 2021.</w:t>
            </w:r>
          </w:p>
        </w:tc>
      </w:tr>
      <w:tr w:rsidR="00FD242A" w:rsidRPr="00A02BFB" w:rsidTr="0028001D">
        <w:tc>
          <w:tcPr>
            <w:tcW w:w="1928" w:type="dxa"/>
            <w:shd w:val="clear" w:color="auto" w:fill="auto"/>
          </w:tcPr>
          <w:p w:rsidR="00A02BFB" w:rsidRPr="00A02BFB" w:rsidRDefault="00CF6980" w:rsidP="0028001D">
            <w:pPr>
              <w:spacing w:before="40" w:after="120"/>
              <w:ind w:right="113"/>
            </w:pPr>
            <w:r>
              <w:t>CESCR</w:t>
            </w:r>
          </w:p>
        </w:tc>
        <w:tc>
          <w:tcPr>
            <w:tcW w:w="1928" w:type="dxa"/>
            <w:shd w:val="clear" w:color="auto" w:fill="auto"/>
          </w:tcPr>
          <w:p w:rsidR="00A02BFB" w:rsidRPr="00A02BFB" w:rsidRDefault="00615804" w:rsidP="0028001D">
            <w:pPr>
              <w:spacing w:before="40" w:after="120"/>
              <w:ind w:right="113"/>
            </w:pPr>
            <w:r>
              <w:t>November 2013</w:t>
            </w:r>
          </w:p>
        </w:tc>
        <w:tc>
          <w:tcPr>
            <w:tcW w:w="1927" w:type="dxa"/>
            <w:shd w:val="clear" w:color="auto" w:fill="auto"/>
          </w:tcPr>
          <w:p w:rsidR="00A02BFB" w:rsidRPr="00A02BFB" w:rsidRDefault="00615804" w:rsidP="0028001D">
            <w:pPr>
              <w:spacing w:before="40" w:after="120"/>
              <w:ind w:right="113"/>
            </w:pPr>
            <w:r>
              <w:t>2019</w:t>
            </w:r>
          </w:p>
        </w:tc>
        <w:tc>
          <w:tcPr>
            <w:tcW w:w="1927" w:type="dxa"/>
            <w:shd w:val="clear" w:color="auto" w:fill="auto"/>
          </w:tcPr>
          <w:p w:rsidR="00A02BFB" w:rsidRPr="00A02BFB" w:rsidRDefault="00615804" w:rsidP="0028001D">
            <w:pPr>
              <w:spacing w:before="40" w:after="120"/>
              <w:ind w:right="113"/>
            </w:pPr>
            <w:r>
              <w:t>--</w:t>
            </w:r>
          </w:p>
        </w:tc>
        <w:tc>
          <w:tcPr>
            <w:tcW w:w="1927" w:type="dxa"/>
            <w:shd w:val="clear" w:color="auto" w:fill="auto"/>
          </w:tcPr>
          <w:p w:rsidR="00A02BFB" w:rsidRPr="00A02BFB" w:rsidRDefault="00615804" w:rsidP="0028001D">
            <w:pPr>
              <w:spacing w:before="40" w:after="120"/>
              <w:ind w:right="113"/>
            </w:pPr>
            <w:r>
              <w:t>Third report pending consideration in 2020</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615804" w:rsidP="0028001D">
            <w:pPr>
              <w:spacing w:before="40" w:after="120"/>
              <w:ind w:right="113"/>
            </w:pPr>
            <w:r>
              <w:t>October 2012</w:t>
            </w:r>
          </w:p>
        </w:tc>
        <w:tc>
          <w:tcPr>
            <w:tcW w:w="1927" w:type="dxa"/>
            <w:shd w:val="clear" w:color="auto" w:fill="auto"/>
          </w:tcPr>
          <w:p w:rsidR="00A02BFB" w:rsidRPr="00A02BFB" w:rsidRDefault="00615804" w:rsidP="0028001D">
            <w:pPr>
              <w:spacing w:before="40" w:after="120"/>
              <w:ind w:right="113"/>
            </w:pPr>
            <w:r>
              <w:t>2016</w:t>
            </w:r>
          </w:p>
        </w:tc>
        <w:tc>
          <w:tcPr>
            <w:tcW w:w="1927" w:type="dxa"/>
            <w:shd w:val="clear" w:color="auto" w:fill="auto"/>
          </w:tcPr>
          <w:p w:rsidR="00A02BFB" w:rsidRPr="00A02BFB" w:rsidRDefault="00615804" w:rsidP="0028001D">
            <w:pPr>
              <w:spacing w:before="40" w:after="120"/>
              <w:ind w:right="113"/>
            </w:pPr>
            <w:r>
              <w:t>March 2017</w:t>
            </w:r>
          </w:p>
        </w:tc>
        <w:tc>
          <w:tcPr>
            <w:tcW w:w="1927" w:type="dxa"/>
            <w:shd w:val="clear" w:color="auto" w:fill="auto"/>
          </w:tcPr>
          <w:p w:rsidR="00A02BFB" w:rsidRPr="00A02BFB" w:rsidRDefault="00615804" w:rsidP="0028001D">
            <w:pPr>
              <w:spacing w:before="40" w:after="120"/>
              <w:ind w:right="113"/>
            </w:pPr>
            <w:r>
              <w:t>Fourth report due in 2022.</w:t>
            </w:r>
          </w:p>
        </w:tc>
      </w:tr>
      <w:tr w:rsidR="00FD242A" w:rsidRPr="00A02BFB" w:rsidTr="0028001D">
        <w:tc>
          <w:tcPr>
            <w:tcW w:w="1928" w:type="dxa"/>
            <w:shd w:val="clear" w:color="auto" w:fill="auto"/>
          </w:tcPr>
          <w:p w:rsidR="00A02BFB" w:rsidRPr="00A02BFB" w:rsidRDefault="00CF6980" w:rsidP="0028001D">
            <w:pPr>
              <w:spacing w:before="40" w:after="120"/>
              <w:ind w:right="113"/>
            </w:pPr>
            <w:r>
              <w:t>CEDAW</w:t>
            </w:r>
          </w:p>
        </w:tc>
        <w:tc>
          <w:tcPr>
            <w:tcW w:w="1928" w:type="dxa"/>
            <w:shd w:val="clear" w:color="auto" w:fill="auto"/>
          </w:tcPr>
          <w:p w:rsidR="00A02BFB" w:rsidRPr="00A02BFB" w:rsidRDefault="00615804" w:rsidP="0028001D">
            <w:pPr>
              <w:spacing w:before="40" w:after="120"/>
              <w:ind w:right="113"/>
            </w:pPr>
            <w:r>
              <w:t>July 2013</w:t>
            </w:r>
          </w:p>
        </w:tc>
        <w:tc>
          <w:tcPr>
            <w:tcW w:w="1927" w:type="dxa"/>
            <w:shd w:val="clear" w:color="auto" w:fill="auto"/>
          </w:tcPr>
          <w:p w:rsidR="00A02BFB" w:rsidRPr="00A02BFB" w:rsidRDefault="00615804" w:rsidP="0028001D">
            <w:pPr>
              <w:spacing w:before="40" w:after="120"/>
              <w:ind w:right="113"/>
            </w:pPr>
            <w:r>
              <w:t>2018</w:t>
            </w:r>
          </w:p>
        </w:tc>
        <w:tc>
          <w:tcPr>
            <w:tcW w:w="1927" w:type="dxa"/>
            <w:shd w:val="clear" w:color="auto" w:fill="auto"/>
          </w:tcPr>
          <w:p w:rsidR="00A02BFB" w:rsidRPr="00A02BFB" w:rsidRDefault="00F354BF" w:rsidP="0028001D">
            <w:pPr>
              <w:spacing w:before="40" w:after="120"/>
              <w:ind w:right="113"/>
            </w:pPr>
            <w:r>
              <w:t>--</w:t>
            </w:r>
          </w:p>
        </w:tc>
        <w:tc>
          <w:tcPr>
            <w:tcW w:w="1927" w:type="dxa"/>
            <w:shd w:val="clear" w:color="auto" w:fill="auto"/>
          </w:tcPr>
          <w:p w:rsidR="00A02BFB" w:rsidRPr="00A02BFB" w:rsidRDefault="00615804" w:rsidP="0028001D">
            <w:pPr>
              <w:spacing w:before="40" w:after="120"/>
              <w:ind w:right="113"/>
            </w:pPr>
            <w:r>
              <w:t>Sixth report pending consideration in November 2019.</w:t>
            </w:r>
          </w:p>
        </w:tc>
      </w:tr>
      <w:tr w:rsidR="00FD242A" w:rsidRPr="00A02BFB" w:rsidTr="0028001D">
        <w:tc>
          <w:tcPr>
            <w:tcW w:w="1928" w:type="dxa"/>
            <w:shd w:val="clear" w:color="auto" w:fill="auto"/>
          </w:tcPr>
          <w:p w:rsidR="00A02BFB" w:rsidRPr="00A02BFB" w:rsidRDefault="00CF6980" w:rsidP="0028001D">
            <w:pPr>
              <w:spacing w:before="40" w:after="120"/>
              <w:ind w:right="113"/>
            </w:pPr>
            <w:r>
              <w:t>CAT</w:t>
            </w:r>
          </w:p>
        </w:tc>
        <w:tc>
          <w:tcPr>
            <w:tcW w:w="1928" w:type="dxa"/>
            <w:shd w:val="clear" w:color="auto" w:fill="auto"/>
          </w:tcPr>
          <w:p w:rsidR="00A02BFB" w:rsidRPr="00A02BFB" w:rsidRDefault="00615804" w:rsidP="0060015D">
            <w:pPr>
              <w:spacing w:before="40" w:after="120"/>
              <w:ind w:right="113"/>
            </w:pPr>
            <w:r>
              <w:t>November 2010</w:t>
            </w:r>
          </w:p>
        </w:tc>
        <w:tc>
          <w:tcPr>
            <w:tcW w:w="1927" w:type="dxa"/>
            <w:shd w:val="clear" w:color="auto" w:fill="auto"/>
          </w:tcPr>
          <w:p w:rsidR="00A02BFB" w:rsidRPr="00A02BFB" w:rsidRDefault="00615804" w:rsidP="0028001D">
            <w:pPr>
              <w:spacing w:before="40" w:after="120"/>
              <w:ind w:right="113"/>
            </w:pPr>
            <w:r>
              <w:t>2016</w:t>
            </w:r>
          </w:p>
        </w:tc>
        <w:tc>
          <w:tcPr>
            <w:tcW w:w="1927" w:type="dxa"/>
            <w:shd w:val="clear" w:color="auto" w:fill="auto"/>
          </w:tcPr>
          <w:p w:rsidR="00A02BFB" w:rsidRPr="00A02BFB" w:rsidRDefault="00615804" w:rsidP="0028001D">
            <w:pPr>
              <w:spacing w:before="40" w:after="120"/>
              <w:ind w:right="113"/>
            </w:pPr>
            <w:r>
              <w:t>November 2017</w:t>
            </w:r>
          </w:p>
        </w:tc>
        <w:tc>
          <w:tcPr>
            <w:tcW w:w="1927" w:type="dxa"/>
            <w:shd w:val="clear" w:color="auto" w:fill="auto"/>
          </w:tcPr>
          <w:p w:rsidR="00A02BFB" w:rsidRPr="00A02BFB" w:rsidRDefault="00615804" w:rsidP="0028001D">
            <w:pPr>
              <w:spacing w:before="40" w:after="120"/>
              <w:ind w:right="113"/>
            </w:pPr>
            <w:r>
              <w:t>Seventh report due in 2021.</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t>CRC</w:t>
            </w:r>
          </w:p>
        </w:tc>
        <w:tc>
          <w:tcPr>
            <w:tcW w:w="1928" w:type="dxa"/>
            <w:shd w:val="clear" w:color="auto" w:fill="auto"/>
          </w:tcPr>
          <w:p w:rsidR="00A02BFB" w:rsidRPr="00A02BFB" w:rsidRDefault="00615804" w:rsidP="0028001D">
            <w:pPr>
              <w:spacing w:before="40" w:after="120"/>
              <w:ind w:right="113"/>
            </w:pPr>
            <w:r w:rsidRPr="00615804">
              <w:t>October 2010 (on OP-</w:t>
            </w:r>
            <w:r w:rsidRPr="00615804">
              <w:lastRenderedPageBreak/>
              <w:t>CRC-AC and OP-CRC-SC) / October 2012 (on CRC)</w:t>
            </w:r>
          </w:p>
        </w:tc>
        <w:tc>
          <w:tcPr>
            <w:tcW w:w="1927" w:type="dxa"/>
            <w:shd w:val="clear" w:color="auto" w:fill="auto"/>
          </w:tcPr>
          <w:p w:rsidR="00A02BFB" w:rsidRPr="00A02BFB" w:rsidRDefault="00615804" w:rsidP="0028001D">
            <w:pPr>
              <w:spacing w:before="40" w:after="120"/>
              <w:ind w:right="113"/>
            </w:pPr>
            <w:r>
              <w:lastRenderedPageBreak/>
              <w:t>2017</w:t>
            </w:r>
          </w:p>
        </w:tc>
        <w:tc>
          <w:tcPr>
            <w:tcW w:w="1927" w:type="dxa"/>
            <w:shd w:val="clear" w:color="auto" w:fill="auto"/>
          </w:tcPr>
          <w:p w:rsidR="00A02BFB" w:rsidRPr="00A02BFB" w:rsidRDefault="00F354BF" w:rsidP="0028001D">
            <w:pPr>
              <w:spacing w:before="40" w:after="120"/>
              <w:ind w:right="113"/>
            </w:pPr>
            <w:r>
              <w:t>--</w:t>
            </w:r>
          </w:p>
        </w:tc>
        <w:tc>
          <w:tcPr>
            <w:tcW w:w="1927" w:type="dxa"/>
            <w:shd w:val="clear" w:color="auto" w:fill="auto"/>
          </w:tcPr>
          <w:p w:rsidR="00A02BFB" w:rsidRPr="00A02BFB" w:rsidRDefault="00615804" w:rsidP="007D2157">
            <w:pPr>
              <w:spacing w:before="40" w:after="120"/>
              <w:ind w:right="113"/>
            </w:pPr>
            <w:r w:rsidRPr="00615804">
              <w:t xml:space="preserve">Fifth and sixth reports </w:t>
            </w:r>
            <w:r w:rsidRPr="00615804">
              <w:lastRenderedPageBreak/>
              <w:t>pending consideration in September 2019</w:t>
            </w:r>
            <w:r>
              <w:t>.</w:t>
            </w:r>
          </w:p>
        </w:tc>
      </w:tr>
      <w:tr w:rsidR="00C2509F" w:rsidRPr="00A02BFB" w:rsidTr="00151C6A">
        <w:tc>
          <w:tcPr>
            <w:tcW w:w="1928" w:type="dxa"/>
            <w:shd w:val="clear" w:color="auto" w:fill="auto"/>
          </w:tcPr>
          <w:p w:rsidR="00C2509F" w:rsidRDefault="00CF6980" w:rsidP="0060015D">
            <w:pPr>
              <w:spacing w:before="40" w:after="120"/>
              <w:ind w:right="113"/>
            </w:pPr>
            <w:r>
              <w:lastRenderedPageBreak/>
              <w:t>CMW</w:t>
            </w:r>
          </w:p>
        </w:tc>
        <w:tc>
          <w:tcPr>
            <w:tcW w:w="1928" w:type="dxa"/>
            <w:shd w:val="clear" w:color="auto" w:fill="auto"/>
          </w:tcPr>
          <w:p w:rsidR="00C2509F" w:rsidRDefault="00615804" w:rsidP="0028001D">
            <w:pPr>
              <w:spacing w:before="40" w:after="120"/>
              <w:ind w:right="113"/>
            </w:pPr>
            <w:r>
              <w:t>September 2012</w:t>
            </w:r>
          </w:p>
        </w:tc>
        <w:tc>
          <w:tcPr>
            <w:tcW w:w="1927" w:type="dxa"/>
            <w:shd w:val="clear" w:color="auto" w:fill="auto"/>
          </w:tcPr>
          <w:p w:rsidR="00C2509F" w:rsidRPr="00A02BFB" w:rsidRDefault="00615804" w:rsidP="0028001D">
            <w:pPr>
              <w:spacing w:before="40" w:after="120"/>
              <w:ind w:right="113"/>
            </w:pPr>
            <w:r>
              <w:t>2017</w:t>
            </w:r>
          </w:p>
        </w:tc>
        <w:tc>
          <w:tcPr>
            <w:tcW w:w="1927" w:type="dxa"/>
            <w:shd w:val="clear" w:color="auto" w:fill="auto"/>
          </w:tcPr>
          <w:p w:rsidR="00C2509F" w:rsidRPr="00A02BFB" w:rsidRDefault="00615804" w:rsidP="0028001D">
            <w:pPr>
              <w:spacing w:before="40" w:after="120"/>
              <w:ind w:right="113"/>
            </w:pPr>
            <w:r>
              <w:t>September 2018</w:t>
            </w:r>
          </w:p>
        </w:tc>
        <w:tc>
          <w:tcPr>
            <w:tcW w:w="1927" w:type="dxa"/>
            <w:shd w:val="clear" w:color="auto" w:fill="auto"/>
          </w:tcPr>
          <w:p w:rsidR="007A09CD" w:rsidRPr="00A02BFB" w:rsidRDefault="00615804" w:rsidP="0028001D">
            <w:pPr>
              <w:spacing w:before="40" w:after="120"/>
              <w:ind w:right="113"/>
            </w:pPr>
            <w:r w:rsidRPr="00615804">
              <w:t>Third report pending consideration in September 2019</w:t>
            </w:r>
            <w:r>
              <w:t>.</w:t>
            </w:r>
          </w:p>
        </w:tc>
      </w:tr>
      <w:tr w:rsidR="00CF6980" w:rsidRPr="00A02BFB" w:rsidTr="00151C6A">
        <w:tc>
          <w:tcPr>
            <w:tcW w:w="1928" w:type="dxa"/>
            <w:shd w:val="clear" w:color="auto" w:fill="auto"/>
          </w:tcPr>
          <w:p w:rsidR="00CF6980" w:rsidRDefault="00CF6980" w:rsidP="0060015D">
            <w:pPr>
              <w:spacing w:before="40" w:after="120"/>
              <w:ind w:right="113"/>
            </w:pPr>
            <w:r>
              <w:t>CRPD</w:t>
            </w:r>
          </w:p>
        </w:tc>
        <w:tc>
          <w:tcPr>
            <w:tcW w:w="1928" w:type="dxa"/>
            <w:shd w:val="clear" w:color="auto" w:fill="auto"/>
          </w:tcPr>
          <w:p w:rsidR="00CF6980" w:rsidRDefault="00CF6980" w:rsidP="0028001D">
            <w:pPr>
              <w:spacing w:before="40" w:after="120"/>
              <w:ind w:right="113"/>
            </w:pPr>
            <w:r>
              <w:t>--</w:t>
            </w:r>
          </w:p>
        </w:tc>
        <w:tc>
          <w:tcPr>
            <w:tcW w:w="1927" w:type="dxa"/>
            <w:shd w:val="clear" w:color="auto" w:fill="auto"/>
          </w:tcPr>
          <w:p w:rsidR="00CF6980" w:rsidRDefault="00615804" w:rsidP="0028001D">
            <w:pPr>
              <w:spacing w:before="40" w:after="120"/>
              <w:ind w:right="113"/>
            </w:pPr>
            <w:r>
              <w:t>2015</w:t>
            </w:r>
          </w:p>
        </w:tc>
        <w:tc>
          <w:tcPr>
            <w:tcW w:w="1927" w:type="dxa"/>
            <w:shd w:val="clear" w:color="auto" w:fill="auto"/>
          </w:tcPr>
          <w:p w:rsidR="00CF6980" w:rsidRDefault="00615804" w:rsidP="00615804">
            <w:pPr>
              <w:spacing w:before="40" w:after="120"/>
              <w:ind w:right="113"/>
            </w:pPr>
            <w:r>
              <w:t>April 2017</w:t>
            </w:r>
          </w:p>
        </w:tc>
        <w:tc>
          <w:tcPr>
            <w:tcW w:w="1927" w:type="dxa"/>
            <w:shd w:val="clear" w:color="auto" w:fill="auto"/>
          </w:tcPr>
          <w:p w:rsidR="00CF6980" w:rsidRPr="00CF6980" w:rsidRDefault="00615804" w:rsidP="0028001D">
            <w:pPr>
              <w:spacing w:before="40" w:after="120"/>
              <w:ind w:right="113"/>
            </w:pPr>
            <w:r>
              <w:t>Second and third reports due in 2020.</w:t>
            </w:r>
          </w:p>
        </w:tc>
      </w:tr>
      <w:tr w:rsidR="00615804" w:rsidRPr="00A02BFB" w:rsidTr="00151C6A">
        <w:tc>
          <w:tcPr>
            <w:tcW w:w="1928" w:type="dxa"/>
            <w:shd w:val="clear" w:color="auto" w:fill="auto"/>
          </w:tcPr>
          <w:p w:rsidR="00615804" w:rsidRDefault="00615804" w:rsidP="0060015D">
            <w:pPr>
              <w:spacing w:before="40" w:after="120"/>
              <w:ind w:right="113"/>
            </w:pPr>
            <w:r>
              <w:t>CED</w:t>
            </w:r>
          </w:p>
        </w:tc>
        <w:tc>
          <w:tcPr>
            <w:tcW w:w="1928" w:type="dxa"/>
            <w:shd w:val="clear" w:color="auto" w:fill="auto"/>
          </w:tcPr>
          <w:p w:rsidR="00615804" w:rsidRDefault="00615804" w:rsidP="0028001D">
            <w:pPr>
              <w:spacing w:before="40" w:after="120"/>
              <w:ind w:right="113"/>
            </w:pPr>
            <w:r>
              <w:t>--</w:t>
            </w:r>
          </w:p>
        </w:tc>
        <w:tc>
          <w:tcPr>
            <w:tcW w:w="1927" w:type="dxa"/>
            <w:shd w:val="clear" w:color="auto" w:fill="auto"/>
          </w:tcPr>
          <w:p w:rsidR="00615804" w:rsidRDefault="00615804" w:rsidP="0028001D">
            <w:pPr>
              <w:spacing w:before="40" w:after="120"/>
              <w:ind w:right="113"/>
            </w:pPr>
            <w:r>
              <w:t>2015</w:t>
            </w:r>
          </w:p>
        </w:tc>
        <w:tc>
          <w:tcPr>
            <w:tcW w:w="1927" w:type="dxa"/>
            <w:shd w:val="clear" w:color="auto" w:fill="auto"/>
          </w:tcPr>
          <w:p w:rsidR="00615804" w:rsidRDefault="00615804" w:rsidP="0028001D">
            <w:pPr>
              <w:spacing w:before="40" w:after="120"/>
              <w:ind w:right="113"/>
            </w:pPr>
            <w:r>
              <w:t>October 2016</w:t>
            </w:r>
          </w:p>
        </w:tc>
        <w:tc>
          <w:tcPr>
            <w:tcW w:w="1927" w:type="dxa"/>
            <w:shd w:val="clear" w:color="auto" w:fill="auto"/>
          </w:tcPr>
          <w:p w:rsidR="00615804" w:rsidRPr="00CF6980" w:rsidRDefault="00615804" w:rsidP="0028001D">
            <w:pPr>
              <w:spacing w:before="40" w:after="120"/>
              <w:ind w:right="113"/>
            </w:pPr>
            <w:r>
              <w:t>Next report due in 2022.</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B722B4" w:rsidP="007D2157">
            <w:pPr>
              <w:spacing w:before="40" w:after="120"/>
              <w:ind w:right="113"/>
            </w:pPr>
            <w:r>
              <w:t>CERD</w:t>
            </w:r>
          </w:p>
        </w:tc>
        <w:tc>
          <w:tcPr>
            <w:tcW w:w="2410" w:type="dxa"/>
            <w:shd w:val="clear" w:color="auto" w:fill="auto"/>
          </w:tcPr>
          <w:p w:rsidR="00B22B96" w:rsidRDefault="00B722B4" w:rsidP="007D2157">
            <w:pPr>
              <w:spacing w:before="40" w:after="120"/>
              <w:ind w:right="113"/>
            </w:pPr>
            <w:r>
              <w:t>2016</w:t>
            </w:r>
          </w:p>
          <w:p w:rsidR="00B722B4" w:rsidRPr="00B22B96" w:rsidRDefault="00B722B4" w:rsidP="00B722B4">
            <w:pPr>
              <w:spacing w:before="840"/>
              <w:ind w:right="113"/>
            </w:pPr>
            <w:r>
              <w:t>2019</w:t>
            </w:r>
          </w:p>
        </w:tc>
        <w:tc>
          <w:tcPr>
            <w:tcW w:w="2410" w:type="dxa"/>
            <w:shd w:val="clear" w:color="auto" w:fill="auto"/>
          </w:tcPr>
          <w:p w:rsidR="00B22B96" w:rsidRDefault="00B722B4" w:rsidP="007D2157">
            <w:pPr>
              <w:spacing w:before="40" w:after="120"/>
              <w:ind w:right="113"/>
              <w:rPr>
                <w:bCs/>
              </w:rPr>
            </w:pPr>
            <w:r w:rsidRPr="00B722B4">
              <w:rPr>
                <w:bCs/>
              </w:rPr>
              <w:t>Ombudsmen; awareness of the prohibition of racial discrimination; and hate speech and hate crimes.</w:t>
            </w:r>
            <w:r w:rsidR="002811A3">
              <w:rPr>
                <w:rStyle w:val="EndnoteReference"/>
                <w:bCs/>
              </w:rPr>
              <w:endnoteReference w:id="7"/>
            </w:r>
          </w:p>
          <w:p w:rsidR="00B722B4" w:rsidRPr="00B22B96" w:rsidRDefault="00B722B4" w:rsidP="00112642">
            <w:pPr>
              <w:spacing w:before="40" w:after="120"/>
              <w:ind w:right="113"/>
            </w:pPr>
            <w:r w:rsidRPr="00B722B4">
              <w:t>Statistics; Ombudsman; and racist hate speech and hate crimes.</w:t>
            </w:r>
            <w:r w:rsidR="00112642">
              <w:rPr>
                <w:rStyle w:val="EndnoteReference"/>
              </w:rPr>
              <w:endnoteReference w:id="8"/>
            </w:r>
          </w:p>
        </w:tc>
        <w:tc>
          <w:tcPr>
            <w:tcW w:w="2410" w:type="dxa"/>
            <w:shd w:val="clear" w:color="auto" w:fill="auto"/>
          </w:tcPr>
          <w:p w:rsidR="00B22B96" w:rsidRPr="00B22B96" w:rsidRDefault="00B722B4" w:rsidP="007D2157">
            <w:pPr>
              <w:spacing w:before="40" w:after="120"/>
              <w:ind w:right="113"/>
            </w:pPr>
            <w:r>
              <w:t>--</w:t>
            </w:r>
          </w:p>
        </w:tc>
      </w:tr>
      <w:tr w:rsidR="00292DEC" w:rsidRPr="00B22B96" w:rsidTr="00B722B4">
        <w:tc>
          <w:tcPr>
            <w:tcW w:w="2407" w:type="dxa"/>
            <w:shd w:val="clear" w:color="auto" w:fill="auto"/>
          </w:tcPr>
          <w:p w:rsidR="00292DEC" w:rsidRPr="00B22B96" w:rsidRDefault="008A638C" w:rsidP="007D2157">
            <w:pPr>
              <w:spacing w:before="40" w:after="120"/>
              <w:ind w:right="113"/>
            </w:pPr>
            <w:r>
              <w:t>HR Committee</w:t>
            </w:r>
          </w:p>
        </w:tc>
        <w:tc>
          <w:tcPr>
            <w:tcW w:w="2410" w:type="dxa"/>
            <w:shd w:val="clear" w:color="auto" w:fill="auto"/>
          </w:tcPr>
          <w:p w:rsidR="00292DEC" w:rsidRDefault="008A638C" w:rsidP="007D2157">
            <w:pPr>
              <w:spacing w:before="40" w:after="120"/>
              <w:ind w:right="113"/>
            </w:pPr>
            <w:r>
              <w:t>2013</w:t>
            </w:r>
          </w:p>
          <w:p w:rsidR="008A638C" w:rsidRPr="00B22B96" w:rsidRDefault="008A638C" w:rsidP="008A638C">
            <w:pPr>
              <w:spacing w:before="1080"/>
              <w:ind w:right="113"/>
            </w:pPr>
            <w:r>
              <w:t>2018</w:t>
            </w:r>
          </w:p>
        </w:tc>
        <w:tc>
          <w:tcPr>
            <w:tcW w:w="2410" w:type="dxa"/>
            <w:shd w:val="clear" w:color="auto" w:fill="auto"/>
          </w:tcPr>
          <w:p w:rsidR="00292DEC" w:rsidRDefault="008A638C" w:rsidP="007D2157">
            <w:pPr>
              <w:spacing w:before="40" w:after="120"/>
              <w:ind w:right="113"/>
            </w:pPr>
            <w:r w:rsidRPr="008A638C">
              <w:t>Electoral system; prosecution of war crimes cases; and compensation of families of missing persons.</w:t>
            </w:r>
            <w:r w:rsidR="00112642">
              <w:rPr>
                <w:rStyle w:val="EndnoteReference"/>
              </w:rPr>
              <w:endnoteReference w:id="9"/>
            </w:r>
          </w:p>
          <w:p w:rsidR="008A638C" w:rsidRPr="00B22B96" w:rsidRDefault="008A638C" w:rsidP="00112642">
            <w:pPr>
              <w:spacing w:before="40" w:after="120"/>
              <w:ind w:right="113"/>
            </w:pPr>
            <w:r w:rsidRPr="008A638C">
              <w:t>Crimes against humanity and other international crimes; enforced disappearance and missing persons; and refugees and displaced persons.</w:t>
            </w:r>
            <w:r w:rsidR="00112642">
              <w:rPr>
                <w:rStyle w:val="EndnoteReference"/>
              </w:rPr>
              <w:endnoteReference w:id="10"/>
            </w:r>
          </w:p>
        </w:tc>
        <w:tc>
          <w:tcPr>
            <w:tcW w:w="2410" w:type="dxa"/>
            <w:shd w:val="clear" w:color="auto" w:fill="auto"/>
          </w:tcPr>
          <w:p w:rsidR="00292DEC" w:rsidRDefault="008A638C" w:rsidP="007D2157">
            <w:pPr>
              <w:spacing w:before="40" w:after="120"/>
              <w:ind w:right="113"/>
            </w:pPr>
            <w:r w:rsidRPr="008A638C">
              <w:t>2013.</w:t>
            </w:r>
            <w:r w:rsidR="00112642">
              <w:rPr>
                <w:rStyle w:val="EndnoteReference"/>
              </w:rPr>
              <w:endnoteReference w:id="11"/>
            </w:r>
            <w:r w:rsidRPr="008A638C">
              <w:t xml:space="preserve"> Further information requested.</w:t>
            </w:r>
            <w:r w:rsidR="00112642">
              <w:rPr>
                <w:rStyle w:val="EndnoteReference"/>
              </w:rPr>
              <w:endnoteReference w:id="12"/>
            </w:r>
            <w:r w:rsidRPr="008A638C">
              <w:t xml:space="preserve"> Reminders sent.</w:t>
            </w:r>
            <w:r w:rsidR="00112642">
              <w:rPr>
                <w:rStyle w:val="EndnoteReference"/>
              </w:rPr>
              <w:endnoteReference w:id="13"/>
            </w:r>
          </w:p>
          <w:p w:rsidR="008A638C" w:rsidRPr="00B22B96" w:rsidRDefault="008A638C" w:rsidP="00112642">
            <w:pPr>
              <w:spacing w:before="600"/>
              <w:ind w:right="113"/>
            </w:pPr>
            <w:r w:rsidRPr="008A638C">
              <w:t>2018</w:t>
            </w:r>
            <w:r w:rsidR="00112642">
              <w:rPr>
                <w:rStyle w:val="EndnoteReference"/>
              </w:rPr>
              <w:endnoteReference w:id="14"/>
            </w:r>
          </w:p>
        </w:tc>
      </w:tr>
      <w:tr w:rsidR="00B722B4" w:rsidRPr="00B22B96" w:rsidTr="00B722B4">
        <w:tc>
          <w:tcPr>
            <w:tcW w:w="2407" w:type="dxa"/>
            <w:shd w:val="clear" w:color="auto" w:fill="auto"/>
          </w:tcPr>
          <w:p w:rsidR="00B722B4" w:rsidRPr="00B22B96" w:rsidRDefault="008A638C" w:rsidP="007D2157">
            <w:pPr>
              <w:spacing w:before="40" w:after="120"/>
              <w:ind w:right="113"/>
            </w:pPr>
            <w:r>
              <w:t>CEDAW</w:t>
            </w:r>
          </w:p>
        </w:tc>
        <w:tc>
          <w:tcPr>
            <w:tcW w:w="2410" w:type="dxa"/>
            <w:shd w:val="clear" w:color="auto" w:fill="auto"/>
          </w:tcPr>
          <w:p w:rsidR="00B722B4" w:rsidRPr="00B22B96" w:rsidRDefault="008A638C" w:rsidP="007D2157">
            <w:pPr>
              <w:spacing w:before="40" w:after="120"/>
              <w:ind w:right="113"/>
            </w:pPr>
            <w:r>
              <w:t>2015</w:t>
            </w:r>
          </w:p>
        </w:tc>
        <w:tc>
          <w:tcPr>
            <w:tcW w:w="2410" w:type="dxa"/>
            <w:shd w:val="clear" w:color="auto" w:fill="auto"/>
          </w:tcPr>
          <w:p w:rsidR="00B722B4" w:rsidRPr="00B22B96" w:rsidRDefault="008A638C" w:rsidP="00112642">
            <w:pPr>
              <w:spacing w:before="40" w:after="120"/>
              <w:ind w:right="113"/>
            </w:pPr>
            <w:r w:rsidRPr="008A638C">
              <w:t>Women victims of war crimes; and employment of women.</w:t>
            </w:r>
            <w:r w:rsidR="00112642">
              <w:rPr>
                <w:rStyle w:val="EndnoteReference"/>
              </w:rPr>
              <w:endnoteReference w:id="15"/>
            </w:r>
          </w:p>
        </w:tc>
        <w:tc>
          <w:tcPr>
            <w:tcW w:w="2410" w:type="dxa"/>
            <w:shd w:val="clear" w:color="auto" w:fill="auto"/>
          </w:tcPr>
          <w:p w:rsidR="00B722B4" w:rsidRPr="00B22B96" w:rsidRDefault="008A638C" w:rsidP="00112642">
            <w:pPr>
              <w:spacing w:before="40" w:after="120"/>
              <w:ind w:right="113"/>
            </w:pPr>
            <w:r w:rsidRPr="008A638C">
              <w:t>2015.</w:t>
            </w:r>
            <w:r w:rsidR="00112642">
              <w:rPr>
                <w:rStyle w:val="EndnoteReference"/>
              </w:rPr>
              <w:endnoteReference w:id="16"/>
            </w:r>
            <w:r w:rsidRPr="008A638C">
              <w:t xml:space="preserve"> Further information requested.</w:t>
            </w:r>
            <w:r w:rsidR="00112642">
              <w:rPr>
                <w:rStyle w:val="EndnoteReference"/>
              </w:rPr>
              <w:endnoteReference w:id="17"/>
            </w:r>
          </w:p>
        </w:tc>
      </w:tr>
      <w:tr w:rsidR="00B722B4" w:rsidRPr="00B22B96" w:rsidTr="00B722B4">
        <w:tc>
          <w:tcPr>
            <w:tcW w:w="2407" w:type="dxa"/>
            <w:shd w:val="clear" w:color="auto" w:fill="auto"/>
          </w:tcPr>
          <w:p w:rsidR="00B722B4" w:rsidRPr="00B22B96" w:rsidRDefault="008A638C" w:rsidP="007D2157">
            <w:pPr>
              <w:spacing w:before="40" w:after="120"/>
              <w:ind w:right="113"/>
            </w:pPr>
            <w:r>
              <w:t>CAT</w:t>
            </w:r>
          </w:p>
        </w:tc>
        <w:tc>
          <w:tcPr>
            <w:tcW w:w="2410" w:type="dxa"/>
            <w:shd w:val="clear" w:color="auto" w:fill="auto"/>
          </w:tcPr>
          <w:p w:rsidR="00B722B4" w:rsidRPr="00B22B96" w:rsidRDefault="008A638C" w:rsidP="007D2157">
            <w:pPr>
              <w:spacing w:before="40" w:after="120"/>
              <w:ind w:right="113"/>
            </w:pPr>
            <w:r>
              <w:t>2018</w:t>
            </w:r>
          </w:p>
        </w:tc>
        <w:tc>
          <w:tcPr>
            <w:tcW w:w="2410" w:type="dxa"/>
            <w:shd w:val="clear" w:color="auto" w:fill="auto"/>
          </w:tcPr>
          <w:p w:rsidR="00B722B4" w:rsidRPr="00B22B96" w:rsidRDefault="008A638C" w:rsidP="00112642">
            <w:pPr>
              <w:spacing w:before="40" w:after="120"/>
              <w:ind w:right="113"/>
            </w:pPr>
            <w:r w:rsidRPr="008A638C">
              <w:rPr>
                <w:bCs/>
              </w:rPr>
              <w:t>Ill-treatment by the police; r</w:t>
            </w:r>
            <w:r w:rsidRPr="008A638C">
              <w:t>edress for victims of war crimes, including sexual violence; and Ombudsman and national preventive mechanism.</w:t>
            </w:r>
            <w:r w:rsidR="00112642">
              <w:rPr>
                <w:rStyle w:val="EndnoteReference"/>
              </w:rPr>
              <w:endnoteReference w:id="18"/>
            </w:r>
          </w:p>
        </w:tc>
        <w:tc>
          <w:tcPr>
            <w:tcW w:w="2410" w:type="dxa"/>
            <w:shd w:val="clear" w:color="auto" w:fill="auto"/>
          </w:tcPr>
          <w:p w:rsidR="00B722B4" w:rsidRPr="00B22B96" w:rsidRDefault="008A638C" w:rsidP="00112642">
            <w:pPr>
              <w:spacing w:before="40" w:after="120"/>
              <w:ind w:right="113"/>
            </w:pPr>
            <w:r w:rsidRPr="008A638C">
              <w:t>2019</w:t>
            </w:r>
            <w:r w:rsidR="00112642">
              <w:rPr>
                <w:rStyle w:val="EndnoteReference"/>
              </w:rPr>
              <w:endnoteReference w:id="19"/>
            </w:r>
          </w:p>
        </w:tc>
      </w:tr>
      <w:tr w:rsidR="00B722B4" w:rsidRPr="00B22B96" w:rsidTr="00B722B4">
        <w:tc>
          <w:tcPr>
            <w:tcW w:w="2407" w:type="dxa"/>
            <w:shd w:val="clear" w:color="auto" w:fill="auto"/>
          </w:tcPr>
          <w:p w:rsidR="00B722B4" w:rsidRPr="00B22B96" w:rsidRDefault="008A569F" w:rsidP="007D2157">
            <w:pPr>
              <w:spacing w:before="40" w:after="120"/>
              <w:ind w:right="113"/>
            </w:pPr>
            <w:r>
              <w:t>CRPD</w:t>
            </w:r>
          </w:p>
        </w:tc>
        <w:tc>
          <w:tcPr>
            <w:tcW w:w="2410" w:type="dxa"/>
            <w:shd w:val="clear" w:color="auto" w:fill="auto"/>
          </w:tcPr>
          <w:p w:rsidR="00B722B4" w:rsidRPr="00B22B96" w:rsidRDefault="008A569F" w:rsidP="007D2157">
            <w:pPr>
              <w:spacing w:before="40" w:after="120"/>
              <w:ind w:right="113"/>
            </w:pPr>
            <w:r>
              <w:t>2018</w:t>
            </w:r>
          </w:p>
        </w:tc>
        <w:tc>
          <w:tcPr>
            <w:tcW w:w="2410" w:type="dxa"/>
            <w:shd w:val="clear" w:color="auto" w:fill="auto"/>
          </w:tcPr>
          <w:p w:rsidR="00B722B4" w:rsidRPr="00B22B96" w:rsidRDefault="008A569F" w:rsidP="00112642">
            <w:pPr>
              <w:spacing w:before="40" w:after="120"/>
              <w:ind w:right="113"/>
            </w:pPr>
            <w:r w:rsidRPr="008A569F">
              <w:rPr>
                <w:bCs/>
              </w:rPr>
              <w:t xml:space="preserve">Equality and non-discrimination; and freedom from torture and cruel, </w:t>
            </w:r>
            <w:r w:rsidRPr="008A569F">
              <w:rPr>
                <w:bCs/>
              </w:rPr>
              <w:lastRenderedPageBreak/>
              <w:t>inhuman or degrading treatment or punishment.</w:t>
            </w:r>
            <w:r w:rsidR="00112642">
              <w:rPr>
                <w:rStyle w:val="EndnoteReference"/>
                <w:bCs/>
              </w:rPr>
              <w:endnoteReference w:id="20"/>
            </w:r>
          </w:p>
        </w:tc>
        <w:tc>
          <w:tcPr>
            <w:tcW w:w="2410" w:type="dxa"/>
            <w:shd w:val="clear" w:color="auto" w:fill="auto"/>
          </w:tcPr>
          <w:p w:rsidR="00B722B4" w:rsidRPr="00B22B96" w:rsidRDefault="008A569F" w:rsidP="00112642">
            <w:pPr>
              <w:spacing w:before="40" w:after="120"/>
              <w:ind w:right="113"/>
            </w:pPr>
            <w:r w:rsidRPr="008A569F">
              <w:lastRenderedPageBreak/>
              <w:t>2019</w:t>
            </w:r>
            <w:r w:rsidR="00112642">
              <w:rPr>
                <w:rStyle w:val="EndnoteReference"/>
              </w:rPr>
              <w:endnoteReference w:id="21"/>
            </w:r>
          </w:p>
        </w:tc>
      </w:tr>
      <w:tr w:rsidR="00B722B4" w:rsidRPr="00B22B96" w:rsidTr="007D2157">
        <w:tc>
          <w:tcPr>
            <w:tcW w:w="2407" w:type="dxa"/>
            <w:tcBorders>
              <w:bottom w:val="single" w:sz="12" w:space="0" w:color="auto"/>
            </w:tcBorders>
            <w:shd w:val="clear" w:color="auto" w:fill="auto"/>
          </w:tcPr>
          <w:p w:rsidR="00B722B4" w:rsidRPr="00B22B96" w:rsidRDefault="008A569F" w:rsidP="007D2157">
            <w:pPr>
              <w:spacing w:before="40" w:after="120"/>
              <w:ind w:right="113"/>
            </w:pPr>
            <w:r>
              <w:t>CED</w:t>
            </w:r>
          </w:p>
        </w:tc>
        <w:tc>
          <w:tcPr>
            <w:tcW w:w="2410" w:type="dxa"/>
            <w:tcBorders>
              <w:bottom w:val="single" w:sz="12" w:space="0" w:color="auto"/>
            </w:tcBorders>
            <w:shd w:val="clear" w:color="auto" w:fill="auto"/>
          </w:tcPr>
          <w:p w:rsidR="00B722B4" w:rsidRPr="00B22B96" w:rsidRDefault="008A569F" w:rsidP="007D2157">
            <w:pPr>
              <w:spacing w:before="40" w:after="120"/>
              <w:ind w:right="113"/>
            </w:pPr>
            <w:r>
              <w:t>2017</w:t>
            </w:r>
          </w:p>
        </w:tc>
        <w:tc>
          <w:tcPr>
            <w:tcW w:w="2410" w:type="dxa"/>
            <w:tcBorders>
              <w:bottom w:val="single" w:sz="12" w:space="0" w:color="auto"/>
            </w:tcBorders>
            <w:shd w:val="clear" w:color="auto" w:fill="auto"/>
          </w:tcPr>
          <w:p w:rsidR="00B722B4" w:rsidRPr="00B22B96" w:rsidRDefault="008A569F" w:rsidP="00112642">
            <w:pPr>
              <w:spacing w:before="40" w:after="120"/>
              <w:ind w:right="113"/>
            </w:pPr>
            <w:r w:rsidRPr="008A569F">
              <w:rPr>
                <w:bCs/>
              </w:rPr>
              <w:t>Investigation of enforced disappearances committed in the context of armed conflicts in the former Yugoslavia; missing Persons Institute; and national preventive mechanism.</w:t>
            </w:r>
            <w:r w:rsidR="00112642">
              <w:rPr>
                <w:rStyle w:val="EndnoteReference"/>
                <w:bCs/>
              </w:rPr>
              <w:endnoteReference w:id="22"/>
            </w:r>
          </w:p>
        </w:tc>
        <w:tc>
          <w:tcPr>
            <w:tcW w:w="2410" w:type="dxa"/>
            <w:tcBorders>
              <w:bottom w:val="single" w:sz="12" w:space="0" w:color="auto"/>
            </w:tcBorders>
            <w:shd w:val="clear" w:color="auto" w:fill="auto"/>
          </w:tcPr>
          <w:p w:rsidR="00B722B4" w:rsidRPr="00B22B96" w:rsidRDefault="008A569F" w:rsidP="00112642">
            <w:pPr>
              <w:spacing w:before="40" w:after="120"/>
              <w:ind w:right="113"/>
            </w:pPr>
            <w:r w:rsidRPr="008A569F">
              <w:t>2018</w:t>
            </w:r>
            <w:r w:rsidR="00112642">
              <w:rPr>
                <w:rStyle w:val="EndnoteReference"/>
              </w:rPr>
              <w:endnoteReference w:id="23"/>
            </w:r>
          </w:p>
        </w:tc>
      </w:tr>
    </w:tbl>
    <w:bookmarkEnd w:id="3"/>
    <w:p w:rsidR="00292DEC" w:rsidRDefault="00292DEC" w:rsidP="00292DEC">
      <w:pPr>
        <w:pStyle w:val="H23G"/>
      </w:pPr>
      <w:r>
        <w:tab/>
      </w:r>
      <w:r>
        <w:tab/>
      </w:r>
      <w:r w:rsidR="008A569F">
        <w:t>Views</w:t>
      </w:r>
    </w:p>
    <w:tbl>
      <w:tblPr>
        <w:tblStyle w:val="TableGrid"/>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4584"/>
      </w:tblGrid>
      <w:tr w:rsidR="00292DEC" w:rsidRPr="00292DEC" w:rsidTr="00292DEC">
        <w:tc>
          <w:tcPr>
            <w:tcW w:w="2456" w:type="dxa"/>
            <w:tcBorders>
              <w:top w:val="single" w:sz="4" w:space="0" w:color="auto"/>
              <w:bottom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rsidR="00292DEC" w:rsidRPr="00292DEC" w:rsidRDefault="008A569F" w:rsidP="008A569F">
            <w:pPr>
              <w:spacing w:before="80" w:after="80" w:line="200" w:lineRule="exact"/>
              <w:ind w:right="113"/>
              <w:rPr>
                <w:i/>
                <w:sz w:val="16"/>
              </w:rPr>
            </w:pPr>
            <w:r>
              <w:rPr>
                <w:i/>
                <w:sz w:val="16"/>
              </w:rPr>
              <w:t>Number of views</w:t>
            </w:r>
          </w:p>
        </w:tc>
        <w:tc>
          <w:tcPr>
            <w:tcW w:w="4584" w:type="dxa"/>
            <w:tcBorders>
              <w:top w:val="single" w:sz="4" w:space="0" w:color="auto"/>
              <w:bottom w:val="single" w:sz="12" w:space="0" w:color="auto"/>
            </w:tcBorders>
            <w:shd w:val="clear" w:color="auto" w:fill="auto"/>
            <w:vAlign w:val="bottom"/>
          </w:tcPr>
          <w:p w:rsidR="00292DEC" w:rsidRPr="00292DEC" w:rsidRDefault="008A569F" w:rsidP="00292DEC">
            <w:pPr>
              <w:spacing w:before="80" w:after="80" w:line="200" w:lineRule="exact"/>
              <w:ind w:right="113"/>
              <w:rPr>
                <w:i/>
                <w:sz w:val="16"/>
              </w:rPr>
            </w:pPr>
            <w:r>
              <w:rPr>
                <w:i/>
                <w:sz w:val="16"/>
              </w:rPr>
              <w:t>Status</w:t>
            </w:r>
          </w:p>
        </w:tc>
      </w:tr>
      <w:tr w:rsidR="00292DEC" w:rsidRPr="00292DEC" w:rsidTr="00292DEC">
        <w:trPr>
          <w:trHeight w:hRule="exact" w:val="113"/>
        </w:trPr>
        <w:tc>
          <w:tcPr>
            <w:tcW w:w="2456"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2457"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4584"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r>
      <w:tr w:rsidR="00292DEC" w:rsidRPr="00292DEC" w:rsidTr="00292DEC">
        <w:tc>
          <w:tcPr>
            <w:tcW w:w="2456" w:type="dxa"/>
            <w:tcBorders>
              <w:bottom w:val="single" w:sz="12" w:space="0" w:color="auto"/>
            </w:tcBorders>
            <w:shd w:val="clear" w:color="auto" w:fill="auto"/>
          </w:tcPr>
          <w:p w:rsidR="00292DEC" w:rsidRPr="00292DEC" w:rsidRDefault="008A569F" w:rsidP="00292DEC">
            <w:pPr>
              <w:spacing w:before="40" w:after="120"/>
              <w:ind w:right="113"/>
            </w:pPr>
            <w:r>
              <w:t>HR Committee</w:t>
            </w:r>
          </w:p>
        </w:tc>
        <w:tc>
          <w:tcPr>
            <w:tcW w:w="2457" w:type="dxa"/>
            <w:tcBorders>
              <w:bottom w:val="single" w:sz="12" w:space="0" w:color="auto"/>
            </w:tcBorders>
            <w:shd w:val="clear" w:color="auto" w:fill="auto"/>
          </w:tcPr>
          <w:p w:rsidR="00292DEC" w:rsidRPr="00292DEC" w:rsidRDefault="008A569F" w:rsidP="00112642">
            <w:pPr>
              <w:spacing w:before="40" w:after="120"/>
              <w:ind w:right="113"/>
            </w:pPr>
            <w:r w:rsidRPr="008A569F">
              <w:t>6</w:t>
            </w:r>
            <w:r w:rsidR="00112642">
              <w:rPr>
                <w:rStyle w:val="EndnoteReference"/>
              </w:rPr>
              <w:endnoteReference w:id="24"/>
            </w:r>
          </w:p>
        </w:tc>
        <w:tc>
          <w:tcPr>
            <w:tcW w:w="4584" w:type="dxa"/>
            <w:tcBorders>
              <w:bottom w:val="single" w:sz="12" w:space="0" w:color="auto"/>
            </w:tcBorders>
            <w:shd w:val="clear" w:color="auto" w:fill="auto"/>
          </w:tcPr>
          <w:p w:rsidR="00292DEC" w:rsidRPr="00292DEC" w:rsidRDefault="008A569F" w:rsidP="00112642">
            <w:pPr>
              <w:spacing w:before="40" w:after="120"/>
              <w:ind w:right="113"/>
            </w:pPr>
            <w:r>
              <w:t>Information requested</w:t>
            </w:r>
            <w:r w:rsidR="00112642">
              <w:rPr>
                <w:rStyle w:val="EndnoteReference"/>
              </w:rPr>
              <w:endnoteReference w:id="25"/>
            </w:r>
          </w:p>
        </w:tc>
      </w:tr>
    </w:tbl>
    <w:p w:rsidR="00A02BFB" w:rsidRPr="00292DEC" w:rsidRDefault="00A02BFB" w:rsidP="00292DEC">
      <w:pPr>
        <w:pStyle w:val="H1G"/>
      </w:pPr>
      <w:r w:rsidRPr="00292DEC">
        <w:tab/>
        <w:t>B.</w:t>
      </w:r>
      <w:r w:rsidRPr="00292DEC">
        <w:tab/>
      </w:r>
      <w:r w:rsidR="00677AF1" w:rsidRPr="00292DEC">
        <w:t>Cooperation with special procedures</w:t>
      </w:r>
      <w:r w:rsidR="00AC5693" w:rsidRPr="00AC5693">
        <w:rPr>
          <w:rStyle w:val="EndnoteReference"/>
          <w:b w:val="0"/>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F354BF" w:rsidRDefault="009E78E3" w:rsidP="00292DEC">
            <w:pPr>
              <w:spacing w:before="40" w:after="120"/>
              <w:ind w:right="113"/>
              <w:rPr>
                <w:i/>
                <w:sz w:val="16"/>
              </w:rPr>
            </w:pPr>
            <w:r w:rsidRPr="00F354BF">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F354BF" w:rsidRDefault="009E78E3" w:rsidP="00292DEC">
            <w:pPr>
              <w:spacing w:before="40" w:after="120"/>
              <w:ind w:right="113"/>
              <w:rPr>
                <w:i/>
                <w:sz w:val="16"/>
              </w:rPr>
            </w:pPr>
            <w:r w:rsidRPr="00F354BF">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AC5693" w:rsidP="0028001D">
            <w:pPr>
              <w:spacing w:before="40" w:after="120"/>
              <w:ind w:right="113"/>
            </w:pPr>
            <w:r>
              <w:t>Yes</w:t>
            </w:r>
          </w:p>
        </w:tc>
        <w:tc>
          <w:tcPr>
            <w:tcW w:w="3400" w:type="dxa"/>
            <w:shd w:val="clear" w:color="auto" w:fill="auto"/>
          </w:tcPr>
          <w:p w:rsidR="003E33AE" w:rsidRPr="00F9635C" w:rsidRDefault="00AC5693"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AC5693" w:rsidP="00AC5693">
            <w:pPr>
              <w:spacing w:before="120"/>
              <w:ind w:right="113"/>
            </w:pPr>
            <w:r>
              <w:t>WGEID</w:t>
            </w:r>
          </w:p>
          <w:p w:rsidR="00AC5693" w:rsidRDefault="00AC5693" w:rsidP="00AC5693">
            <w:pPr>
              <w:spacing w:before="120"/>
              <w:ind w:right="113"/>
            </w:pPr>
            <w:r>
              <w:t>Minority</w:t>
            </w:r>
          </w:p>
          <w:p w:rsidR="00AC5693" w:rsidRDefault="00AC5693" w:rsidP="00AC5693">
            <w:pPr>
              <w:spacing w:before="120"/>
              <w:ind w:right="113"/>
            </w:pPr>
            <w:r>
              <w:t>Violence against women</w:t>
            </w:r>
          </w:p>
          <w:p w:rsidR="00AC5693" w:rsidRPr="009E78E3" w:rsidRDefault="00AC5693" w:rsidP="00AC5693">
            <w:pPr>
              <w:spacing w:before="120"/>
              <w:ind w:right="113"/>
            </w:pPr>
            <w:r>
              <w:t>Cultural rights</w:t>
            </w:r>
          </w:p>
        </w:tc>
        <w:tc>
          <w:tcPr>
            <w:tcW w:w="3400" w:type="dxa"/>
            <w:shd w:val="clear" w:color="auto" w:fill="auto"/>
          </w:tcPr>
          <w:p w:rsidR="00A850C2" w:rsidRPr="009E78E3" w:rsidRDefault="00953956" w:rsidP="00730838">
            <w:pPr>
              <w:spacing w:before="40" w:after="120"/>
              <w:ind w:right="113"/>
            </w:pPr>
            <w:r>
              <w:t>Housing (24 September 2018 to 3 October 2018)</w:t>
            </w:r>
          </w:p>
        </w:tc>
      </w:tr>
      <w:tr w:rsidR="009E78E3" w:rsidRPr="009E78E3" w:rsidTr="0028001D">
        <w:tc>
          <w:tcPr>
            <w:tcW w:w="3211" w:type="dxa"/>
            <w:shd w:val="clear" w:color="auto" w:fill="auto"/>
          </w:tcPr>
          <w:p w:rsidR="009E78E3" w:rsidRPr="0028001D" w:rsidRDefault="003E6998" w:rsidP="00AC5693">
            <w:pPr>
              <w:spacing w:before="120" w:after="120"/>
              <w:ind w:right="113"/>
              <w:rPr>
                <w:i/>
              </w:rPr>
            </w:pPr>
            <w:r w:rsidRPr="0028001D">
              <w:rPr>
                <w:i/>
              </w:rPr>
              <w:t>Visits agreed to in principle</w:t>
            </w:r>
          </w:p>
        </w:tc>
        <w:tc>
          <w:tcPr>
            <w:tcW w:w="3026" w:type="dxa"/>
            <w:shd w:val="clear" w:color="auto" w:fill="auto"/>
          </w:tcPr>
          <w:p w:rsidR="00953956" w:rsidRPr="00A31ADE" w:rsidRDefault="00AC5693" w:rsidP="00AC5693">
            <w:pPr>
              <w:spacing w:before="120"/>
              <w:ind w:right="113"/>
            </w:pPr>
            <w:r>
              <w:t>--</w:t>
            </w:r>
          </w:p>
        </w:tc>
        <w:tc>
          <w:tcPr>
            <w:tcW w:w="3400" w:type="dxa"/>
            <w:shd w:val="clear" w:color="auto" w:fill="auto"/>
          </w:tcPr>
          <w:p w:rsidR="00953956" w:rsidRDefault="00AC5693" w:rsidP="00227F18">
            <w:pPr>
              <w:spacing w:before="120"/>
              <w:rPr>
                <w:rFonts w:eastAsia="Calibri"/>
                <w:lang w:eastAsia="en-GB"/>
              </w:rPr>
            </w:pPr>
            <w:r>
              <w:rPr>
                <w:rFonts w:eastAsia="Calibri"/>
                <w:lang w:eastAsia="en-GB"/>
              </w:rPr>
              <w:t>Migrants</w:t>
            </w:r>
          </w:p>
          <w:p w:rsidR="00AC5693" w:rsidRDefault="00AC5693" w:rsidP="00AC5693">
            <w:pPr>
              <w:rPr>
                <w:rFonts w:eastAsia="Calibri"/>
                <w:lang w:eastAsia="en-GB"/>
              </w:rPr>
            </w:pPr>
            <w:r>
              <w:rPr>
                <w:rFonts w:eastAsia="Calibri"/>
                <w:lang w:eastAsia="en-GB"/>
              </w:rPr>
              <w:t>Counter Terrorism</w:t>
            </w:r>
          </w:p>
          <w:p w:rsidR="00AC5693" w:rsidRPr="00A31ADE" w:rsidRDefault="00AC5693" w:rsidP="00AC5693">
            <w:pPr>
              <w:rPr>
                <w:rFonts w:eastAsia="Calibri"/>
                <w:lang w:eastAsia="en-GB"/>
              </w:rPr>
            </w:pPr>
            <w:r>
              <w:rPr>
                <w:rFonts w:eastAsia="Calibri"/>
                <w:lang w:eastAsia="en-GB"/>
              </w:rPr>
              <w:t>Minorities</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Pr="00BE3252" w:rsidRDefault="008C5C9E" w:rsidP="00AC5693">
            <w:pPr>
              <w:spacing w:before="120"/>
              <w:ind w:right="113"/>
            </w:pPr>
            <w:r>
              <w:t>--</w:t>
            </w:r>
          </w:p>
        </w:tc>
        <w:tc>
          <w:tcPr>
            <w:tcW w:w="3400" w:type="dxa"/>
            <w:shd w:val="clear" w:color="auto" w:fill="auto"/>
          </w:tcPr>
          <w:p w:rsidR="00953956" w:rsidRPr="00BE3252" w:rsidRDefault="00AC5693" w:rsidP="00AC5693">
            <w:pPr>
              <w:spacing w:before="120"/>
              <w:ind w:right="113"/>
            </w:pPr>
            <w:r>
              <w:t>Right to Truth</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8C5C9E">
            <w:pPr>
              <w:spacing w:before="40" w:after="120"/>
              <w:ind w:right="113"/>
            </w:pPr>
            <w:r>
              <w:t xml:space="preserve">During the period under review </w:t>
            </w:r>
            <w:r w:rsidR="008C5C9E">
              <w:t>one</w:t>
            </w:r>
            <w:r w:rsidR="009D3FA1">
              <w:t xml:space="preserve"> communication</w:t>
            </w:r>
            <w:r w:rsidR="008C5C9E">
              <w:t xml:space="preserve"> was</w:t>
            </w:r>
            <w:r w:rsidR="009D3FA1">
              <w:t xml:space="preserve"> sent</w:t>
            </w:r>
            <w:r w:rsidR="008C5C9E">
              <w:t xml:space="preserve"> to the</w:t>
            </w:r>
            <w:r>
              <w:t xml:space="preserve"> Government</w:t>
            </w:r>
            <w:r w:rsidR="008C5C9E">
              <w:t>. No</w:t>
            </w:r>
            <w:r>
              <w:t xml:space="preserve"> replied to</w:t>
            </w:r>
            <w:r w:rsidR="002B4657">
              <w:t xml:space="preserve"> </w:t>
            </w:r>
            <w:r w:rsidR="008C5C9E">
              <w:t>this communication.</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5D71E9" w:rsidP="00A81300">
            <w:pPr>
              <w:spacing w:before="40" w:after="120"/>
              <w:ind w:right="113"/>
            </w:pP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0A7DDF" w:rsidRPr="000A7DDF">
        <w:rPr>
          <w:rStyle w:val="EndnoteReference"/>
          <w:b w:val="0"/>
        </w:rPr>
        <w:endnoteReference w:id="27"/>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72466E">
            <w:pPr>
              <w:spacing w:before="40" w:after="120"/>
              <w:ind w:right="113"/>
              <w:rPr>
                <w:i/>
                <w:sz w:val="16"/>
              </w:rPr>
            </w:pPr>
            <w:r w:rsidRPr="005D71E9">
              <w:rPr>
                <w:i/>
                <w:sz w:val="16"/>
              </w:rPr>
              <w:t>Status during present cycle</w:t>
            </w:r>
            <w:r w:rsidR="0072466E" w:rsidRPr="0072466E">
              <w:rPr>
                <w:rStyle w:val="EndnoteReference"/>
              </w:rPr>
              <w:endnoteReference w:id="28"/>
            </w:r>
          </w:p>
        </w:tc>
      </w:tr>
      <w:tr w:rsidR="00A02BFB" w:rsidRPr="00332822" w:rsidTr="000E37D0">
        <w:trPr>
          <w:trHeight w:hRule="exact" w:val="625"/>
        </w:trPr>
        <w:tc>
          <w:tcPr>
            <w:tcW w:w="3211" w:type="dxa"/>
            <w:shd w:val="clear" w:color="auto" w:fill="auto"/>
            <w:vAlign w:val="bottom"/>
          </w:tcPr>
          <w:p w:rsidR="000E37D0" w:rsidRPr="000E37D0" w:rsidRDefault="000E37D0" w:rsidP="00A7325B">
            <w:pPr>
              <w:spacing w:line="200" w:lineRule="exact"/>
              <w:ind w:right="113"/>
            </w:pPr>
            <w:r w:rsidRPr="000E37D0">
              <w:t xml:space="preserve">Institute of Human Rights </w:t>
            </w:r>
          </w:p>
          <w:p w:rsidR="00A02BFB" w:rsidRPr="00953956" w:rsidRDefault="000E37D0" w:rsidP="000E37D0">
            <w:pPr>
              <w:spacing w:before="80" w:after="80" w:line="200" w:lineRule="exact"/>
              <w:ind w:right="113"/>
            </w:pPr>
            <w:r w:rsidRPr="000E37D0">
              <w:t>Ombudsmen</w:t>
            </w:r>
          </w:p>
        </w:tc>
        <w:tc>
          <w:tcPr>
            <w:tcW w:w="3213" w:type="dxa"/>
            <w:shd w:val="clear" w:color="auto" w:fill="auto"/>
            <w:vAlign w:val="bottom"/>
          </w:tcPr>
          <w:p w:rsidR="00A02BFB" w:rsidRPr="00A81300" w:rsidRDefault="000E37D0" w:rsidP="00A7325B">
            <w:pPr>
              <w:spacing w:after="360" w:line="200" w:lineRule="exact"/>
              <w:ind w:right="113"/>
            </w:pPr>
            <w:r>
              <w:t>A</w:t>
            </w:r>
          </w:p>
        </w:tc>
        <w:tc>
          <w:tcPr>
            <w:tcW w:w="3213" w:type="dxa"/>
            <w:shd w:val="clear" w:color="auto" w:fill="auto"/>
            <w:vAlign w:val="bottom"/>
          </w:tcPr>
          <w:p w:rsidR="00A02BFB" w:rsidRPr="00A81300" w:rsidRDefault="000E37D0" w:rsidP="00A7325B">
            <w:pPr>
              <w:spacing w:after="480" w:line="200" w:lineRule="exact"/>
              <w:ind w:right="113"/>
            </w:pPr>
            <w:r>
              <w:t>A</w:t>
            </w:r>
            <w:bookmarkStart w:id="4" w:name="_GoBack"/>
            <w:bookmarkEnd w:id="4"/>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2F2EBD" w:rsidRDefault="002F2EBD" w:rsidP="002F2EBD">
      <w:pPr>
        <w:pStyle w:val="H4G"/>
      </w:pPr>
      <w:r>
        <w:t>Notes</w:t>
      </w:r>
    </w:p>
    <w:p w:rsidR="002F2EBD" w:rsidRPr="00174744" w:rsidRDefault="002F2EBD" w:rsidP="002F2EB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Bosnia and Herzegovina</w:t>
      </w:r>
      <w:r w:rsidRPr="008B4D7D">
        <w:rPr>
          <w:color w:val="4F81BD"/>
        </w:rPr>
        <w:t xml:space="preserve"> </w:t>
      </w:r>
      <w:r w:rsidRPr="00806A55">
        <w:t>from the previous cycle (A/HRC/WG.6/</w:t>
      </w:r>
      <w:r>
        <w:t>20/BIH</w:t>
      </w:r>
      <w:r w:rsidRPr="00806A55">
        <w:t>/2).</w:t>
      </w:r>
    </w:p>
  </w:endnote>
  <w:endnote w:id="3">
    <w:p w:rsidR="002F2EBD" w:rsidRDefault="002F2EBD" w:rsidP="002F2EBD">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2F2EBD" w:rsidRPr="00174744" w:rsidRDefault="002F2EBD" w:rsidP="002F2EBD">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2811A3">
        <w:rPr>
          <w:szCs w:val="18"/>
        </w:rPr>
        <w:t>;</w:t>
      </w:r>
    </w:p>
    <w:p w:rsidR="002F2EBD" w:rsidRPr="00174744" w:rsidRDefault="002F2EBD" w:rsidP="002F2EBD">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OP-ICESCR</w:t>
      </w:r>
      <w:r w:rsidRPr="00174744">
        <w:rPr>
          <w:szCs w:val="18"/>
        </w:rPr>
        <w:tab/>
        <w:t>Optional Protocol to ICESCR</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811A3">
        <w:rPr>
          <w:szCs w:val="18"/>
        </w:rPr>
        <w:t>;</w:t>
      </w:r>
    </w:p>
    <w:p w:rsidR="002F2EBD" w:rsidRPr="00174744" w:rsidRDefault="002F2EBD" w:rsidP="002F2EBD">
      <w:pPr>
        <w:pStyle w:val="EndnoteText"/>
        <w:widowControl w:val="0"/>
        <w:ind w:left="3969" w:hanging="2268"/>
        <w:rPr>
          <w:szCs w:val="18"/>
        </w:rPr>
      </w:pPr>
      <w:r w:rsidRPr="00174744">
        <w:rPr>
          <w:szCs w:val="18"/>
        </w:rPr>
        <w:t>ICCPR-OP 1</w:t>
      </w:r>
      <w:r w:rsidRPr="00174744">
        <w:rPr>
          <w:szCs w:val="18"/>
        </w:rPr>
        <w:tab/>
        <w:t>Optional Protocol to ICCPR</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OP-CEDAW</w:t>
      </w:r>
      <w:r w:rsidRPr="00174744">
        <w:rPr>
          <w:szCs w:val="18"/>
        </w:rPr>
        <w:tab/>
        <w:t>Optional Protocol to CEDAW</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OP-CAT</w:t>
      </w:r>
      <w:r w:rsidRPr="00174744">
        <w:rPr>
          <w:szCs w:val="18"/>
        </w:rPr>
        <w:tab/>
        <w:t>Optional Protocol to CAT</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CRC</w:t>
      </w:r>
      <w:r w:rsidRPr="00174744">
        <w:rPr>
          <w:szCs w:val="18"/>
        </w:rPr>
        <w:tab/>
        <w:t>Convention on the Rights of the Child</w:t>
      </w:r>
      <w:r w:rsidR="002811A3">
        <w:rPr>
          <w:szCs w:val="18"/>
        </w:rPr>
        <w:t>;</w:t>
      </w:r>
    </w:p>
    <w:p w:rsidR="002F2EBD" w:rsidRPr="00174744" w:rsidRDefault="002F2EBD" w:rsidP="002F2EBD">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811A3">
        <w:rPr>
          <w:szCs w:val="18"/>
        </w:rPr>
        <w:t>;</w:t>
      </w:r>
    </w:p>
    <w:p w:rsidR="002F2EBD" w:rsidRPr="00174744" w:rsidRDefault="002F2EBD" w:rsidP="002F2EBD">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811A3">
        <w:rPr>
          <w:szCs w:val="18"/>
        </w:rPr>
        <w:t>;</w:t>
      </w:r>
    </w:p>
    <w:p w:rsidR="002F2EBD" w:rsidRPr="00174744" w:rsidRDefault="002F2EBD" w:rsidP="002F2EBD">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811A3">
        <w:rPr>
          <w:szCs w:val="18"/>
        </w:rPr>
        <w:t>;</w:t>
      </w:r>
    </w:p>
    <w:p w:rsidR="002F2EBD" w:rsidRPr="00174744" w:rsidRDefault="002F2EBD" w:rsidP="002F2EBD">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2811A3">
        <w:rPr>
          <w:szCs w:val="18"/>
        </w:rPr>
        <w:t>;</w:t>
      </w:r>
    </w:p>
    <w:p w:rsidR="002F2EBD" w:rsidRPr="00174744" w:rsidRDefault="002F2EBD" w:rsidP="002F2EBD">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811A3">
        <w:rPr>
          <w:szCs w:val="18"/>
        </w:rPr>
        <w:t>;</w:t>
      </w:r>
    </w:p>
    <w:p w:rsidR="002F2EBD" w:rsidRPr="00174744" w:rsidRDefault="002F2EBD" w:rsidP="002F2EBD">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811A3">
        <w:rPr>
          <w:szCs w:val="18"/>
        </w:rPr>
        <w:t>;</w:t>
      </w:r>
    </w:p>
    <w:p w:rsidR="002F2EBD" w:rsidRPr="00AC3610" w:rsidRDefault="002F2EBD" w:rsidP="002F2EBD">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266FA4" w:rsidRDefault="00266FA4" w:rsidP="00266FA4">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84383A" w:rsidRPr="00A82F81" w:rsidRDefault="0084383A" w:rsidP="0084383A">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rsidR="00615804" w:rsidRPr="00A82F81" w:rsidRDefault="00615804" w:rsidP="00615804">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615804" w:rsidRPr="00A82F81" w:rsidRDefault="00615804" w:rsidP="00615804">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2811A3">
        <w:rPr>
          <w:szCs w:val="18"/>
        </w:rPr>
        <w:t>;</w:t>
      </w:r>
    </w:p>
    <w:p w:rsidR="00615804" w:rsidRPr="00A82F81" w:rsidRDefault="00615804" w:rsidP="00615804">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2811A3">
        <w:rPr>
          <w:szCs w:val="18"/>
        </w:rPr>
        <w:t>;</w:t>
      </w:r>
    </w:p>
  </w:endnote>
  <w:endnote w:id="7">
    <w:p w:rsidR="002811A3" w:rsidRDefault="002811A3" w:rsidP="002811A3">
      <w:pPr>
        <w:pStyle w:val="EndnoteText"/>
        <w:widowControl w:val="0"/>
        <w:tabs>
          <w:tab w:val="clear" w:pos="1021"/>
          <w:tab w:val="right" w:pos="1020"/>
        </w:tabs>
      </w:pPr>
      <w:r>
        <w:tab/>
      </w:r>
      <w:r>
        <w:rPr>
          <w:rStyle w:val="EndnoteReference"/>
        </w:rPr>
        <w:endnoteRef/>
      </w:r>
      <w:r>
        <w:tab/>
      </w:r>
      <w:r w:rsidRPr="002811A3">
        <w:rPr>
          <w:bCs/>
        </w:rPr>
        <w:t>CERD/C/BIH/CO/9-11, para. 20.</w:t>
      </w:r>
    </w:p>
  </w:endnote>
  <w:endnote w:id="8">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rPr>
        <w:t>CERD/C/BIH/CO/12-13, para. 46.</w:t>
      </w:r>
    </w:p>
  </w:endnote>
  <w:endnote w:id="9">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rPr>
        <w:t>CCPR/C/BIH/CO/2, para. 23.</w:t>
      </w:r>
    </w:p>
  </w:endnote>
  <w:endnote w:id="10">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rPr>
        <w:t>CCPR/C/BIH/CO/3, para. 42.</w:t>
      </w:r>
    </w:p>
  </w:endnote>
  <w:endnote w:id="11">
    <w:p w:rsidR="00112642" w:rsidRDefault="00112642" w:rsidP="00112642">
      <w:pPr>
        <w:pStyle w:val="EndnoteText"/>
        <w:widowControl w:val="0"/>
        <w:tabs>
          <w:tab w:val="clear" w:pos="1021"/>
          <w:tab w:val="right" w:pos="1020"/>
        </w:tabs>
      </w:pPr>
      <w:r>
        <w:tab/>
      </w:r>
      <w:r>
        <w:rPr>
          <w:rStyle w:val="EndnoteReference"/>
        </w:rPr>
        <w:endnoteRef/>
      </w:r>
      <w:r>
        <w:tab/>
      </w:r>
      <w:r w:rsidRPr="00112642">
        <w:t>CCPR/C/BIH/CO/2/Add.1</w:t>
      </w:r>
      <w:r>
        <w:t>.</w:t>
      </w:r>
    </w:p>
  </w:endnote>
  <w:endnote w:id="12">
    <w:p w:rsidR="00112642" w:rsidRDefault="00112642" w:rsidP="00112642">
      <w:pPr>
        <w:pStyle w:val="EndnoteText"/>
        <w:widowControl w:val="0"/>
        <w:tabs>
          <w:tab w:val="clear" w:pos="1021"/>
          <w:tab w:val="right" w:pos="1020"/>
        </w:tabs>
      </w:pPr>
      <w:r>
        <w:tab/>
      </w:r>
      <w:r>
        <w:rPr>
          <w:rStyle w:val="EndnoteReference"/>
        </w:rPr>
        <w:endnoteRef/>
      </w:r>
      <w:r>
        <w:tab/>
      </w:r>
      <w:r w:rsidRPr="00112642">
        <w:t>Letter from HR Committee to the Permanent Mission of Bosnia and Herzegovina to the United Nations Office and other international organizations in Geneva, dated 28 April 2014, available from https://tbinternet.ohchr.org/Treaties/CCPR/Shared%20Documents/BIH/INT_CCPR_FUL_BIH_17215_E.pdf (accessed on 24 January 2019).</w:t>
      </w:r>
    </w:p>
  </w:endnote>
  <w:endnote w:id="13">
    <w:p w:rsidR="00112642" w:rsidRDefault="00112642" w:rsidP="00112642">
      <w:pPr>
        <w:pStyle w:val="EndnoteText"/>
        <w:widowControl w:val="0"/>
        <w:tabs>
          <w:tab w:val="clear" w:pos="1021"/>
          <w:tab w:val="right" w:pos="1020"/>
        </w:tabs>
      </w:pPr>
      <w:r>
        <w:tab/>
      </w:r>
      <w:r>
        <w:rPr>
          <w:rStyle w:val="EndnoteReference"/>
        </w:rPr>
        <w:endnoteRef/>
      </w:r>
      <w:r>
        <w:tab/>
      </w:r>
      <w:r w:rsidRPr="00112642">
        <w:t xml:space="preserve">Letters from HR Committee to the Permanent Mission of Bosnia and Herzegovina to the United Nations Office and other international organizations in Geneva, dated 1 December 2014 and 9 June 2015, available from </w:t>
      </w:r>
      <w:hyperlink r:id="rId1" w:history="1">
        <w:r w:rsidRPr="00112642">
          <w:rPr>
            <w:rStyle w:val="Hyperlink"/>
          </w:rPr>
          <w:t>https://tbinternet.ohchr.org/Treaties/CCPR/Shared%20Documents/BIH/INT_CCPR_FUL_BIH_19315_E.pdf</w:t>
        </w:r>
      </w:hyperlink>
      <w:r w:rsidRPr="00112642">
        <w:t>; and https://tbinternet.ohchr.org/Treaties/CCPR/Shared%20Documents/BIH/INT_CCPR_FUL_BIH_20914_E.pdf (accessed on 24 January 2019).</w:t>
      </w:r>
    </w:p>
  </w:endnote>
  <w:endnote w:id="14">
    <w:p w:rsidR="00112642" w:rsidRDefault="00112642" w:rsidP="00112642">
      <w:pPr>
        <w:pStyle w:val="EndnoteText"/>
        <w:widowControl w:val="0"/>
        <w:tabs>
          <w:tab w:val="clear" w:pos="1021"/>
          <w:tab w:val="right" w:pos="1020"/>
        </w:tabs>
      </w:pPr>
      <w:r>
        <w:tab/>
      </w:r>
      <w:r>
        <w:rPr>
          <w:rStyle w:val="EndnoteReference"/>
        </w:rPr>
        <w:endnoteRef/>
      </w:r>
      <w:r>
        <w:tab/>
      </w:r>
      <w:r w:rsidRPr="00112642">
        <w:rPr>
          <w:lang w:val="en-US"/>
        </w:rPr>
        <w:t>CCPR/C/BIH/CO/3/Add.1.</w:t>
      </w:r>
    </w:p>
  </w:endnote>
  <w:endnote w:id="15">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rPr>
        <w:t>CEDAW/C/BIH/CO/4-5, para. 45.</w:t>
      </w:r>
    </w:p>
  </w:endnote>
  <w:endnote w:id="16">
    <w:p w:rsidR="00112642" w:rsidRDefault="00112642" w:rsidP="00112642">
      <w:pPr>
        <w:pStyle w:val="EndnoteText"/>
        <w:widowControl w:val="0"/>
        <w:tabs>
          <w:tab w:val="clear" w:pos="1021"/>
          <w:tab w:val="right" w:pos="1020"/>
        </w:tabs>
      </w:pPr>
      <w:r>
        <w:tab/>
      </w:r>
      <w:r>
        <w:rPr>
          <w:rStyle w:val="EndnoteReference"/>
        </w:rPr>
        <w:endnoteRef/>
      </w:r>
      <w:r>
        <w:tab/>
      </w:r>
      <w:r w:rsidRPr="00112642">
        <w:rPr>
          <w:lang w:val="en-US"/>
        </w:rPr>
        <w:t>CEDAW/C/BIH/CO/4-5/Add.1.</w:t>
      </w:r>
    </w:p>
  </w:endnote>
  <w:endnote w:id="17">
    <w:p w:rsidR="00112642" w:rsidRDefault="00112642" w:rsidP="00112642">
      <w:pPr>
        <w:pStyle w:val="EndnoteText"/>
        <w:widowControl w:val="0"/>
        <w:tabs>
          <w:tab w:val="clear" w:pos="1021"/>
          <w:tab w:val="right" w:pos="1020"/>
        </w:tabs>
      </w:pPr>
      <w:r>
        <w:tab/>
      </w:r>
      <w:r>
        <w:rPr>
          <w:rStyle w:val="EndnoteReference"/>
        </w:rPr>
        <w:endnoteRef/>
      </w:r>
      <w:r>
        <w:tab/>
      </w:r>
      <w:r w:rsidRPr="00112642">
        <w:t>Letter from CEDAW to the Permanent Mission of Bosnia and Herzegovina to the United Nations Office and other international organizations in Geneva, dated 13 May 2016, available from https://tbinternet.ohchr.org/Treaties/CEDAW/Shared%20Documents/BIH/INT_CEDAW_FUL_BIH_23895_E.pdf (accessed on 24 January 2019).</w:t>
      </w:r>
    </w:p>
  </w:endnote>
  <w:endnote w:id="18">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rPr>
        <w:t>CAT/C/BIH/CO/6, para. 40.</w:t>
      </w:r>
    </w:p>
  </w:endnote>
  <w:endnote w:id="19">
    <w:p w:rsidR="00112642" w:rsidRDefault="00112642" w:rsidP="00112642">
      <w:pPr>
        <w:pStyle w:val="EndnoteText"/>
        <w:widowControl w:val="0"/>
        <w:tabs>
          <w:tab w:val="clear" w:pos="1021"/>
          <w:tab w:val="right" w:pos="1020"/>
        </w:tabs>
      </w:pPr>
      <w:r>
        <w:tab/>
      </w:r>
      <w:r>
        <w:rPr>
          <w:rStyle w:val="EndnoteReference"/>
        </w:rPr>
        <w:endnoteRef/>
      </w:r>
      <w:r>
        <w:tab/>
      </w:r>
      <w:r w:rsidRPr="00112642">
        <w:t>CAT/C/BIH/CO/6/Add.1</w:t>
      </w:r>
      <w:r>
        <w:t>.</w:t>
      </w:r>
    </w:p>
  </w:endnote>
  <w:endnote w:id="20">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rPr>
        <w:t>CRPD/C/BIH/CO/1, para. 60.</w:t>
      </w:r>
    </w:p>
  </w:endnote>
  <w:endnote w:id="21">
    <w:p w:rsidR="00112642" w:rsidRDefault="00112642" w:rsidP="00112642">
      <w:pPr>
        <w:pStyle w:val="EndnoteText"/>
        <w:widowControl w:val="0"/>
        <w:tabs>
          <w:tab w:val="clear" w:pos="1021"/>
          <w:tab w:val="right" w:pos="1020"/>
        </w:tabs>
      </w:pPr>
      <w:r>
        <w:tab/>
      </w:r>
      <w:r>
        <w:rPr>
          <w:rStyle w:val="EndnoteReference"/>
        </w:rPr>
        <w:endnoteRef/>
      </w:r>
      <w:r>
        <w:tab/>
      </w:r>
      <w:r w:rsidRPr="00112642">
        <w:t>CRPD/C/BIH/CO/1/Add.1</w:t>
      </w:r>
      <w:r>
        <w:t>.</w:t>
      </w:r>
    </w:p>
  </w:endnote>
  <w:endnote w:id="22">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rPr>
        <w:t>CED/C/BIH/CO/1, para. 44.</w:t>
      </w:r>
    </w:p>
  </w:endnote>
  <w:endnote w:id="23">
    <w:p w:rsidR="00112642" w:rsidRDefault="00112642" w:rsidP="00112642">
      <w:pPr>
        <w:pStyle w:val="EndnoteText"/>
        <w:widowControl w:val="0"/>
        <w:tabs>
          <w:tab w:val="clear" w:pos="1021"/>
          <w:tab w:val="right" w:pos="1020"/>
        </w:tabs>
      </w:pPr>
      <w:r>
        <w:tab/>
      </w:r>
      <w:r>
        <w:rPr>
          <w:rStyle w:val="EndnoteReference"/>
        </w:rPr>
        <w:endnoteRef/>
      </w:r>
      <w:r>
        <w:tab/>
      </w:r>
      <w:r w:rsidRPr="00112642">
        <w:rPr>
          <w:lang w:val="en-US"/>
        </w:rPr>
        <w:t>CED/C/BIH/CO/1/Add.1.</w:t>
      </w:r>
    </w:p>
  </w:endnote>
  <w:endnote w:id="24">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rPr>
        <w:t>CCPR/C/113/D/2028/2011; CCPR/C/113/D/2022/2011; CCPR/C/114/D/2143/2012; CCPR/C/115/D/2048/2011; CCPR/C/115/D/2064/2011; and CCPR/C/119/D/2206/2012.</w:t>
      </w:r>
    </w:p>
  </w:endnote>
  <w:endnote w:id="25">
    <w:p w:rsidR="00112642" w:rsidRDefault="00112642" w:rsidP="00112642">
      <w:pPr>
        <w:pStyle w:val="EndnoteText"/>
        <w:widowControl w:val="0"/>
        <w:tabs>
          <w:tab w:val="clear" w:pos="1021"/>
          <w:tab w:val="right" w:pos="1020"/>
        </w:tabs>
      </w:pPr>
      <w:r>
        <w:tab/>
      </w:r>
      <w:r>
        <w:rPr>
          <w:rStyle w:val="EndnoteReference"/>
        </w:rPr>
        <w:endnoteRef/>
      </w:r>
      <w:r>
        <w:tab/>
      </w:r>
      <w:r w:rsidRPr="00112642">
        <w:rPr>
          <w:bCs/>
          <w:lang w:val="es-ES"/>
        </w:rPr>
        <w:t xml:space="preserve">CCPR/C/113/D/2028/2011, para. 12; CCPR/C/113/D/2022/2011, para. 12; CCPR/C/114/D/2143/2012, para. 14; CCPR/C/115/D/2048/2011, para. 12; CCPR/C/115/D/2064/2011, para. </w:t>
      </w:r>
      <w:r w:rsidRPr="00112642">
        <w:rPr>
          <w:bCs/>
        </w:rPr>
        <w:t>11; and CCPR/C/119/D/2206/2012, para. 10.</w:t>
      </w:r>
    </w:p>
  </w:endnote>
  <w:endnote w:id="26">
    <w:p w:rsidR="00AC5693" w:rsidRPr="00A82F81" w:rsidRDefault="00AC5693" w:rsidP="00AC5693">
      <w:pPr>
        <w:pStyle w:val="EndnoteText"/>
        <w:rPr>
          <w:szCs w:val="18"/>
        </w:rPr>
      </w:pPr>
      <w:r w:rsidRPr="00611C1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7">
    <w:p w:rsidR="000A7DDF" w:rsidRPr="00A82F81" w:rsidRDefault="000A7DDF" w:rsidP="000A7DDF">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8">
    <w:p w:rsidR="0072466E" w:rsidRDefault="0072466E" w:rsidP="0072466E">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72466E" w:rsidRDefault="0072466E" w:rsidP="0072466E">
      <w:pPr>
        <w:pStyle w:val="EndnoteText"/>
        <w:widowControl w:val="0"/>
        <w:ind w:firstLine="0"/>
        <w:rPr>
          <w:bCs/>
        </w:rPr>
      </w:pPr>
      <w:hyperlink r:id="rId2" w:history="1">
        <w:r>
          <w:rPr>
            <w:rStyle w:val="Hyperlink"/>
            <w:bCs/>
          </w:rPr>
          <w:t>https://nhri.ohchr.org/EN/Documents/Status%20Accreditation%20Chart%20%289%20May%202019%29.pdf</w:t>
        </w:r>
      </w:hyperlink>
    </w:p>
    <w:p w:rsidR="0072466E" w:rsidRDefault="0072466E" w:rsidP="0072466E">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72466E">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72466E"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11AE0"/>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A7DDF"/>
    <w:rsid w:val="000B1509"/>
    <w:rsid w:val="000B175B"/>
    <w:rsid w:val="000B3A0F"/>
    <w:rsid w:val="000B4A3B"/>
    <w:rsid w:val="000C0F5E"/>
    <w:rsid w:val="000D0709"/>
    <w:rsid w:val="000D1851"/>
    <w:rsid w:val="000E0415"/>
    <w:rsid w:val="000E37D0"/>
    <w:rsid w:val="000F63EB"/>
    <w:rsid w:val="0010479D"/>
    <w:rsid w:val="00112642"/>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E0B"/>
    <w:rsid w:val="00211E72"/>
    <w:rsid w:val="00212C44"/>
    <w:rsid w:val="00214047"/>
    <w:rsid w:val="0021454A"/>
    <w:rsid w:val="0022130F"/>
    <w:rsid w:val="0022777B"/>
    <w:rsid w:val="00227F18"/>
    <w:rsid w:val="00237785"/>
    <w:rsid w:val="002410DD"/>
    <w:rsid w:val="00241466"/>
    <w:rsid w:val="00246442"/>
    <w:rsid w:val="00253D58"/>
    <w:rsid w:val="00254654"/>
    <w:rsid w:val="0025642D"/>
    <w:rsid w:val="00264FA3"/>
    <w:rsid w:val="00266FA4"/>
    <w:rsid w:val="00267425"/>
    <w:rsid w:val="00270E89"/>
    <w:rsid w:val="0027725F"/>
    <w:rsid w:val="0028001D"/>
    <w:rsid w:val="002811A3"/>
    <w:rsid w:val="00283347"/>
    <w:rsid w:val="00292DEC"/>
    <w:rsid w:val="00296EB7"/>
    <w:rsid w:val="002A18B1"/>
    <w:rsid w:val="002B4657"/>
    <w:rsid w:val="002B4713"/>
    <w:rsid w:val="002C1E8B"/>
    <w:rsid w:val="002C21F0"/>
    <w:rsid w:val="002E0FB9"/>
    <w:rsid w:val="002E2FEF"/>
    <w:rsid w:val="002E5BE3"/>
    <w:rsid w:val="002E646B"/>
    <w:rsid w:val="002F2142"/>
    <w:rsid w:val="002F2EBD"/>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580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564B"/>
    <w:rsid w:val="006F13F0"/>
    <w:rsid w:val="006F5035"/>
    <w:rsid w:val="007065EB"/>
    <w:rsid w:val="00714C15"/>
    <w:rsid w:val="00720183"/>
    <w:rsid w:val="00722A33"/>
    <w:rsid w:val="0072466E"/>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4383A"/>
    <w:rsid w:val="00856CD2"/>
    <w:rsid w:val="00861BC6"/>
    <w:rsid w:val="00871FD5"/>
    <w:rsid w:val="008741DC"/>
    <w:rsid w:val="00875FCF"/>
    <w:rsid w:val="00896CDD"/>
    <w:rsid w:val="008979B1"/>
    <w:rsid w:val="008A569F"/>
    <w:rsid w:val="008A638C"/>
    <w:rsid w:val="008A6B25"/>
    <w:rsid w:val="008A6C4F"/>
    <w:rsid w:val="008B7D95"/>
    <w:rsid w:val="008C1E4D"/>
    <w:rsid w:val="008C32F7"/>
    <w:rsid w:val="008C3EA7"/>
    <w:rsid w:val="008C5C9E"/>
    <w:rsid w:val="008D1396"/>
    <w:rsid w:val="008D7D5A"/>
    <w:rsid w:val="008E0DD8"/>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325B"/>
    <w:rsid w:val="00A748A6"/>
    <w:rsid w:val="00A81300"/>
    <w:rsid w:val="00A84806"/>
    <w:rsid w:val="00A850C2"/>
    <w:rsid w:val="00A879A4"/>
    <w:rsid w:val="00A87E95"/>
    <w:rsid w:val="00A90A6C"/>
    <w:rsid w:val="00A92BC7"/>
    <w:rsid w:val="00A92E29"/>
    <w:rsid w:val="00A97EBD"/>
    <w:rsid w:val="00AA0E73"/>
    <w:rsid w:val="00AB1F38"/>
    <w:rsid w:val="00AC2000"/>
    <w:rsid w:val="00AC5693"/>
    <w:rsid w:val="00AD09E9"/>
    <w:rsid w:val="00AD7B29"/>
    <w:rsid w:val="00AF0576"/>
    <w:rsid w:val="00AF3829"/>
    <w:rsid w:val="00AF39C7"/>
    <w:rsid w:val="00B01CDB"/>
    <w:rsid w:val="00B037F0"/>
    <w:rsid w:val="00B07B0C"/>
    <w:rsid w:val="00B14190"/>
    <w:rsid w:val="00B145B3"/>
    <w:rsid w:val="00B22B96"/>
    <w:rsid w:val="00B2327D"/>
    <w:rsid w:val="00B236D9"/>
    <w:rsid w:val="00B2718F"/>
    <w:rsid w:val="00B2730A"/>
    <w:rsid w:val="00B30179"/>
    <w:rsid w:val="00B3317B"/>
    <w:rsid w:val="00B334DC"/>
    <w:rsid w:val="00B34C69"/>
    <w:rsid w:val="00B3631A"/>
    <w:rsid w:val="00B53013"/>
    <w:rsid w:val="00B56740"/>
    <w:rsid w:val="00B65CCC"/>
    <w:rsid w:val="00B67F5E"/>
    <w:rsid w:val="00B70275"/>
    <w:rsid w:val="00B722B4"/>
    <w:rsid w:val="00B73E65"/>
    <w:rsid w:val="00B75057"/>
    <w:rsid w:val="00B81E12"/>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E7D54"/>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21C38"/>
    <w:rsid w:val="00F238A8"/>
    <w:rsid w:val="00F23933"/>
    <w:rsid w:val="00F24119"/>
    <w:rsid w:val="00F30B7B"/>
    <w:rsid w:val="00F354BF"/>
    <w:rsid w:val="00F40E75"/>
    <w:rsid w:val="00F42CD9"/>
    <w:rsid w:val="00F52936"/>
    <w:rsid w:val="00F66B80"/>
    <w:rsid w:val="00F677CB"/>
    <w:rsid w:val="00F72113"/>
    <w:rsid w:val="00F723A2"/>
    <w:rsid w:val="00F75F2D"/>
    <w:rsid w:val="00F76CA4"/>
    <w:rsid w:val="00F76DA4"/>
    <w:rsid w:val="00F812EC"/>
    <w:rsid w:val="00F83992"/>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70C23"/>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 w:id="16886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9%20May%202019%29.pdf" TargetMode="External"/><Relationship Id="rId1" Type="http://schemas.openxmlformats.org/officeDocument/2006/relationships/hyperlink" Target="https://tbinternet.ohchr.org/Treaties/CCPR/Shared%20Documents/BIH/INT_CCPR_FUL_BIH_19315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9A38F-DC2A-413B-B19D-66F97CAD90A3}">
  <ds:schemaRefs>
    <ds:schemaRef ds:uri="http://schemas.openxmlformats.org/officeDocument/2006/bibliography"/>
  </ds:schemaRefs>
</ds:datastoreItem>
</file>

<file path=customXml/itemProps2.xml><?xml version="1.0" encoding="utf-8"?>
<ds:datastoreItem xmlns:ds="http://schemas.openxmlformats.org/officeDocument/2006/customXml" ds:itemID="{E315BEEB-8D48-4709-895C-282BD3FF363F}"/>
</file>

<file path=customXml/itemProps3.xml><?xml version="1.0" encoding="utf-8"?>
<ds:datastoreItem xmlns:ds="http://schemas.openxmlformats.org/officeDocument/2006/customXml" ds:itemID="{362D0B5B-C406-44BC-A655-7C5A1B6E4738}"/>
</file>

<file path=customXml/itemProps4.xml><?xml version="1.0" encoding="utf-8"?>
<ds:datastoreItem xmlns:ds="http://schemas.openxmlformats.org/officeDocument/2006/customXml" ds:itemID="{0CD3DB07-22E1-456F-8A8E-63353F6DF3BE}"/>
</file>

<file path=docProps/app.xml><?xml version="1.0" encoding="utf-8"?>
<Properties xmlns="http://schemas.openxmlformats.org/officeDocument/2006/extended-properties" xmlns:vt="http://schemas.openxmlformats.org/officeDocument/2006/docPropsVTypes">
  <Template>A_E.dotm</Template>
  <TotalTime>40</TotalTime>
  <Pages>6</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6_34_BIH_2_Bosnia and Herzegovina_Annex_E</dc:title>
  <dc:creator>Sumiko IHARA</dc:creator>
  <cp:lastModifiedBy>Feyikemi Oyewole</cp:lastModifiedBy>
  <cp:revision>23</cp:revision>
  <cp:lastPrinted>2008-01-29T07:30:00Z</cp:lastPrinted>
  <dcterms:created xsi:type="dcterms:W3CDTF">2019-08-20T09:48:00Z</dcterms:created>
  <dcterms:modified xsi:type="dcterms:W3CDTF">2019-10-01T14:25:00Z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