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534600" w:rsidRDefault="005512BA" w:rsidP="005512BA">
      <w:pPr>
        <w:pStyle w:val="HChG"/>
      </w:pPr>
      <w:r>
        <w:tab/>
      </w:r>
      <w:r>
        <w:tab/>
      </w:r>
      <w:r w:rsidRPr="00534600">
        <w:t xml:space="preserve">Tables for UN </w:t>
      </w:r>
      <w:r w:rsidR="00A02BFB" w:rsidRPr="00534600">
        <w:t xml:space="preserve">Compilation on </w:t>
      </w:r>
      <w:r w:rsidR="004E7F60" w:rsidRPr="00534600">
        <w:t>Norway</w:t>
      </w:r>
    </w:p>
    <w:p w:rsidR="00A02BFB" w:rsidRPr="00A02BFB" w:rsidRDefault="005512BA" w:rsidP="005512BA">
      <w:pPr>
        <w:pStyle w:val="HChG"/>
      </w:pPr>
      <w:r w:rsidRPr="00534600">
        <w:tab/>
      </w:r>
      <w:r w:rsidR="00A02BFB" w:rsidRPr="00A02BFB">
        <w:t>I.</w:t>
      </w:r>
      <w:r w:rsidR="00A02BFB" w:rsidRPr="00A02BFB">
        <w:tab/>
        <w:t>Scope of international obligations</w:t>
      </w:r>
      <w:r w:rsidR="00A02BFB" w:rsidRPr="0001149C">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01149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6C392C" w:rsidRDefault="00A02BFB" w:rsidP="008B4D7D">
            <w:pPr>
              <w:spacing w:before="40" w:after="120"/>
              <w:ind w:right="113"/>
            </w:pPr>
            <w:r w:rsidRPr="006C392C">
              <w:t>ICERD (</w:t>
            </w:r>
            <w:r w:rsidR="00341251" w:rsidRPr="006C392C">
              <w:t>1970</w:t>
            </w:r>
            <w:r w:rsidRPr="006C392C">
              <w:t>)</w:t>
            </w:r>
          </w:p>
          <w:p w:rsidR="00A02BFB" w:rsidRPr="006C392C" w:rsidRDefault="00A02BFB" w:rsidP="008B4D7D">
            <w:pPr>
              <w:spacing w:before="40" w:after="120"/>
              <w:ind w:right="113"/>
            </w:pPr>
            <w:r w:rsidRPr="006C392C">
              <w:t>ICESCR (</w:t>
            </w:r>
            <w:r w:rsidR="00341251" w:rsidRPr="006C392C">
              <w:t>1972</w:t>
            </w:r>
            <w:r w:rsidRPr="006C392C">
              <w:t>)</w:t>
            </w:r>
          </w:p>
          <w:p w:rsidR="00296EB7" w:rsidRPr="006C392C" w:rsidRDefault="00296EB7" w:rsidP="008B4D7D">
            <w:pPr>
              <w:spacing w:before="40" w:after="120"/>
              <w:ind w:right="113"/>
            </w:pPr>
            <w:r w:rsidRPr="006C392C">
              <w:t>ICCPR (</w:t>
            </w:r>
            <w:r w:rsidR="00341251" w:rsidRPr="006C392C">
              <w:t>1972</w:t>
            </w:r>
            <w:r w:rsidRPr="006C392C">
              <w:t>)</w:t>
            </w:r>
          </w:p>
          <w:p w:rsidR="00A02BFB" w:rsidRPr="006C392C" w:rsidRDefault="00A02BFB" w:rsidP="008B4D7D">
            <w:pPr>
              <w:spacing w:before="40" w:after="120"/>
              <w:ind w:right="113"/>
            </w:pPr>
            <w:r w:rsidRPr="006C392C">
              <w:t>ICCPR-OP 2 (</w:t>
            </w:r>
            <w:r w:rsidR="00156780" w:rsidRPr="006C392C">
              <w:t>1991</w:t>
            </w:r>
            <w:r w:rsidRPr="006C392C">
              <w:t>)</w:t>
            </w:r>
          </w:p>
          <w:p w:rsidR="00A02BFB" w:rsidRPr="00A02BFB" w:rsidRDefault="00A02BFB" w:rsidP="008B4D7D">
            <w:pPr>
              <w:spacing w:before="40" w:after="120"/>
              <w:ind w:right="113"/>
            </w:pPr>
            <w:r w:rsidRPr="00A02BFB">
              <w:t>CEDAW (</w:t>
            </w:r>
            <w:r w:rsidR="00FA1200">
              <w:t>1981</w:t>
            </w:r>
            <w:r w:rsidRPr="00A02BFB">
              <w:t>)</w:t>
            </w:r>
          </w:p>
          <w:p w:rsidR="00A02BFB" w:rsidRPr="00A02BFB" w:rsidRDefault="00A02BFB" w:rsidP="008B4D7D">
            <w:pPr>
              <w:spacing w:before="40" w:after="120"/>
              <w:ind w:right="113"/>
            </w:pPr>
            <w:r w:rsidRPr="00A02BFB">
              <w:t>CAT (</w:t>
            </w:r>
            <w:r w:rsidR="00FA1200">
              <w:t>1986</w:t>
            </w:r>
            <w:r w:rsidRPr="00A02BFB">
              <w:t>)</w:t>
            </w:r>
          </w:p>
          <w:p w:rsidR="00A02BFB" w:rsidRPr="00A02BFB" w:rsidRDefault="00A02BFB" w:rsidP="008B4D7D">
            <w:pPr>
              <w:spacing w:before="40" w:after="120"/>
              <w:ind w:right="113"/>
            </w:pPr>
            <w:r w:rsidRPr="00A02BFB">
              <w:t>OP-CAT (</w:t>
            </w:r>
            <w:r w:rsidR="00FA1200">
              <w:t>2013</w:t>
            </w:r>
            <w:r w:rsidRPr="00A02BFB">
              <w:t>)</w:t>
            </w:r>
          </w:p>
          <w:p w:rsidR="00A02BFB" w:rsidRPr="00A02BFB" w:rsidRDefault="00A02BFB" w:rsidP="008B4D7D">
            <w:pPr>
              <w:spacing w:before="40" w:after="120"/>
              <w:ind w:right="113"/>
            </w:pPr>
            <w:r w:rsidRPr="00A02BFB">
              <w:t>CRC (</w:t>
            </w:r>
            <w:r w:rsidR="001B37DE">
              <w:t>1991</w:t>
            </w:r>
            <w:r w:rsidRPr="00A02BFB">
              <w:t>)</w:t>
            </w:r>
          </w:p>
          <w:p w:rsidR="00A02BFB" w:rsidRPr="00A02BFB" w:rsidRDefault="00A02BFB" w:rsidP="008B4D7D">
            <w:pPr>
              <w:spacing w:before="40" w:after="120"/>
              <w:ind w:right="113"/>
            </w:pPr>
            <w:r w:rsidRPr="00A02BFB">
              <w:t>OP-CRC-AC (</w:t>
            </w:r>
            <w:r w:rsidR="006560B4">
              <w:t>2003</w:t>
            </w:r>
            <w:r w:rsidRPr="00A02BFB">
              <w:t>)</w:t>
            </w:r>
          </w:p>
          <w:p w:rsidR="00A02BFB" w:rsidRPr="00A02BFB" w:rsidRDefault="00A02BFB" w:rsidP="008B4D7D">
            <w:pPr>
              <w:spacing w:before="40" w:after="120"/>
              <w:ind w:right="113"/>
            </w:pPr>
            <w:r w:rsidRPr="00A02BFB">
              <w:t>OP-CRC-SC (</w:t>
            </w:r>
            <w:r w:rsidR="00A814E0">
              <w:t>2001</w:t>
            </w:r>
            <w:r w:rsidRPr="00A02BFB">
              <w:t>)</w:t>
            </w:r>
          </w:p>
          <w:p w:rsidR="00A02BFB" w:rsidRPr="00A02BFB" w:rsidRDefault="00A02BFB" w:rsidP="008B4D7D">
            <w:pPr>
              <w:spacing w:before="40" w:after="120"/>
              <w:ind w:right="113"/>
            </w:pPr>
            <w:r w:rsidRPr="00A02BFB">
              <w:t>CRPD (</w:t>
            </w:r>
            <w:r w:rsidR="00156780">
              <w:t>2013</w:t>
            </w:r>
            <w:r w:rsidRPr="00A02BFB">
              <w:t>)</w:t>
            </w:r>
          </w:p>
          <w:p w:rsidR="00A02BFB" w:rsidRPr="00A02BFB" w:rsidRDefault="00A02BFB" w:rsidP="00C91836">
            <w:pPr>
              <w:spacing w:before="40" w:after="120"/>
              <w:ind w:right="113"/>
            </w:pPr>
            <w:r w:rsidRPr="00A02BFB">
              <w:t>ICPPED (</w:t>
            </w:r>
            <w:r w:rsidR="00C91836">
              <w:t>signature, 2007</w:t>
            </w:r>
            <w:r w:rsidRPr="00A02BFB">
              <w:t>)</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Default="00156780" w:rsidP="008B4D7D">
            <w:pPr>
              <w:spacing w:before="40" w:after="120"/>
              <w:ind w:right="113"/>
            </w:pPr>
            <w:r w:rsidRPr="00A02BFB">
              <w:t>ICRMW</w:t>
            </w:r>
          </w:p>
          <w:p w:rsidR="00C91836" w:rsidRPr="00A02BFB" w:rsidRDefault="00C91836" w:rsidP="008B4D7D">
            <w:pPr>
              <w:spacing w:before="40" w:after="120"/>
              <w:ind w:right="113"/>
            </w:pPr>
            <w:r w:rsidRPr="00A02BFB">
              <w:t>ICPPED (</w:t>
            </w:r>
            <w:r>
              <w:t>signature, 2007</w:t>
            </w:r>
            <w:r w:rsidRPr="00A02BFB">
              <w:t>)</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6121E1">
              <w:rPr>
                <w:rStyle w:val="EndnoteReference"/>
              </w:rPr>
              <w:endnoteReference w:id="4"/>
            </w: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ICERD, art. 14 (</w:t>
            </w:r>
            <w:r w:rsidR="00341251">
              <w:t>1976</w:t>
            </w:r>
            <w:r w:rsidRPr="00A02BFB">
              <w:t>)</w:t>
            </w:r>
          </w:p>
          <w:p w:rsidR="00A02BFB" w:rsidRPr="00A02BFB" w:rsidRDefault="00A02BFB" w:rsidP="008B4D7D">
            <w:pPr>
              <w:spacing w:before="40" w:after="120"/>
              <w:ind w:right="113"/>
            </w:pPr>
            <w:r w:rsidRPr="00A02BFB">
              <w:t>ICCPR, art. 41 (</w:t>
            </w:r>
            <w:r w:rsidR="00341251">
              <w:t>1972</w:t>
            </w:r>
            <w:r w:rsidRPr="00A02BFB">
              <w:t>)</w:t>
            </w:r>
          </w:p>
          <w:p w:rsidR="00A02BFB" w:rsidRPr="00A02BFB" w:rsidRDefault="00A02BFB" w:rsidP="008B4D7D">
            <w:pPr>
              <w:spacing w:before="40" w:after="120"/>
              <w:ind w:right="113"/>
            </w:pPr>
            <w:r w:rsidRPr="00A02BFB">
              <w:t>ICCPR-OP 1 (</w:t>
            </w:r>
            <w:r w:rsidR="00250E75">
              <w:t>1972</w:t>
            </w:r>
            <w:r w:rsidRPr="00A02BFB">
              <w:t>)</w:t>
            </w:r>
          </w:p>
          <w:p w:rsidR="00A02BFB" w:rsidRPr="00A02BFB" w:rsidRDefault="00A02BFB" w:rsidP="008B4D7D">
            <w:pPr>
              <w:spacing w:before="40" w:after="120"/>
              <w:ind w:right="113"/>
            </w:pPr>
            <w:r w:rsidRPr="00A02BFB">
              <w:t>OP-CEDAW, art. 8 (</w:t>
            </w:r>
            <w:r w:rsidR="00FA1200">
              <w:t>2002</w:t>
            </w:r>
            <w:r w:rsidRPr="00A02BFB">
              <w:t>)</w:t>
            </w:r>
          </w:p>
          <w:p w:rsidR="00A02BFB" w:rsidRPr="00A02BFB" w:rsidRDefault="00A02BFB" w:rsidP="00C91836">
            <w:pPr>
              <w:spacing w:before="40" w:after="120"/>
              <w:ind w:right="113"/>
            </w:pPr>
            <w:r w:rsidRPr="00A02BFB">
              <w:t>CAT, arts. 20, 21 and 22 (</w:t>
            </w:r>
            <w:r w:rsidR="00FA1200">
              <w:t>1986</w:t>
            </w:r>
            <w:r w:rsidRPr="00A02BFB">
              <w:t>)</w:t>
            </w: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Default="00341251" w:rsidP="008B4D7D">
            <w:pPr>
              <w:spacing w:before="40" w:after="120"/>
              <w:ind w:right="113"/>
            </w:pPr>
            <w:r w:rsidRPr="00A02BFB">
              <w:t>OP-ICESCR</w:t>
            </w:r>
          </w:p>
          <w:p w:rsidR="00156780" w:rsidRDefault="00156780" w:rsidP="008B4D7D">
            <w:pPr>
              <w:spacing w:before="40" w:after="120"/>
              <w:ind w:right="113"/>
            </w:pPr>
            <w:r w:rsidRPr="00A02BFB">
              <w:t>OP-CRC-IC</w:t>
            </w:r>
          </w:p>
          <w:p w:rsidR="00156780" w:rsidRDefault="00156780" w:rsidP="008B4D7D">
            <w:pPr>
              <w:spacing w:before="40" w:after="120"/>
              <w:ind w:right="113"/>
            </w:pPr>
            <w:r w:rsidRPr="00A02BFB">
              <w:t>ICRMW</w:t>
            </w:r>
          </w:p>
          <w:p w:rsidR="00C91836" w:rsidRDefault="00C91836" w:rsidP="008B4D7D">
            <w:pPr>
              <w:spacing w:before="40" w:after="120"/>
              <w:ind w:right="113"/>
            </w:pPr>
            <w:r w:rsidRPr="00A02BFB">
              <w:t>OP-CRPD</w:t>
            </w:r>
          </w:p>
          <w:p w:rsidR="00C91836" w:rsidRPr="00A02BFB" w:rsidRDefault="00C91836" w:rsidP="008B4D7D">
            <w:pPr>
              <w:spacing w:before="40" w:after="120"/>
              <w:ind w:right="113"/>
            </w:pPr>
            <w:r w:rsidRPr="00A02BFB">
              <w:t>ICPPED (</w:t>
            </w:r>
            <w:r>
              <w:t>signature, 2007</w:t>
            </w:r>
            <w:r w:rsidRPr="00A02BFB">
              <w:t>)</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341251">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341251" w:rsidP="00720D94">
            <w:pPr>
              <w:spacing w:before="40" w:after="120"/>
              <w:ind w:right="113"/>
            </w:pPr>
            <w:r>
              <w:t xml:space="preserve">ICESCR (Reservation, </w:t>
            </w:r>
            <w:r w:rsidR="00A02BFB" w:rsidRPr="00A02BFB">
              <w:t xml:space="preserve">art. </w:t>
            </w:r>
            <w:r>
              <w:t>8.1(d), 1972</w:t>
            </w:r>
            <w:r w:rsidR="00A02BFB" w:rsidRPr="00A02BFB">
              <w:t>)</w:t>
            </w:r>
          </w:p>
        </w:tc>
        <w:tc>
          <w:tcPr>
            <w:tcW w:w="2409" w:type="dxa"/>
            <w:shd w:val="clear" w:color="auto" w:fill="auto"/>
          </w:tcPr>
          <w:p w:rsidR="00A02BFB" w:rsidRPr="00A02BFB" w:rsidRDefault="00A02BFB" w:rsidP="00720D94">
            <w:pPr>
              <w:spacing w:before="40" w:after="120"/>
              <w:ind w:right="113"/>
            </w:pPr>
          </w:p>
        </w:tc>
        <w:tc>
          <w:tcPr>
            <w:tcW w:w="2410" w:type="dxa"/>
            <w:shd w:val="clear" w:color="auto" w:fill="auto"/>
          </w:tcPr>
          <w:p w:rsidR="00A02BFB" w:rsidRPr="00A02BFB" w:rsidRDefault="00341251" w:rsidP="00720D94">
            <w:pPr>
              <w:spacing w:before="40" w:after="120"/>
              <w:ind w:right="113"/>
            </w:pPr>
            <w:r>
              <w:t xml:space="preserve">ICESCR (Reservation, </w:t>
            </w:r>
            <w:r w:rsidRPr="00A02BFB">
              <w:t xml:space="preserve">art. </w:t>
            </w:r>
            <w:r>
              <w:t>8.1(d)</w:t>
            </w:r>
            <w:r w:rsidRPr="00A02BFB">
              <w:t>)</w:t>
            </w:r>
          </w:p>
        </w:tc>
      </w:tr>
      <w:tr w:rsidR="00341251" w:rsidRPr="00A02BFB" w:rsidTr="00DD1D2D">
        <w:tc>
          <w:tcPr>
            <w:tcW w:w="2409" w:type="dxa"/>
            <w:shd w:val="clear" w:color="auto" w:fill="auto"/>
          </w:tcPr>
          <w:p w:rsidR="00341251" w:rsidRPr="00A02BFB" w:rsidRDefault="00341251" w:rsidP="008B4D7D">
            <w:pPr>
              <w:spacing w:before="40" w:after="120"/>
              <w:ind w:right="113"/>
            </w:pPr>
          </w:p>
        </w:tc>
        <w:tc>
          <w:tcPr>
            <w:tcW w:w="2409" w:type="dxa"/>
            <w:shd w:val="clear" w:color="auto" w:fill="auto"/>
          </w:tcPr>
          <w:p w:rsidR="00341251" w:rsidRDefault="00341251" w:rsidP="00720D94">
            <w:pPr>
              <w:spacing w:before="40" w:after="120"/>
              <w:ind w:right="113"/>
            </w:pPr>
            <w:r>
              <w:t>ICCPR (Reservations, arts. 10.2(b), 10.3, 14.5, 14.7 and 20.1, 1972)</w:t>
            </w:r>
          </w:p>
        </w:tc>
        <w:tc>
          <w:tcPr>
            <w:tcW w:w="2409" w:type="dxa"/>
            <w:shd w:val="clear" w:color="auto" w:fill="auto"/>
          </w:tcPr>
          <w:p w:rsidR="00341251" w:rsidRPr="00A02BFB" w:rsidRDefault="00341251" w:rsidP="00720D94">
            <w:pPr>
              <w:spacing w:before="40" w:after="120"/>
              <w:ind w:right="113"/>
            </w:pPr>
          </w:p>
        </w:tc>
        <w:tc>
          <w:tcPr>
            <w:tcW w:w="2410" w:type="dxa"/>
            <w:shd w:val="clear" w:color="auto" w:fill="auto"/>
          </w:tcPr>
          <w:p w:rsidR="00341251" w:rsidRDefault="00E97BA8" w:rsidP="00720D94">
            <w:pPr>
              <w:spacing w:before="40" w:after="120"/>
              <w:ind w:right="113"/>
            </w:pPr>
            <w:r>
              <w:t>ICCPR (Reservations, arts. 10.2(b), 10.3, 14.5, 14.7 and 20.1)</w:t>
            </w:r>
          </w:p>
        </w:tc>
      </w:tr>
      <w:tr w:rsidR="00DD1D2D" w:rsidRPr="00A02BFB" w:rsidTr="006560B4">
        <w:tc>
          <w:tcPr>
            <w:tcW w:w="2409" w:type="dxa"/>
            <w:shd w:val="clear" w:color="auto" w:fill="auto"/>
          </w:tcPr>
          <w:p w:rsidR="00DD1D2D" w:rsidRPr="00A02BFB" w:rsidRDefault="00DD1D2D" w:rsidP="008B4D7D">
            <w:pPr>
              <w:spacing w:before="40" w:after="120"/>
              <w:ind w:right="113"/>
            </w:pPr>
          </w:p>
        </w:tc>
        <w:tc>
          <w:tcPr>
            <w:tcW w:w="2409" w:type="dxa"/>
            <w:shd w:val="clear" w:color="auto" w:fill="auto"/>
          </w:tcPr>
          <w:p w:rsidR="00DD1D2D" w:rsidRDefault="00DD1D2D" w:rsidP="00720D94">
            <w:pPr>
              <w:spacing w:before="40" w:after="120"/>
              <w:ind w:right="113"/>
            </w:pPr>
            <w:r w:rsidRPr="00A02BFB">
              <w:t>ICCPR-OP 1 (</w:t>
            </w:r>
            <w:r>
              <w:t>Reservation, art. 5.2, 1972</w:t>
            </w:r>
            <w:r w:rsidRPr="00A02BFB">
              <w:t>)</w:t>
            </w:r>
          </w:p>
        </w:tc>
        <w:tc>
          <w:tcPr>
            <w:tcW w:w="2409" w:type="dxa"/>
            <w:shd w:val="clear" w:color="auto" w:fill="auto"/>
          </w:tcPr>
          <w:p w:rsidR="00DD1D2D" w:rsidRPr="00A02BFB" w:rsidRDefault="00DD1D2D" w:rsidP="00720D94">
            <w:pPr>
              <w:spacing w:before="40" w:after="120"/>
              <w:ind w:right="113"/>
            </w:pPr>
          </w:p>
        </w:tc>
        <w:tc>
          <w:tcPr>
            <w:tcW w:w="2410" w:type="dxa"/>
            <w:shd w:val="clear" w:color="auto" w:fill="auto"/>
          </w:tcPr>
          <w:p w:rsidR="00DD1D2D" w:rsidRDefault="00DD1D2D" w:rsidP="00720D94">
            <w:pPr>
              <w:spacing w:before="40" w:after="120"/>
              <w:ind w:right="113"/>
            </w:pPr>
            <w:r w:rsidRPr="00A02BFB">
              <w:t>ICCPR-OP 1 (</w:t>
            </w:r>
            <w:r>
              <w:t>Reservation, art. 5.2</w:t>
            </w:r>
            <w:r w:rsidRPr="00A02BFB">
              <w:t>)</w:t>
            </w:r>
          </w:p>
        </w:tc>
      </w:tr>
      <w:tr w:rsidR="006560B4" w:rsidRPr="00A02BFB" w:rsidTr="00156780">
        <w:tc>
          <w:tcPr>
            <w:tcW w:w="2409" w:type="dxa"/>
            <w:shd w:val="clear" w:color="auto" w:fill="auto"/>
          </w:tcPr>
          <w:p w:rsidR="006560B4" w:rsidRPr="00A02BFB" w:rsidRDefault="006560B4" w:rsidP="008B4D7D">
            <w:pPr>
              <w:spacing w:before="40" w:after="120"/>
              <w:ind w:right="113"/>
            </w:pPr>
          </w:p>
        </w:tc>
        <w:tc>
          <w:tcPr>
            <w:tcW w:w="2409" w:type="dxa"/>
            <w:shd w:val="clear" w:color="auto" w:fill="auto"/>
          </w:tcPr>
          <w:p w:rsidR="006560B4" w:rsidRPr="00A02BFB" w:rsidRDefault="006560B4" w:rsidP="00720D94">
            <w:pPr>
              <w:spacing w:before="40" w:after="120"/>
              <w:ind w:right="113"/>
            </w:pPr>
            <w:r w:rsidRPr="00A02BFB">
              <w:t>OP-CRC-AC (</w:t>
            </w:r>
            <w:r>
              <w:t xml:space="preserve">Declaration, art. 3.2, </w:t>
            </w:r>
            <w:r w:rsidR="00534600">
              <w:t xml:space="preserve">minimum </w:t>
            </w:r>
            <w:r>
              <w:t>age of recruitment at 18 years, 2003</w:t>
            </w:r>
            <w:r w:rsidRPr="00A02BFB">
              <w:t>)</w:t>
            </w:r>
          </w:p>
        </w:tc>
        <w:tc>
          <w:tcPr>
            <w:tcW w:w="2409" w:type="dxa"/>
            <w:shd w:val="clear" w:color="auto" w:fill="auto"/>
          </w:tcPr>
          <w:p w:rsidR="006560B4" w:rsidRPr="00A02BFB" w:rsidRDefault="006560B4" w:rsidP="00720D94">
            <w:pPr>
              <w:spacing w:before="40" w:after="120"/>
              <w:ind w:right="113"/>
            </w:pPr>
          </w:p>
        </w:tc>
        <w:tc>
          <w:tcPr>
            <w:tcW w:w="2410" w:type="dxa"/>
            <w:shd w:val="clear" w:color="auto" w:fill="auto"/>
          </w:tcPr>
          <w:p w:rsidR="006560B4" w:rsidRPr="00A02BFB" w:rsidRDefault="006560B4" w:rsidP="00720D94">
            <w:pPr>
              <w:spacing w:before="40" w:after="120"/>
              <w:ind w:right="113"/>
            </w:pPr>
            <w:r w:rsidRPr="00A02BFB">
              <w:t>OP-CRC-AC (</w:t>
            </w:r>
            <w:r>
              <w:t xml:space="preserve">Declaration, art. 3.2, </w:t>
            </w:r>
            <w:r w:rsidR="00534600">
              <w:t xml:space="preserve">minimum </w:t>
            </w:r>
            <w:r>
              <w:t>age of recruitment at 18 years</w:t>
            </w:r>
            <w:r w:rsidRPr="00A02BFB">
              <w:t>)</w:t>
            </w:r>
          </w:p>
        </w:tc>
      </w:tr>
      <w:tr w:rsidR="00156780" w:rsidRPr="00A02BFB" w:rsidTr="008B4D7D">
        <w:tc>
          <w:tcPr>
            <w:tcW w:w="2409" w:type="dxa"/>
            <w:tcBorders>
              <w:bottom w:val="single" w:sz="12" w:space="0" w:color="auto"/>
            </w:tcBorders>
            <w:shd w:val="clear" w:color="auto" w:fill="auto"/>
          </w:tcPr>
          <w:p w:rsidR="00156780" w:rsidRPr="00A02BFB" w:rsidRDefault="00156780" w:rsidP="008B4D7D">
            <w:pPr>
              <w:spacing w:before="40" w:after="120"/>
              <w:ind w:right="113"/>
            </w:pPr>
          </w:p>
        </w:tc>
        <w:tc>
          <w:tcPr>
            <w:tcW w:w="2409" w:type="dxa"/>
            <w:tcBorders>
              <w:bottom w:val="single" w:sz="12" w:space="0" w:color="auto"/>
            </w:tcBorders>
            <w:shd w:val="clear" w:color="auto" w:fill="auto"/>
          </w:tcPr>
          <w:p w:rsidR="00156780" w:rsidRPr="00A02BFB" w:rsidRDefault="00156780" w:rsidP="00720D94">
            <w:pPr>
              <w:spacing w:before="40" w:after="120"/>
              <w:ind w:right="113"/>
            </w:pPr>
            <w:r w:rsidRPr="00A02BFB">
              <w:t>CRPD (</w:t>
            </w:r>
            <w:r>
              <w:t>Declarations, arts. 12, 14 and 25, 2013</w:t>
            </w:r>
            <w:r w:rsidRPr="00A02BFB">
              <w:t>)</w:t>
            </w:r>
          </w:p>
        </w:tc>
        <w:tc>
          <w:tcPr>
            <w:tcW w:w="2409" w:type="dxa"/>
            <w:tcBorders>
              <w:bottom w:val="single" w:sz="12" w:space="0" w:color="auto"/>
            </w:tcBorders>
            <w:shd w:val="clear" w:color="auto" w:fill="auto"/>
          </w:tcPr>
          <w:p w:rsidR="00156780" w:rsidRPr="00A02BFB" w:rsidRDefault="00156780" w:rsidP="00720D94">
            <w:pPr>
              <w:spacing w:before="40" w:after="120"/>
              <w:ind w:right="113"/>
            </w:pPr>
          </w:p>
        </w:tc>
        <w:tc>
          <w:tcPr>
            <w:tcW w:w="2410" w:type="dxa"/>
            <w:tcBorders>
              <w:bottom w:val="single" w:sz="12" w:space="0" w:color="auto"/>
            </w:tcBorders>
            <w:shd w:val="clear" w:color="auto" w:fill="auto"/>
          </w:tcPr>
          <w:p w:rsidR="00156780" w:rsidRPr="00A02BFB" w:rsidRDefault="00156780" w:rsidP="00720D94">
            <w:pPr>
              <w:spacing w:before="40" w:after="120"/>
              <w:ind w:right="113"/>
            </w:pPr>
            <w:r w:rsidRPr="00A02BFB">
              <w:t>CRPD (</w:t>
            </w:r>
            <w:r>
              <w:t>Declarations, arts. 12, 14 and 25</w:t>
            </w:r>
            <w:r w:rsidRPr="00A02BFB">
              <w:t>)</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7C7FEE" w:rsidRDefault="00A02BFB" w:rsidP="008B4D7D">
            <w:pPr>
              <w:spacing w:before="40" w:after="120"/>
              <w:ind w:right="113"/>
            </w:pPr>
            <w:r w:rsidRPr="007C7FEE">
              <w:t>Convention on the Prevention and Punishment of the Crime of Genocide</w:t>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8002BD" w:rsidP="008002BD">
            <w:pPr>
              <w:spacing w:before="40" w:after="120"/>
              <w:ind w:right="113"/>
            </w:pPr>
            <w:r w:rsidRPr="007C7FEE">
              <w:t>ILO Conventions No 189</w:t>
            </w:r>
            <w:r w:rsidRPr="0001149C">
              <w:rPr>
                <w:rStyle w:val="EndnoteReference"/>
              </w:rPr>
              <w:endnoteReference w:id="5"/>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7C7FEE" w:rsidRDefault="00A02BFB" w:rsidP="008B4D7D">
            <w:pPr>
              <w:spacing w:before="40" w:after="120"/>
              <w:ind w:right="113"/>
            </w:pPr>
            <w:r w:rsidRPr="007C7FEE">
              <w:t>Geneva Conventions of 12 August 1949</w:t>
            </w:r>
            <w:r w:rsidR="00A67EFD" w:rsidRPr="007C7FEE">
              <w:t xml:space="preserve"> and Additional Protocols thereto</w:t>
            </w:r>
            <w:r w:rsidR="00350CFD" w:rsidRPr="0001149C">
              <w:rPr>
                <w:rStyle w:val="EndnoteReference"/>
              </w:rPr>
              <w:endnoteReference w:id="6"/>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7C7FEE" w:rsidRDefault="00A02BFB" w:rsidP="008B4D7D">
            <w:pPr>
              <w:spacing w:before="40" w:after="120"/>
              <w:ind w:right="113"/>
            </w:pPr>
            <w:r w:rsidRPr="007C7FEE">
              <w:t>Rome Statute of the International Criminal Court</w:t>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7C7FEE" w:rsidRDefault="00A02BFB" w:rsidP="008B4D7D">
            <w:pPr>
              <w:spacing w:before="40" w:after="120"/>
              <w:ind w:right="113"/>
            </w:pPr>
            <w:r w:rsidRPr="007C7FEE">
              <w:t>Conventions on refugees and stateless persons</w:t>
            </w:r>
            <w:r w:rsidRPr="0001149C">
              <w:rPr>
                <w:rStyle w:val="EndnoteReference"/>
              </w:rPr>
              <w:endnoteReference w:id="7"/>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7C7FEE" w:rsidRDefault="00A02BFB" w:rsidP="008B4D7D">
            <w:pPr>
              <w:spacing w:before="40" w:after="120"/>
              <w:ind w:right="113"/>
            </w:pPr>
            <w:r w:rsidRPr="007C7FEE">
              <w:t>Palermo Protocol</w:t>
            </w:r>
            <w:r w:rsidRPr="0001149C">
              <w:rPr>
                <w:rStyle w:val="EndnoteReference"/>
              </w:rPr>
              <w:endnoteReference w:id="8"/>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7C7FEE" w:rsidRDefault="00A02BFB" w:rsidP="008B4D7D">
            <w:pPr>
              <w:spacing w:before="40" w:after="120"/>
              <w:ind w:right="113"/>
            </w:pPr>
            <w:r w:rsidRPr="007C7FEE">
              <w:t>ILO fundamental Conventions</w:t>
            </w:r>
            <w:r w:rsidRPr="0001149C">
              <w:rPr>
                <w:rStyle w:val="EndnoteReference"/>
              </w:rPr>
              <w:endnoteReference w:id="9"/>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shd w:val="clear" w:color="auto" w:fill="auto"/>
          </w:tcPr>
          <w:p w:rsidR="00A02BFB" w:rsidRPr="005D68D4" w:rsidRDefault="00A02BFB" w:rsidP="008B4D7D">
            <w:pPr>
              <w:spacing w:before="40" w:after="120"/>
              <w:ind w:right="113"/>
              <w:rPr>
                <w:highlight w:val="green"/>
              </w:rPr>
            </w:pPr>
          </w:p>
        </w:tc>
        <w:tc>
          <w:tcPr>
            <w:tcW w:w="2409" w:type="dxa"/>
            <w:shd w:val="clear" w:color="auto" w:fill="auto"/>
          </w:tcPr>
          <w:p w:rsidR="00A02BFB" w:rsidRPr="007C7FEE" w:rsidRDefault="008002BD" w:rsidP="008002BD">
            <w:pPr>
              <w:spacing w:before="40" w:after="120"/>
              <w:ind w:right="113"/>
            </w:pPr>
            <w:r w:rsidRPr="007C7FEE">
              <w:t>ILO Conventions No. 169</w:t>
            </w:r>
            <w:r w:rsidR="00A02BFB" w:rsidRPr="0001149C">
              <w:rPr>
                <w:rStyle w:val="EndnoteReference"/>
              </w:rPr>
              <w:endnoteReference w:id="10"/>
            </w:r>
          </w:p>
        </w:tc>
        <w:tc>
          <w:tcPr>
            <w:tcW w:w="2409" w:type="dxa"/>
            <w:shd w:val="clear" w:color="auto" w:fill="auto"/>
          </w:tcPr>
          <w:p w:rsidR="00A02BFB" w:rsidRPr="007C7FEE" w:rsidRDefault="00A02BFB" w:rsidP="008B4D7D">
            <w:pPr>
              <w:spacing w:before="40" w:after="120"/>
              <w:ind w:right="113"/>
            </w:pPr>
          </w:p>
        </w:tc>
        <w:tc>
          <w:tcPr>
            <w:tcW w:w="2410" w:type="dxa"/>
            <w:shd w:val="clear" w:color="auto" w:fill="auto"/>
          </w:tcPr>
          <w:p w:rsidR="00A02BFB" w:rsidRPr="007C7FEE" w:rsidRDefault="00A02BFB" w:rsidP="008B4D7D">
            <w:pPr>
              <w:spacing w:before="40" w:after="120"/>
              <w:ind w:right="113"/>
            </w:pP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Pr="00A02BFB" w:rsidRDefault="00A02BFB" w:rsidP="008B4D7D">
            <w:pPr>
              <w:spacing w:before="40" w:after="120"/>
              <w:ind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01149C">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t>CERD</w:t>
            </w:r>
          </w:p>
        </w:tc>
        <w:tc>
          <w:tcPr>
            <w:tcW w:w="1928" w:type="dxa"/>
            <w:shd w:val="clear" w:color="auto" w:fill="auto"/>
          </w:tcPr>
          <w:p w:rsidR="00A02BFB" w:rsidRPr="00A02BFB" w:rsidRDefault="00DD1683" w:rsidP="009B1AEF">
            <w:pPr>
              <w:spacing w:before="40" w:after="120"/>
              <w:ind w:right="113"/>
              <w:jc w:val="both"/>
            </w:pPr>
            <w:r>
              <w:t>March 2011</w:t>
            </w:r>
          </w:p>
        </w:tc>
        <w:tc>
          <w:tcPr>
            <w:tcW w:w="1927" w:type="dxa"/>
            <w:shd w:val="clear" w:color="auto" w:fill="auto"/>
          </w:tcPr>
          <w:p w:rsidR="00A02BFB" w:rsidRPr="00A02BFB" w:rsidRDefault="00F12314" w:rsidP="009B1AEF">
            <w:pPr>
              <w:spacing w:before="40" w:after="120"/>
              <w:ind w:right="113"/>
              <w:jc w:val="both"/>
            </w:pPr>
            <w:r>
              <w:t>2013/2017</w:t>
            </w:r>
          </w:p>
        </w:tc>
        <w:tc>
          <w:tcPr>
            <w:tcW w:w="1927" w:type="dxa"/>
            <w:shd w:val="clear" w:color="auto" w:fill="auto"/>
          </w:tcPr>
          <w:p w:rsidR="00F2358F" w:rsidRDefault="00AA4CFA" w:rsidP="00566D73">
            <w:pPr>
              <w:spacing w:before="40" w:after="120"/>
              <w:ind w:right="113"/>
              <w:jc w:val="both"/>
            </w:pPr>
            <w:r>
              <w:t>August</w:t>
            </w:r>
            <w:r w:rsidR="00F2358F">
              <w:t xml:space="preserve"> 2015</w:t>
            </w:r>
          </w:p>
          <w:p w:rsidR="00A02BFB" w:rsidRPr="00A02BFB" w:rsidRDefault="00566D73" w:rsidP="00566D73">
            <w:pPr>
              <w:spacing w:before="40" w:after="120"/>
              <w:ind w:right="113"/>
              <w:jc w:val="both"/>
            </w:pPr>
            <w:r>
              <w:t>December</w:t>
            </w:r>
            <w:r w:rsidR="00F12314">
              <w:t xml:space="preserve"> 201</w:t>
            </w:r>
            <w:r>
              <w:t>8</w:t>
            </w:r>
          </w:p>
        </w:tc>
        <w:tc>
          <w:tcPr>
            <w:tcW w:w="1927" w:type="dxa"/>
            <w:shd w:val="clear" w:color="auto" w:fill="auto"/>
          </w:tcPr>
          <w:p w:rsidR="00A02BFB" w:rsidRPr="00A02BFB" w:rsidRDefault="007C7FEE" w:rsidP="00720D94">
            <w:pPr>
              <w:spacing w:before="40" w:after="120"/>
              <w:ind w:right="113"/>
            </w:pPr>
            <w:r w:rsidRPr="007C7FEE">
              <w:rPr>
                <w:bCs/>
              </w:rPr>
              <w:t xml:space="preserve">Twenty-fifth to twenty-seventh </w:t>
            </w:r>
            <w:r w:rsidRPr="007C7FEE">
              <w:t>reports due in 2023</w:t>
            </w: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t>CESCR</w:t>
            </w:r>
          </w:p>
        </w:tc>
        <w:tc>
          <w:tcPr>
            <w:tcW w:w="1928" w:type="dxa"/>
            <w:shd w:val="clear" w:color="auto" w:fill="auto"/>
          </w:tcPr>
          <w:p w:rsidR="00A02BFB" w:rsidRPr="00A02BFB" w:rsidRDefault="00555B5F" w:rsidP="009B1AEF">
            <w:pPr>
              <w:spacing w:before="40" w:after="120"/>
              <w:ind w:right="113"/>
              <w:jc w:val="both"/>
            </w:pPr>
            <w:r>
              <w:t>November 2013</w:t>
            </w:r>
          </w:p>
        </w:tc>
        <w:tc>
          <w:tcPr>
            <w:tcW w:w="1927" w:type="dxa"/>
            <w:shd w:val="clear" w:color="auto" w:fill="auto"/>
          </w:tcPr>
          <w:p w:rsidR="00A02BFB" w:rsidRPr="00A02BFB" w:rsidRDefault="00555B5F" w:rsidP="009B1AEF">
            <w:pPr>
              <w:spacing w:before="40" w:after="120"/>
              <w:ind w:right="113"/>
              <w:jc w:val="both"/>
            </w:pPr>
            <w:r>
              <w:t>--</w:t>
            </w:r>
          </w:p>
        </w:tc>
        <w:tc>
          <w:tcPr>
            <w:tcW w:w="1927" w:type="dxa"/>
            <w:shd w:val="clear" w:color="auto" w:fill="auto"/>
          </w:tcPr>
          <w:p w:rsidR="00A02BFB" w:rsidRPr="00A02BFB" w:rsidRDefault="00555B5F" w:rsidP="009B1AEF">
            <w:pPr>
              <w:spacing w:before="40" w:after="120"/>
              <w:ind w:right="113"/>
              <w:jc w:val="both"/>
            </w:pPr>
            <w:r>
              <w:t>--</w:t>
            </w:r>
          </w:p>
        </w:tc>
        <w:tc>
          <w:tcPr>
            <w:tcW w:w="1927" w:type="dxa"/>
            <w:shd w:val="clear" w:color="auto" w:fill="auto"/>
          </w:tcPr>
          <w:p w:rsidR="00A02BFB" w:rsidRPr="00A02BFB" w:rsidRDefault="00555B5F" w:rsidP="00720D94">
            <w:pPr>
              <w:spacing w:before="40" w:after="120"/>
              <w:ind w:right="113"/>
            </w:pPr>
            <w:r>
              <w:t>Sixth report due in</w:t>
            </w:r>
            <w:r w:rsidR="006C392C">
              <w:t xml:space="preserve"> October</w:t>
            </w:r>
            <w:r>
              <w:t xml:space="preserve"> 201</w:t>
            </w:r>
            <w:r w:rsidR="009432AF">
              <w:t>9</w:t>
            </w: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lastRenderedPageBreak/>
              <w:t>HR Committee</w:t>
            </w:r>
          </w:p>
        </w:tc>
        <w:tc>
          <w:tcPr>
            <w:tcW w:w="1928" w:type="dxa"/>
            <w:shd w:val="clear" w:color="auto" w:fill="auto"/>
          </w:tcPr>
          <w:p w:rsidR="00A02BFB" w:rsidRPr="00A02BFB" w:rsidRDefault="00DD1C7C" w:rsidP="009B1AEF">
            <w:pPr>
              <w:spacing w:before="40" w:after="120"/>
              <w:ind w:right="113"/>
              <w:jc w:val="both"/>
            </w:pPr>
            <w:r>
              <w:t>November 2011</w:t>
            </w:r>
          </w:p>
        </w:tc>
        <w:tc>
          <w:tcPr>
            <w:tcW w:w="1927" w:type="dxa"/>
            <w:shd w:val="clear" w:color="auto" w:fill="auto"/>
          </w:tcPr>
          <w:p w:rsidR="00A02BFB" w:rsidRPr="00A02BFB" w:rsidRDefault="005A28FB" w:rsidP="009B1AEF">
            <w:pPr>
              <w:spacing w:before="40" w:after="120"/>
              <w:ind w:right="113"/>
              <w:jc w:val="both"/>
            </w:pPr>
            <w:r>
              <w:t>2017</w:t>
            </w:r>
          </w:p>
        </w:tc>
        <w:tc>
          <w:tcPr>
            <w:tcW w:w="1927" w:type="dxa"/>
            <w:shd w:val="clear" w:color="auto" w:fill="auto"/>
          </w:tcPr>
          <w:p w:rsidR="00A02BFB" w:rsidRPr="00A02BFB" w:rsidRDefault="005A28FB" w:rsidP="009B1AEF">
            <w:pPr>
              <w:spacing w:before="40" w:after="120"/>
              <w:ind w:right="113"/>
              <w:jc w:val="both"/>
            </w:pPr>
            <w:r>
              <w:t>March 2018</w:t>
            </w:r>
          </w:p>
        </w:tc>
        <w:tc>
          <w:tcPr>
            <w:tcW w:w="1927" w:type="dxa"/>
            <w:shd w:val="clear" w:color="auto" w:fill="auto"/>
          </w:tcPr>
          <w:p w:rsidR="00A02BFB" w:rsidRPr="00A02BFB" w:rsidRDefault="005A28FB" w:rsidP="00EF6DD6">
            <w:pPr>
              <w:spacing w:before="40" w:after="120"/>
              <w:ind w:right="113"/>
            </w:pPr>
            <w:r>
              <w:t>Eighth report due in 2024</w:t>
            </w: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t>CEDAW</w:t>
            </w:r>
          </w:p>
        </w:tc>
        <w:tc>
          <w:tcPr>
            <w:tcW w:w="1928" w:type="dxa"/>
            <w:shd w:val="clear" w:color="auto" w:fill="auto"/>
          </w:tcPr>
          <w:p w:rsidR="00A02BFB" w:rsidRPr="00A02BFB" w:rsidRDefault="00831AF2" w:rsidP="009B1AEF">
            <w:pPr>
              <w:spacing w:before="40" w:after="120"/>
              <w:ind w:right="113"/>
              <w:jc w:val="both"/>
            </w:pPr>
            <w:r>
              <w:t>February 2012</w:t>
            </w:r>
          </w:p>
        </w:tc>
        <w:tc>
          <w:tcPr>
            <w:tcW w:w="1927" w:type="dxa"/>
            <w:shd w:val="clear" w:color="auto" w:fill="auto"/>
          </w:tcPr>
          <w:p w:rsidR="00A02BFB" w:rsidRPr="00A02BFB" w:rsidRDefault="00DD1683" w:rsidP="009B1AEF">
            <w:pPr>
              <w:spacing w:before="40" w:after="120"/>
              <w:ind w:right="113"/>
              <w:jc w:val="both"/>
            </w:pPr>
            <w:r>
              <w:t>2016</w:t>
            </w:r>
          </w:p>
        </w:tc>
        <w:tc>
          <w:tcPr>
            <w:tcW w:w="1927" w:type="dxa"/>
            <w:shd w:val="clear" w:color="auto" w:fill="auto"/>
          </w:tcPr>
          <w:p w:rsidR="00A02BFB" w:rsidRPr="00A02BFB" w:rsidRDefault="00DD1683" w:rsidP="009B1AEF">
            <w:pPr>
              <w:spacing w:before="40" w:after="120"/>
              <w:ind w:right="113"/>
              <w:jc w:val="both"/>
            </w:pPr>
            <w:r>
              <w:t>November 2017</w:t>
            </w:r>
          </w:p>
        </w:tc>
        <w:tc>
          <w:tcPr>
            <w:tcW w:w="1927" w:type="dxa"/>
            <w:shd w:val="clear" w:color="auto" w:fill="auto"/>
          </w:tcPr>
          <w:p w:rsidR="00A02BFB" w:rsidRPr="00A02BFB" w:rsidRDefault="00DD1683" w:rsidP="00EF6DD6">
            <w:pPr>
              <w:spacing w:before="40" w:after="120"/>
              <w:ind w:right="113"/>
            </w:pPr>
            <w:r>
              <w:t>Tenth report due in 2021</w:t>
            </w: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t>CAT</w:t>
            </w:r>
          </w:p>
        </w:tc>
        <w:tc>
          <w:tcPr>
            <w:tcW w:w="1928" w:type="dxa"/>
            <w:shd w:val="clear" w:color="auto" w:fill="auto"/>
          </w:tcPr>
          <w:p w:rsidR="00A02BFB" w:rsidRPr="00A02BFB" w:rsidRDefault="00A95CEC" w:rsidP="009B1AEF">
            <w:pPr>
              <w:spacing w:before="40" w:after="120"/>
              <w:ind w:right="113"/>
              <w:jc w:val="both"/>
            </w:pPr>
            <w:r>
              <w:t>November 2012</w:t>
            </w:r>
          </w:p>
        </w:tc>
        <w:tc>
          <w:tcPr>
            <w:tcW w:w="1927" w:type="dxa"/>
            <w:shd w:val="clear" w:color="auto" w:fill="auto"/>
          </w:tcPr>
          <w:p w:rsidR="00A02BFB" w:rsidRPr="00A02BFB" w:rsidRDefault="00A95CEC" w:rsidP="009B1AEF">
            <w:pPr>
              <w:spacing w:before="40" w:after="120"/>
              <w:ind w:right="113"/>
              <w:jc w:val="both"/>
            </w:pPr>
            <w:r>
              <w:t>2016</w:t>
            </w:r>
          </w:p>
        </w:tc>
        <w:tc>
          <w:tcPr>
            <w:tcW w:w="1927" w:type="dxa"/>
            <w:shd w:val="clear" w:color="auto" w:fill="auto"/>
          </w:tcPr>
          <w:p w:rsidR="00A02BFB" w:rsidRPr="00A02BFB" w:rsidRDefault="00A95CEC" w:rsidP="009B1AEF">
            <w:pPr>
              <w:spacing w:before="40" w:after="120"/>
              <w:ind w:right="113"/>
              <w:jc w:val="both"/>
            </w:pPr>
            <w:r>
              <w:t>May 2018</w:t>
            </w:r>
          </w:p>
        </w:tc>
        <w:tc>
          <w:tcPr>
            <w:tcW w:w="1927" w:type="dxa"/>
            <w:shd w:val="clear" w:color="auto" w:fill="auto"/>
          </w:tcPr>
          <w:p w:rsidR="00A02BFB" w:rsidRPr="00A02BFB" w:rsidRDefault="00A95CEC" w:rsidP="00EF6DD6">
            <w:pPr>
              <w:spacing w:before="40" w:after="120"/>
              <w:ind w:right="113"/>
            </w:pPr>
            <w:r>
              <w:t>Ninth report due in 2022</w:t>
            </w:r>
          </w:p>
        </w:tc>
      </w:tr>
      <w:tr w:rsidR="008B4D7D" w:rsidRPr="00A02BFB" w:rsidTr="008B4D7D">
        <w:tc>
          <w:tcPr>
            <w:tcW w:w="1928" w:type="dxa"/>
            <w:shd w:val="clear" w:color="auto" w:fill="auto"/>
          </w:tcPr>
          <w:p w:rsidR="00A02BFB" w:rsidRPr="00A02BFB" w:rsidRDefault="00A02BFB" w:rsidP="009B1AEF">
            <w:pPr>
              <w:spacing w:before="40" w:after="120"/>
              <w:ind w:right="113"/>
              <w:jc w:val="both"/>
            </w:pPr>
            <w:r w:rsidRPr="00A02BFB">
              <w:t>CRC</w:t>
            </w:r>
          </w:p>
        </w:tc>
        <w:tc>
          <w:tcPr>
            <w:tcW w:w="1928" w:type="dxa"/>
            <w:shd w:val="clear" w:color="auto" w:fill="auto"/>
          </w:tcPr>
          <w:p w:rsidR="00A02BFB" w:rsidRPr="00A02BFB" w:rsidRDefault="006E209F" w:rsidP="009B1AEF">
            <w:pPr>
              <w:spacing w:before="40" w:after="120"/>
              <w:ind w:right="113"/>
              <w:jc w:val="both"/>
            </w:pPr>
            <w:r>
              <w:t>January 2010</w:t>
            </w:r>
          </w:p>
        </w:tc>
        <w:tc>
          <w:tcPr>
            <w:tcW w:w="1927" w:type="dxa"/>
            <w:shd w:val="clear" w:color="auto" w:fill="auto"/>
          </w:tcPr>
          <w:p w:rsidR="00A02BFB" w:rsidRPr="00A02BFB" w:rsidRDefault="006E209F" w:rsidP="009B1AEF">
            <w:pPr>
              <w:spacing w:before="40" w:after="120"/>
              <w:ind w:right="113"/>
              <w:jc w:val="both"/>
            </w:pPr>
            <w:r>
              <w:t>2016</w:t>
            </w:r>
          </w:p>
        </w:tc>
        <w:tc>
          <w:tcPr>
            <w:tcW w:w="1927" w:type="dxa"/>
            <w:shd w:val="clear" w:color="auto" w:fill="auto"/>
          </w:tcPr>
          <w:p w:rsidR="00A02BFB" w:rsidRPr="00A02BFB" w:rsidRDefault="006E209F" w:rsidP="009B1AEF">
            <w:pPr>
              <w:spacing w:before="40" w:after="120"/>
              <w:ind w:right="113"/>
              <w:jc w:val="both"/>
            </w:pPr>
            <w:r>
              <w:t>June 2018</w:t>
            </w:r>
          </w:p>
        </w:tc>
        <w:tc>
          <w:tcPr>
            <w:tcW w:w="1927" w:type="dxa"/>
            <w:shd w:val="clear" w:color="auto" w:fill="auto"/>
          </w:tcPr>
          <w:p w:rsidR="00A02BFB" w:rsidRPr="00A02BFB" w:rsidRDefault="00207C5E" w:rsidP="00EF6DD6">
            <w:pPr>
              <w:spacing w:before="40" w:after="120"/>
              <w:ind w:right="113"/>
            </w:pPr>
            <w:r>
              <w:t>Seventh report due in 2023</w:t>
            </w:r>
          </w:p>
        </w:tc>
      </w:tr>
      <w:tr w:rsidR="008B4D7D" w:rsidRPr="00A02BFB" w:rsidTr="008B4D7D">
        <w:tc>
          <w:tcPr>
            <w:tcW w:w="1928" w:type="dxa"/>
            <w:tcBorders>
              <w:bottom w:val="single" w:sz="12" w:space="0" w:color="auto"/>
            </w:tcBorders>
            <w:shd w:val="clear" w:color="auto" w:fill="auto"/>
          </w:tcPr>
          <w:p w:rsidR="00A02BFB" w:rsidRPr="00A02BFB" w:rsidRDefault="00EC4E8F" w:rsidP="009B1AEF">
            <w:pPr>
              <w:spacing w:before="40" w:after="120"/>
              <w:ind w:right="113"/>
              <w:jc w:val="both"/>
            </w:pPr>
            <w:r>
              <w:t>CRPD</w:t>
            </w:r>
          </w:p>
        </w:tc>
        <w:tc>
          <w:tcPr>
            <w:tcW w:w="1928" w:type="dxa"/>
            <w:tcBorders>
              <w:bottom w:val="single" w:sz="12" w:space="0" w:color="auto"/>
            </w:tcBorders>
            <w:shd w:val="clear" w:color="auto" w:fill="auto"/>
          </w:tcPr>
          <w:p w:rsidR="00A02BFB" w:rsidRPr="00A02BFB" w:rsidRDefault="009B1AEF" w:rsidP="009B1AEF">
            <w:pPr>
              <w:spacing w:before="40" w:after="120"/>
              <w:ind w:right="113"/>
              <w:jc w:val="both"/>
            </w:pPr>
            <w:r>
              <w:t>--</w:t>
            </w:r>
          </w:p>
        </w:tc>
        <w:tc>
          <w:tcPr>
            <w:tcW w:w="1927" w:type="dxa"/>
            <w:tcBorders>
              <w:bottom w:val="single" w:sz="12" w:space="0" w:color="auto"/>
            </w:tcBorders>
            <w:shd w:val="clear" w:color="auto" w:fill="auto"/>
          </w:tcPr>
          <w:p w:rsidR="00A02BFB" w:rsidRPr="00A02BFB" w:rsidRDefault="009B1AEF" w:rsidP="009B1AEF">
            <w:pPr>
              <w:spacing w:before="40" w:after="120"/>
              <w:ind w:right="113"/>
              <w:jc w:val="both"/>
            </w:pPr>
            <w:r>
              <w:t>2015</w:t>
            </w:r>
          </w:p>
        </w:tc>
        <w:tc>
          <w:tcPr>
            <w:tcW w:w="1927" w:type="dxa"/>
            <w:tcBorders>
              <w:bottom w:val="single" w:sz="12" w:space="0" w:color="auto"/>
            </w:tcBorders>
            <w:shd w:val="clear" w:color="auto" w:fill="auto"/>
          </w:tcPr>
          <w:p w:rsidR="00A02BFB" w:rsidRPr="00A02BFB" w:rsidRDefault="009B1AEF" w:rsidP="009B1AEF">
            <w:pPr>
              <w:spacing w:before="40" w:after="120"/>
              <w:ind w:right="113"/>
              <w:jc w:val="both"/>
            </w:pPr>
            <w:r>
              <w:t>--</w:t>
            </w:r>
          </w:p>
        </w:tc>
        <w:tc>
          <w:tcPr>
            <w:tcW w:w="1927" w:type="dxa"/>
            <w:tcBorders>
              <w:bottom w:val="single" w:sz="12" w:space="0" w:color="auto"/>
            </w:tcBorders>
            <w:shd w:val="clear" w:color="auto" w:fill="auto"/>
          </w:tcPr>
          <w:p w:rsidR="00A02BFB" w:rsidRPr="00A02BFB" w:rsidRDefault="009B1AEF" w:rsidP="00EF6DD6">
            <w:pPr>
              <w:spacing w:before="40" w:after="120"/>
              <w:ind w:right="113"/>
            </w:pPr>
            <w:r>
              <w:t xml:space="preserve">Initial report pending </w:t>
            </w:r>
            <w:r w:rsidR="003544CB">
              <w:t>consideration</w:t>
            </w:r>
            <w:r w:rsidR="00243312">
              <w:t xml:space="preserve"> </w:t>
            </w:r>
            <w:r w:rsidR="003544CB">
              <w:t xml:space="preserve">in </w:t>
            </w:r>
            <w:r w:rsidR="009432AF">
              <w:t xml:space="preserve">March </w:t>
            </w:r>
            <w:r w:rsidR="003544CB">
              <w:t>2019</w:t>
            </w:r>
          </w:p>
        </w:tc>
      </w:tr>
    </w:tbl>
    <w:p w:rsidR="00A02BFB" w:rsidRDefault="002E646B" w:rsidP="0053256A">
      <w:pPr>
        <w:pStyle w:val="H23G"/>
      </w:pPr>
      <w:bookmarkStart w:id="3" w:name="Table_Response_TB_follow_up"/>
      <w:r>
        <w:tab/>
      </w:r>
      <w:r>
        <w:tab/>
      </w:r>
      <w:r w:rsidR="00A02BFB" w:rsidRPr="002E646B">
        <w:t>Responses to specific follow-</w:t>
      </w:r>
      <w:r w:rsidR="00A02BFB" w:rsidRPr="0053256A">
        <w:t>up</w:t>
      </w:r>
      <w:r w:rsidR="00A02BFB" w:rsidRPr="002E646B">
        <w:t xml:space="preserve">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53256A" w:rsidRPr="0053256A" w:rsidTr="0053256A">
        <w:tc>
          <w:tcPr>
            <w:tcW w:w="1375" w:type="dxa"/>
            <w:tcBorders>
              <w:top w:val="single" w:sz="4" w:space="0" w:color="auto"/>
              <w:bottom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r>
              <w:rPr>
                <w:i/>
                <w:sz w:val="16"/>
              </w:rPr>
              <w:t>Treaty body</w:t>
            </w:r>
          </w:p>
        </w:tc>
        <w:tc>
          <w:tcPr>
            <w:tcW w:w="1377" w:type="dxa"/>
            <w:tcBorders>
              <w:top w:val="single" w:sz="4" w:space="0" w:color="auto"/>
              <w:bottom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r>
              <w:rPr>
                <w:i/>
                <w:sz w:val="16"/>
              </w:rPr>
              <w:t>Due in</w:t>
            </w:r>
          </w:p>
        </w:tc>
        <w:tc>
          <w:tcPr>
            <w:tcW w:w="1377" w:type="dxa"/>
            <w:tcBorders>
              <w:top w:val="single" w:sz="4" w:space="0" w:color="auto"/>
              <w:bottom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r>
              <w:rPr>
                <w:i/>
                <w:sz w:val="16"/>
              </w:rPr>
              <w:t>Subject matter</w:t>
            </w:r>
          </w:p>
        </w:tc>
        <w:tc>
          <w:tcPr>
            <w:tcW w:w="1377" w:type="dxa"/>
            <w:tcBorders>
              <w:top w:val="single" w:sz="4" w:space="0" w:color="auto"/>
              <w:bottom w:val="single" w:sz="12" w:space="0" w:color="auto"/>
            </w:tcBorders>
          </w:tcPr>
          <w:p w:rsidR="0053256A" w:rsidRPr="0053256A" w:rsidRDefault="0053256A" w:rsidP="00205127">
            <w:pPr>
              <w:spacing w:before="80" w:after="80" w:line="200" w:lineRule="exact"/>
              <w:ind w:left="148" w:right="113"/>
              <w:rPr>
                <w:i/>
                <w:sz w:val="16"/>
              </w:rPr>
            </w:pPr>
            <w:r>
              <w:rPr>
                <w:i/>
                <w:sz w:val="16"/>
              </w:rPr>
              <w:t>Submitted</w:t>
            </w:r>
          </w:p>
        </w:tc>
      </w:tr>
      <w:tr w:rsidR="0053256A" w:rsidRPr="0053256A" w:rsidTr="0053256A">
        <w:trPr>
          <w:trHeight w:hRule="exact" w:val="113"/>
        </w:trPr>
        <w:tc>
          <w:tcPr>
            <w:tcW w:w="1375" w:type="dxa"/>
            <w:tcBorders>
              <w:top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p>
        </w:tc>
        <w:tc>
          <w:tcPr>
            <w:tcW w:w="1377" w:type="dxa"/>
            <w:tcBorders>
              <w:top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p>
        </w:tc>
        <w:tc>
          <w:tcPr>
            <w:tcW w:w="1377" w:type="dxa"/>
            <w:tcBorders>
              <w:top w:val="single" w:sz="12" w:space="0" w:color="auto"/>
            </w:tcBorders>
            <w:shd w:val="clear" w:color="auto" w:fill="auto"/>
            <w:vAlign w:val="bottom"/>
          </w:tcPr>
          <w:p w:rsidR="0053256A" w:rsidRPr="0053256A" w:rsidRDefault="0053256A" w:rsidP="0053256A">
            <w:pPr>
              <w:spacing w:before="80" w:after="80" w:line="200" w:lineRule="exact"/>
              <w:ind w:right="113"/>
              <w:rPr>
                <w:i/>
                <w:sz w:val="16"/>
              </w:rPr>
            </w:pPr>
          </w:p>
        </w:tc>
        <w:tc>
          <w:tcPr>
            <w:tcW w:w="1377" w:type="dxa"/>
            <w:tcBorders>
              <w:top w:val="single" w:sz="12" w:space="0" w:color="auto"/>
            </w:tcBorders>
          </w:tcPr>
          <w:p w:rsidR="0053256A" w:rsidRPr="0053256A" w:rsidRDefault="0053256A" w:rsidP="0053256A">
            <w:pPr>
              <w:spacing w:before="80" w:after="80" w:line="200" w:lineRule="exact"/>
              <w:ind w:right="113"/>
              <w:rPr>
                <w:i/>
                <w:sz w:val="16"/>
              </w:rPr>
            </w:pPr>
          </w:p>
        </w:tc>
      </w:tr>
      <w:tr w:rsidR="0053256A" w:rsidRPr="0053256A" w:rsidTr="0053256A">
        <w:tc>
          <w:tcPr>
            <w:tcW w:w="1375" w:type="dxa"/>
            <w:shd w:val="clear" w:color="auto" w:fill="auto"/>
          </w:tcPr>
          <w:p w:rsidR="0053256A" w:rsidRPr="0053256A" w:rsidRDefault="0053256A" w:rsidP="0053256A">
            <w:pPr>
              <w:spacing w:before="40" w:after="120"/>
              <w:ind w:right="113"/>
            </w:pPr>
            <w:r>
              <w:t>CERD</w:t>
            </w:r>
          </w:p>
        </w:tc>
        <w:tc>
          <w:tcPr>
            <w:tcW w:w="1377" w:type="dxa"/>
            <w:shd w:val="clear" w:color="auto" w:fill="auto"/>
          </w:tcPr>
          <w:p w:rsidR="0053256A" w:rsidRDefault="0053256A" w:rsidP="0053256A">
            <w:pPr>
              <w:spacing w:before="40" w:after="120"/>
              <w:ind w:right="113"/>
            </w:pPr>
            <w:r>
              <w:t>2012</w:t>
            </w:r>
          </w:p>
          <w:p w:rsidR="0053256A" w:rsidRDefault="0053256A" w:rsidP="0053256A">
            <w:pPr>
              <w:spacing w:before="1440" w:after="120"/>
              <w:ind w:right="113"/>
            </w:pPr>
            <w:r>
              <w:t>2016</w:t>
            </w:r>
          </w:p>
          <w:p w:rsidR="00F1567D" w:rsidRPr="0053256A" w:rsidRDefault="00F1567D" w:rsidP="00F1567D">
            <w:pPr>
              <w:spacing w:before="960" w:after="120"/>
              <w:ind w:right="113"/>
            </w:pPr>
            <w:r>
              <w:t>2019</w:t>
            </w:r>
          </w:p>
        </w:tc>
        <w:tc>
          <w:tcPr>
            <w:tcW w:w="1377" w:type="dxa"/>
            <w:shd w:val="clear" w:color="auto" w:fill="auto"/>
          </w:tcPr>
          <w:p w:rsidR="0053256A" w:rsidRDefault="0053256A" w:rsidP="0053256A">
            <w:pPr>
              <w:spacing w:before="40" w:after="120"/>
              <w:ind w:right="113"/>
            </w:pPr>
            <w:r w:rsidRPr="0053256A">
              <w:t>Discrimination against immigrants; asylum</w:t>
            </w:r>
            <w:r>
              <w:t xml:space="preserve"> </w:t>
            </w:r>
            <w:r w:rsidRPr="0053256A">
              <w:t>seekers; and women, especially those belonging to</w:t>
            </w:r>
            <w:r>
              <w:t xml:space="preserve"> </w:t>
            </w:r>
            <w:r w:rsidRPr="0053256A">
              <w:t>certain ethnic minority backgrounds.</w:t>
            </w:r>
            <w:r w:rsidRPr="0053256A">
              <w:rPr>
                <w:vertAlign w:val="superscript"/>
              </w:rPr>
              <w:endnoteReference w:id="12"/>
            </w:r>
          </w:p>
          <w:p w:rsidR="0053256A" w:rsidRDefault="0053256A" w:rsidP="0053256A">
            <w:pPr>
              <w:spacing w:before="240" w:after="120"/>
              <w:ind w:right="113"/>
              <w:rPr>
                <w:bCs/>
              </w:rPr>
            </w:pPr>
            <w:r w:rsidRPr="0053256A">
              <w:rPr>
                <w:bCs/>
              </w:rPr>
              <w:t>National human rights institution; the situation of Sami; and interpretation services.</w:t>
            </w:r>
            <w:r w:rsidRPr="0053256A">
              <w:rPr>
                <w:bCs/>
                <w:vertAlign w:val="superscript"/>
              </w:rPr>
              <w:endnoteReference w:id="13"/>
            </w:r>
          </w:p>
          <w:p w:rsidR="00F1567D" w:rsidRPr="0053256A" w:rsidRDefault="00F1567D" w:rsidP="0053256A">
            <w:pPr>
              <w:spacing w:before="240" w:after="120"/>
              <w:ind w:right="113"/>
            </w:pPr>
            <w:r w:rsidRPr="00F1567D">
              <w:rPr>
                <w:bCs/>
              </w:rPr>
              <w:t>Discrimination in accessing the labour market and situation of minor asylum seekers.</w:t>
            </w:r>
            <w:r w:rsidRPr="00F1567D">
              <w:rPr>
                <w:bCs/>
                <w:vertAlign w:val="superscript"/>
              </w:rPr>
              <w:endnoteReference w:id="14"/>
            </w:r>
          </w:p>
        </w:tc>
        <w:tc>
          <w:tcPr>
            <w:tcW w:w="1377" w:type="dxa"/>
          </w:tcPr>
          <w:p w:rsidR="0053256A" w:rsidRDefault="0053256A" w:rsidP="00205127">
            <w:pPr>
              <w:spacing w:before="40" w:after="120"/>
              <w:ind w:left="148" w:right="113"/>
            </w:pPr>
            <w:r w:rsidRPr="0053256A">
              <w:t>2012.</w:t>
            </w:r>
            <w:r w:rsidRPr="0053256A">
              <w:rPr>
                <w:vertAlign w:val="superscript"/>
              </w:rPr>
              <w:endnoteReference w:id="15"/>
            </w:r>
            <w:r w:rsidRPr="0053256A">
              <w:t xml:space="preserve"> Further information requested.</w:t>
            </w:r>
            <w:r w:rsidRPr="0053256A">
              <w:rPr>
                <w:vertAlign w:val="superscript"/>
              </w:rPr>
              <w:endnoteReference w:id="16"/>
            </w:r>
          </w:p>
          <w:p w:rsidR="00BE2443" w:rsidRPr="0053256A" w:rsidRDefault="00F1567D" w:rsidP="00205127">
            <w:pPr>
              <w:spacing w:before="1200" w:after="120"/>
              <w:ind w:left="148" w:right="113"/>
            </w:pPr>
            <w:r w:rsidRPr="00F1567D">
              <w:t>2016.</w:t>
            </w:r>
            <w:r w:rsidRPr="00F1567D">
              <w:rPr>
                <w:vertAlign w:val="superscript"/>
              </w:rPr>
              <w:endnoteReference w:id="17"/>
            </w:r>
            <w:r w:rsidRPr="00F1567D">
              <w:t xml:space="preserve"> Follow up on-going.</w:t>
            </w:r>
            <w:r w:rsidRPr="00F1567D">
              <w:rPr>
                <w:vertAlign w:val="superscript"/>
              </w:rPr>
              <w:endnoteReference w:id="18"/>
            </w:r>
          </w:p>
        </w:tc>
      </w:tr>
      <w:tr w:rsidR="0053256A" w:rsidRPr="0053256A" w:rsidTr="0053256A">
        <w:tc>
          <w:tcPr>
            <w:tcW w:w="1375" w:type="dxa"/>
            <w:shd w:val="clear" w:color="auto" w:fill="auto"/>
          </w:tcPr>
          <w:p w:rsidR="0053256A" w:rsidRPr="0053256A" w:rsidRDefault="00F1567D" w:rsidP="0053256A">
            <w:pPr>
              <w:spacing w:before="40" w:after="120"/>
              <w:ind w:right="113"/>
            </w:pPr>
            <w:r>
              <w:t>HR Committee</w:t>
            </w:r>
          </w:p>
        </w:tc>
        <w:tc>
          <w:tcPr>
            <w:tcW w:w="1377" w:type="dxa"/>
            <w:shd w:val="clear" w:color="auto" w:fill="auto"/>
          </w:tcPr>
          <w:p w:rsidR="0053256A" w:rsidRDefault="00F1567D" w:rsidP="0053256A">
            <w:pPr>
              <w:spacing w:before="40" w:after="120"/>
              <w:ind w:right="113"/>
            </w:pPr>
            <w:r>
              <w:t>2012</w:t>
            </w:r>
          </w:p>
          <w:p w:rsidR="00F1567D" w:rsidRPr="0053256A" w:rsidRDefault="00F1567D" w:rsidP="00F1567D">
            <w:pPr>
              <w:spacing w:before="1560" w:after="120"/>
              <w:ind w:right="113"/>
            </w:pPr>
            <w:r>
              <w:t>2020</w:t>
            </w:r>
          </w:p>
        </w:tc>
        <w:tc>
          <w:tcPr>
            <w:tcW w:w="1377" w:type="dxa"/>
            <w:shd w:val="clear" w:color="auto" w:fill="auto"/>
          </w:tcPr>
          <w:p w:rsidR="0053256A" w:rsidRDefault="00F1567D" w:rsidP="00F1567D">
            <w:pPr>
              <w:spacing w:before="40" w:after="120"/>
              <w:ind w:right="113"/>
            </w:pPr>
            <w:r w:rsidRPr="00F1567D">
              <w:t>National Centre for Human Rights; abuses</w:t>
            </w:r>
            <w:r>
              <w:t xml:space="preserve"> </w:t>
            </w:r>
            <w:r w:rsidRPr="00F1567D">
              <w:t>against psychiatric patients; monitoring of and</w:t>
            </w:r>
            <w:r>
              <w:t xml:space="preserve"> </w:t>
            </w:r>
            <w:r w:rsidRPr="00F1567D">
              <w:t>reporting on mental health care; and pre-trial</w:t>
            </w:r>
            <w:r>
              <w:t xml:space="preserve"> </w:t>
            </w:r>
            <w:r w:rsidRPr="00F1567D">
              <w:t>detention of juveniles.</w:t>
            </w:r>
            <w:r w:rsidR="004750E5">
              <w:rPr>
                <w:rStyle w:val="EndnoteReference"/>
              </w:rPr>
              <w:endnoteReference w:id="19"/>
            </w:r>
          </w:p>
          <w:p w:rsidR="00F1567D" w:rsidRPr="0053256A" w:rsidRDefault="00F1567D" w:rsidP="00F1567D">
            <w:pPr>
              <w:spacing w:before="40" w:after="120"/>
              <w:ind w:right="113"/>
            </w:pPr>
            <w:r w:rsidRPr="00F1567D">
              <w:rPr>
                <w:bCs/>
              </w:rPr>
              <w:t>Violence against women and girls; asylum seekers and non-</w:t>
            </w:r>
            <w:proofErr w:type="spellStart"/>
            <w:r w:rsidRPr="00F1567D">
              <w:rPr>
                <w:bCs/>
              </w:rPr>
              <w:t>refoulement</w:t>
            </w:r>
            <w:proofErr w:type="spellEnd"/>
            <w:r w:rsidRPr="00F1567D">
              <w:rPr>
                <w:bCs/>
              </w:rPr>
              <w:t>; and rights of indigenous peoples.</w:t>
            </w:r>
            <w:r w:rsidRPr="00F1567D">
              <w:rPr>
                <w:bCs/>
                <w:vertAlign w:val="superscript"/>
              </w:rPr>
              <w:endnoteReference w:id="20"/>
            </w:r>
          </w:p>
        </w:tc>
        <w:tc>
          <w:tcPr>
            <w:tcW w:w="1377" w:type="dxa"/>
          </w:tcPr>
          <w:p w:rsidR="0053256A" w:rsidRPr="0053256A" w:rsidRDefault="00F1567D" w:rsidP="00205127">
            <w:pPr>
              <w:spacing w:before="40" w:after="120"/>
              <w:ind w:left="148" w:right="113"/>
            </w:pPr>
            <w:r w:rsidRPr="00F1567D">
              <w:t>2012,</w:t>
            </w:r>
            <w:r w:rsidRPr="00F1567D">
              <w:rPr>
                <w:vertAlign w:val="superscript"/>
              </w:rPr>
              <w:endnoteReference w:id="21"/>
            </w:r>
            <w:r w:rsidRPr="00F1567D">
              <w:t xml:space="preserve"> 2013</w:t>
            </w:r>
            <w:r w:rsidRPr="00F1567D">
              <w:rPr>
                <w:vertAlign w:val="superscript"/>
              </w:rPr>
              <w:endnoteReference w:id="22"/>
            </w:r>
            <w:r w:rsidRPr="00F1567D">
              <w:t xml:space="preserve"> and 2015</w:t>
            </w:r>
            <w:r w:rsidRPr="00F1567D">
              <w:rPr>
                <w:vertAlign w:val="superscript"/>
              </w:rPr>
              <w:endnoteReference w:id="23"/>
            </w:r>
            <w:r w:rsidRPr="00F1567D">
              <w:t>. Further information requested.</w:t>
            </w:r>
            <w:r w:rsidRPr="00F1567D">
              <w:rPr>
                <w:vertAlign w:val="superscript"/>
              </w:rPr>
              <w:endnoteReference w:id="24"/>
            </w:r>
          </w:p>
        </w:tc>
      </w:tr>
      <w:tr w:rsidR="0053256A" w:rsidRPr="0053256A" w:rsidTr="0053256A">
        <w:tc>
          <w:tcPr>
            <w:tcW w:w="1375" w:type="dxa"/>
            <w:shd w:val="clear" w:color="auto" w:fill="auto"/>
          </w:tcPr>
          <w:p w:rsidR="0053256A" w:rsidRPr="0053256A" w:rsidRDefault="00F1567D" w:rsidP="0053256A">
            <w:pPr>
              <w:spacing w:before="40" w:after="120"/>
              <w:ind w:right="113"/>
            </w:pPr>
            <w:r>
              <w:t>CEDAW</w:t>
            </w:r>
          </w:p>
        </w:tc>
        <w:tc>
          <w:tcPr>
            <w:tcW w:w="1377" w:type="dxa"/>
            <w:shd w:val="clear" w:color="auto" w:fill="auto"/>
          </w:tcPr>
          <w:p w:rsidR="0053256A" w:rsidRDefault="00F1567D" w:rsidP="0053256A">
            <w:pPr>
              <w:spacing w:before="40" w:after="120"/>
              <w:ind w:right="113"/>
            </w:pPr>
            <w:r>
              <w:t>2014</w:t>
            </w:r>
          </w:p>
          <w:p w:rsidR="00F1567D" w:rsidRPr="0053256A" w:rsidRDefault="00F1567D" w:rsidP="00F1567D">
            <w:pPr>
              <w:spacing w:before="600" w:after="120"/>
              <w:ind w:right="113"/>
            </w:pPr>
            <w:r>
              <w:lastRenderedPageBreak/>
              <w:t>2019</w:t>
            </w:r>
          </w:p>
        </w:tc>
        <w:tc>
          <w:tcPr>
            <w:tcW w:w="1377" w:type="dxa"/>
            <w:shd w:val="clear" w:color="auto" w:fill="auto"/>
          </w:tcPr>
          <w:p w:rsidR="0053256A" w:rsidRDefault="00F1567D" w:rsidP="00F1567D">
            <w:pPr>
              <w:spacing w:before="40" w:after="120"/>
              <w:ind w:right="113"/>
            </w:pPr>
            <w:r w:rsidRPr="00F1567D">
              <w:lastRenderedPageBreak/>
              <w:t>Violence against women; and gender equality in</w:t>
            </w:r>
            <w:r>
              <w:t xml:space="preserve"> </w:t>
            </w:r>
            <w:r w:rsidRPr="00F1567D">
              <w:t>employment.</w:t>
            </w:r>
            <w:r w:rsidRPr="00F1567D">
              <w:rPr>
                <w:vertAlign w:val="superscript"/>
              </w:rPr>
              <w:endnoteReference w:id="25"/>
            </w:r>
          </w:p>
          <w:p w:rsidR="00F1567D" w:rsidRPr="0053256A" w:rsidRDefault="00F1567D" w:rsidP="00F1567D">
            <w:pPr>
              <w:spacing w:before="600" w:after="120"/>
              <w:ind w:right="113"/>
            </w:pPr>
            <w:r w:rsidRPr="00F1567D">
              <w:rPr>
                <w:bCs/>
              </w:rPr>
              <w:lastRenderedPageBreak/>
              <w:t>National machinery for the advancement of women and access to justice; gender-based violence against women; economic empowerment of women; and</w:t>
            </w:r>
            <w:r>
              <w:rPr>
                <w:bCs/>
              </w:rPr>
              <w:t xml:space="preserve"> </w:t>
            </w:r>
            <w:r w:rsidRPr="00F1567D">
              <w:rPr>
                <w:bCs/>
              </w:rPr>
              <w:t>marriage and family relations.</w:t>
            </w:r>
            <w:r w:rsidRPr="00F1567D">
              <w:rPr>
                <w:bCs/>
                <w:vertAlign w:val="superscript"/>
              </w:rPr>
              <w:endnoteReference w:id="26"/>
            </w:r>
          </w:p>
        </w:tc>
        <w:tc>
          <w:tcPr>
            <w:tcW w:w="1377" w:type="dxa"/>
          </w:tcPr>
          <w:p w:rsidR="0053256A" w:rsidRPr="0053256A" w:rsidRDefault="00F1567D" w:rsidP="00205127">
            <w:pPr>
              <w:spacing w:before="40" w:after="120"/>
              <w:ind w:left="148" w:right="113"/>
            </w:pPr>
            <w:r w:rsidRPr="00F1567D">
              <w:lastRenderedPageBreak/>
              <w:t>2014.</w:t>
            </w:r>
            <w:r w:rsidRPr="00F1567D">
              <w:rPr>
                <w:vertAlign w:val="superscript"/>
              </w:rPr>
              <w:endnoteReference w:id="27"/>
            </w:r>
            <w:r w:rsidRPr="00F1567D">
              <w:t xml:space="preserve"> Further information requested.</w:t>
            </w:r>
            <w:r w:rsidRPr="00F1567D">
              <w:rPr>
                <w:vertAlign w:val="superscript"/>
              </w:rPr>
              <w:endnoteReference w:id="28"/>
            </w:r>
          </w:p>
        </w:tc>
      </w:tr>
      <w:tr w:rsidR="0053256A" w:rsidRPr="0053256A" w:rsidTr="0053256A">
        <w:tc>
          <w:tcPr>
            <w:tcW w:w="1375" w:type="dxa"/>
            <w:tcBorders>
              <w:bottom w:val="single" w:sz="12" w:space="0" w:color="auto"/>
            </w:tcBorders>
            <w:shd w:val="clear" w:color="auto" w:fill="auto"/>
          </w:tcPr>
          <w:p w:rsidR="0053256A" w:rsidRPr="0053256A" w:rsidRDefault="00987148" w:rsidP="0053256A">
            <w:pPr>
              <w:spacing w:before="40" w:after="120"/>
              <w:ind w:right="113"/>
            </w:pPr>
            <w:r>
              <w:t>CAT</w:t>
            </w:r>
          </w:p>
        </w:tc>
        <w:tc>
          <w:tcPr>
            <w:tcW w:w="1377" w:type="dxa"/>
            <w:tcBorders>
              <w:bottom w:val="single" w:sz="12" w:space="0" w:color="auto"/>
            </w:tcBorders>
            <w:shd w:val="clear" w:color="auto" w:fill="auto"/>
          </w:tcPr>
          <w:p w:rsidR="0053256A" w:rsidRPr="0053256A" w:rsidRDefault="00987148" w:rsidP="0053256A">
            <w:pPr>
              <w:spacing w:before="40" w:after="120"/>
              <w:ind w:right="113"/>
            </w:pPr>
            <w:r>
              <w:t>2019</w:t>
            </w:r>
          </w:p>
        </w:tc>
        <w:tc>
          <w:tcPr>
            <w:tcW w:w="1377" w:type="dxa"/>
            <w:tcBorders>
              <w:bottom w:val="single" w:sz="12" w:space="0" w:color="auto"/>
            </w:tcBorders>
            <w:shd w:val="clear" w:color="auto" w:fill="auto"/>
          </w:tcPr>
          <w:p w:rsidR="0053256A" w:rsidRPr="0053256A" w:rsidRDefault="00987148" w:rsidP="0053256A">
            <w:pPr>
              <w:spacing w:before="40" w:after="120"/>
              <w:ind w:right="113"/>
            </w:pPr>
            <w:r w:rsidRPr="00987148">
              <w:rPr>
                <w:bCs/>
              </w:rPr>
              <w:t>Prolonged detention in police cells, mental health care for prisoners and the situation in immigration detention facilities.</w:t>
            </w:r>
            <w:r w:rsidRPr="00987148">
              <w:rPr>
                <w:bCs/>
                <w:vertAlign w:val="superscript"/>
              </w:rPr>
              <w:endnoteReference w:id="29"/>
            </w:r>
          </w:p>
        </w:tc>
        <w:tc>
          <w:tcPr>
            <w:tcW w:w="1377" w:type="dxa"/>
            <w:tcBorders>
              <w:bottom w:val="single" w:sz="12" w:space="0" w:color="auto"/>
            </w:tcBorders>
          </w:tcPr>
          <w:p w:rsidR="0053256A" w:rsidRPr="0053256A" w:rsidRDefault="0053256A" w:rsidP="0053256A">
            <w:pPr>
              <w:spacing w:before="40" w:after="120"/>
              <w:ind w:right="113"/>
            </w:pPr>
          </w:p>
        </w:tc>
      </w:tr>
    </w:tbl>
    <w:p w:rsidR="00A02BFB" w:rsidRPr="0053256A" w:rsidRDefault="0022777B" w:rsidP="00987148">
      <w:pPr>
        <w:pStyle w:val="H23G"/>
      </w:pPr>
      <w:r w:rsidRPr="0053256A">
        <w:tab/>
      </w:r>
      <w:r w:rsidRPr="0053256A">
        <w:tab/>
      </w:r>
      <w:r w:rsidR="00A02BFB" w:rsidRPr="00987148">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53256A" w:rsidTr="008B4D7D">
        <w:tc>
          <w:tcPr>
            <w:tcW w:w="3211" w:type="dxa"/>
            <w:tcBorders>
              <w:top w:val="single" w:sz="4" w:space="0" w:color="auto"/>
              <w:bottom w:val="single" w:sz="12" w:space="0" w:color="auto"/>
            </w:tcBorders>
            <w:shd w:val="clear" w:color="auto" w:fill="auto"/>
            <w:vAlign w:val="bottom"/>
          </w:tcPr>
          <w:p w:rsidR="00A02BFB" w:rsidRPr="00B14DDB" w:rsidRDefault="00A02BFB" w:rsidP="0053256A">
            <w:pPr>
              <w:spacing w:before="40" w:after="120"/>
              <w:ind w:right="113"/>
              <w:rPr>
                <w:i/>
                <w:sz w:val="16"/>
              </w:rPr>
            </w:pPr>
            <w:r w:rsidRPr="00B14DDB">
              <w:rPr>
                <w:i/>
                <w:sz w:val="16"/>
              </w:rPr>
              <w:t>Treaty body</w:t>
            </w:r>
          </w:p>
        </w:tc>
        <w:tc>
          <w:tcPr>
            <w:tcW w:w="3213" w:type="dxa"/>
            <w:tcBorders>
              <w:top w:val="single" w:sz="4" w:space="0" w:color="auto"/>
              <w:bottom w:val="single" w:sz="12" w:space="0" w:color="auto"/>
            </w:tcBorders>
            <w:shd w:val="clear" w:color="auto" w:fill="auto"/>
            <w:vAlign w:val="bottom"/>
          </w:tcPr>
          <w:p w:rsidR="00A02BFB" w:rsidRPr="00B14DDB" w:rsidRDefault="00A02BFB" w:rsidP="0053256A">
            <w:pPr>
              <w:spacing w:before="40" w:after="120"/>
              <w:ind w:right="113"/>
              <w:rPr>
                <w:i/>
                <w:sz w:val="16"/>
              </w:rPr>
            </w:pPr>
            <w:r w:rsidRPr="00B14DDB">
              <w:rPr>
                <w:i/>
                <w:sz w:val="16"/>
              </w:rPr>
              <w:t>Number of views</w:t>
            </w:r>
          </w:p>
        </w:tc>
        <w:tc>
          <w:tcPr>
            <w:tcW w:w="3213" w:type="dxa"/>
            <w:tcBorders>
              <w:top w:val="single" w:sz="4" w:space="0" w:color="auto"/>
              <w:bottom w:val="single" w:sz="12" w:space="0" w:color="auto"/>
            </w:tcBorders>
            <w:shd w:val="clear" w:color="auto" w:fill="auto"/>
            <w:vAlign w:val="bottom"/>
          </w:tcPr>
          <w:p w:rsidR="00A02BFB" w:rsidRPr="00B14DDB" w:rsidRDefault="00A02BFB" w:rsidP="0053256A">
            <w:pPr>
              <w:spacing w:before="40" w:after="120"/>
              <w:ind w:right="113"/>
              <w:rPr>
                <w:i/>
                <w:sz w:val="16"/>
              </w:rPr>
            </w:pPr>
            <w:r w:rsidRPr="00B14DDB">
              <w:rPr>
                <w:i/>
                <w:sz w:val="16"/>
              </w:rPr>
              <w:t>Status</w:t>
            </w:r>
          </w:p>
        </w:tc>
      </w:tr>
      <w:tr w:rsidR="00A02BFB" w:rsidRPr="0053256A" w:rsidTr="008B4D7D">
        <w:trPr>
          <w:trHeight w:hRule="exact" w:val="113"/>
        </w:trPr>
        <w:tc>
          <w:tcPr>
            <w:tcW w:w="3211" w:type="dxa"/>
            <w:tcBorders>
              <w:top w:val="single" w:sz="12" w:space="0" w:color="auto"/>
            </w:tcBorders>
            <w:shd w:val="clear" w:color="auto" w:fill="auto"/>
            <w:vAlign w:val="bottom"/>
          </w:tcPr>
          <w:p w:rsidR="00A02BFB" w:rsidRPr="0053256A" w:rsidRDefault="00A02BFB" w:rsidP="0053256A">
            <w:pPr>
              <w:spacing w:before="40" w:after="120"/>
              <w:ind w:right="113"/>
              <w:rPr>
                <w:sz w:val="16"/>
              </w:rPr>
            </w:pPr>
          </w:p>
        </w:tc>
        <w:tc>
          <w:tcPr>
            <w:tcW w:w="3213" w:type="dxa"/>
            <w:tcBorders>
              <w:top w:val="single" w:sz="12" w:space="0" w:color="auto"/>
            </w:tcBorders>
            <w:shd w:val="clear" w:color="auto" w:fill="auto"/>
            <w:vAlign w:val="bottom"/>
          </w:tcPr>
          <w:p w:rsidR="00A02BFB" w:rsidRPr="0053256A" w:rsidRDefault="00A02BFB" w:rsidP="0053256A">
            <w:pPr>
              <w:spacing w:before="40" w:after="120"/>
              <w:ind w:right="113"/>
              <w:rPr>
                <w:sz w:val="16"/>
              </w:rPr>
            </w:pPr>
          </w:p>
        </w:tc>
        <w:tc>
          <w:tcPr>
            <w:tcW w:w="3213" w:type="dxa"/>
            <w:tcBorders>
              <w:top w:val="single" w:sz="12" w:space="0" w:color="auto"/>
            </w:tcBorders>
            <w:shd w:val="clear" w:color="auto" w:fill="auto"/>
            <w:vAlign w:val="bottom"/>
          </w:tcPr>
          <w:p w:rsidR="00A02BFB" w:rsidRPr="0053256A" w:rsidRDefault="00A02BFB" w:rsidP="0053256A">
            <w:pPr>
              <w:spacing w:before="40" w:after="120"/>
              <w:ind w:right="113"/>
              <w:rPr>
                <w:sz w:val="16"/>
              </w:rPr>
            </w:pPr>
          </w:p>
        </w:tc>
      </w:tr>
      <w:tr w:rsidR="00A02BFB" w:rsidRPr="00A02BFB" w:rsidTr="00B14DDB">
        <w:tc>
          <w:tcPr>
            <w:tcW w:w="3211" w:type="dxa"/>
            <w:tcBorders>
              <w:bottom w:val="single" w:sz="4" w:space="0" w:color="auto"/>
            </w:tcBorders>
            <w:shd w:val="clear" w:color="auto" w:fill="auto"/>
          </w:tcPr>
          <w:p w:rsidR="00A02BFB" w:rsidRPr="00A02BFB" w:rsidRDefault="00A02BFB" w:rsidP="008B4D7D">
            <w:pPr>
              <w:spacing w:before="40" w:after="120"/>
              <w:ind w:right="113"/>
            </w:pPr>
            <w:r w:rsidRPr="00A02BFB">
              <w:t>CAT</w:t>
            </w:r>
          </w:p>
        </w:tc>
        <w:tc>
          <w:tcPr>
            <w:tcW w:w="3213" w:type="dxa"/>
            <w:tcBorders>
              <w:bottom w:val="single" w:sz="4" w:space="0" w:color="auto"/>
            </w:tcBorders>
            <w:shd w:val="clear" w:color="auto" w:fill="auto"/>
          </w:tcPr>
          <w:p w:rsidR="00A02BFB" w:rsidRPr="00A02BFB" w:rsidRDefault="00152880" w:rsidP="008B4D7D">
            <w:pPr>
              <w:spacing w:before="40" w:after="120"/>
              <w:ind w:right="113"/>
            </w:pPr>
            <w:r>
              <w:t>1</w:t>
            </w:r>
            <w:r>
              <w:rPr>
                <w:rStyle w:val="EndnoteReference"/>
              </w:rPr>
              <w:endnoteReference w:id="30"/>
            </w:r>
          </w:p>
        </w:tc>
        <w:tc>
          <w:tcPr>
            <w:tcW w:w="3213" w:type="dxa"/>
            <w:tcBorders>
              <w:bottom w:val="single" w:sz="4" w:space="0" w:color="auto"/>
            </w:tcBorders>
            <w:shd w:val="clear" w:color="auto" w:fill="auto"/>
          </w:tcPr>
          <w:p w:rsidR="00A02BFB" w:rsidRPr="00A02BFB" w:rsidRDefault="00B14DDB" w:rsidP="008B4D7D">
            <w:pPr>
              <w:spacing w:before="40" w:after="120"/>
              <w:ind w:right="113"/>
            </w:pPr>
            <w:r>
              <w:t>Information requested</w:t>
            </w:r>
            <w:r w:rsidR="00152880">
              <w:rPr>
                <w:rStyle w:val="EndnoteReference"/>
              </w:rPr>
              <w:endnoteReference w:id="31"/>
            </w:r>
          </w:p>
        </w:tc>
      </w:tr>
    </w:tbl>
    <w:p w:rsidR="00A02BFB" w:rsidRDefault="00A02BFB" w:rsidP="00541F2D">
      <w:pPr>
        <w:pStyle w:val="H1G"/>
      </w:pPr>
      <w:r w:rsidRPr="00A02BFB">
        <w:tab/>
        <w:t>B.</w:t>
      </w:r>
      <w:r w:rsidRPr="00A02BFB">
        <w:tab/>
        <w:t>Cooperation with special procedures</w:t>
      </w:r>
      <w:r w:rsidRPr="00541F2D">
        <w:rPr>
          <w:rStyle w:val="EndnoteReference"/>
          <w:b w:val="0"/>
        </w:rPr>
        <w:endnoteReference w:id="32"/>
      </w:r>
    </w:p>
    <w:tbl>
      <w:tblPr>
        <w:tblW w:w="9637" w:type="dxa"/>
        <w:tblLayout w:type="fixed"/>
        <w:tblCellMar>
          <w:left w:w="0" w:type="dxa"/>
          <w:right w:w="0" w:type="dxa"/>
        </w:tblCellMar>
        <w:tblLook w:val="04A0" w:firstRow="1" w:lastRow="0" w:firstColumn="1" w:lastColumn="0" w:noHBand="0" w:noVBand="1"/>
      </w:tblPr>
      <w:tblGrid>
        <w:gridCol w:w="3119"/>
        <w:gridCol w:w="3544"/>
        <w:gridCol w:w="2974"/>
      </w:tblGrid>
      <w:tr w:rsidR="009E78E3" w:rsidRPr="009E78E3" w:rsidTr="00295D74">
        <w:tc>
          <w:tcPr>
            <w:tcW w:w="3119"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544"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2974"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295D74">
        <w:trPr>
          <w:trHeight w:hRule="exact" w:val="113"/>
        </w:trPr>
        <w:tc>
          <w:tcPr>
            <w:tcW w:w="3119"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544"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2974"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295D74">
        <w:tc>
          <w:tcPr>
            <w:tcW w:w="3119" w:type="dxa"/>
            <w:shd w:val="clear" w:color="auto" w:fill="auto"/>
          </w:tcPr>
          <w:p w:rsidR="003E33AE" w:rsidRPr="008B4D7D" w:rsidRDefault="003E33AE" w:rsidP="008B4D7D">
            <w:pPr>
              <w:spacing w:before="40" w:after="120"/>
              <w:ind w:right="113"/>
              <w:rPr>
                <w:i/>
              </w:rPr>
            </w:pPr>
            <w:r w:rsidRPr="008B4D7D">
              <w:rPr>
                <w:i/>
              </w:rPr>
              <w:t>Standing invitations</w:t>
            </w:r>
          </w:p>
        </w:tc>
        <w:tc>
          <w:tcPr>
            <w:tcW w:w="3544" w:type="dxa"/>
            <w:shd w:val="clear" w:color="auto" w:fill="auto"/>
          </w:tcPr>
          <w:p w:rsidR="003E33AE" w:rsidRPr="00D75C61" w:rsidRDefault="009E5802" w:rsidP="008B4D7D">
            <w:pPr>
              <w:spacing w:before="40" w:after="120"/>
              <w:ind w:right="113"/>
            </w:pPr>
            <w:r>
              <w:t>Yes</w:t>
            </w:r>
          </w:p>
        </w:tc>
        <w:tc>
          <w:tcPr>
            <w:tcW w:w="2974" w:type="dxa"/>
            <w:shd w:val="clear" w:color="auto" w:fill="auto"/>
          </w:tcPr>
          <w:p w:rsidR="003E33AE" w:rsidRPr="00D75C61" w:rsidRDefault="003E33AE" w:rsidP="008B4D7D">
            <w:pPr>
              <w:spacing w:before="40" w:after="120"/>
              <w:ind w:right="113"/>
            </w:pPr>
            <w:r w:rsidRPr="00D75C61">
              <w:t>Yes</w:t>
            </w:r>
          </w:p>
        </w:tc>
      </w:tr>
      <w:tr w:rsidR="009E78E3" w:rsidRPr="009E78E3" w:rsidTr="00295D74">
        <w:tc>
          <w:tcPr>
            <w:tcW w:w="3119" w:type="dxa"/>
            <w:shd w:val="clear" w:color="auto" w:fill="auto"/>
          </w:tcPr>
          <w:p w:rsidR="003E33AE" w:rsidRPr="008B4D7D" w:rsidRDefault="003E33AE" w:rsidP="008B4D7D">
            <w:pPr>
              <w:spacing w:before="40" w:after="120"/>
              <w:ind w:right="113"/>
              <w:rPr>
                <w:i/>
              </w:rPr>
            </w:pPr>
            <w:r w:rsidRPr="008B4D7D">
              <w:rPr>
                <w:i/>
              </w:rPr>
              <w:t>Visits undertaken</w:t>
            </w:r>
          </w:p>
        </w:tc>
        <w:tc>
          <w:tcPr>
            <w:tcW w:w="3544" w:type="dxa"/>
            <w:shd w:val="clear" w:color="auto" w:fill="auto"/>
          </w:tcPr>
          <w:p w:rsidR="003E6998" w:rsidRPr="00D75C61" w:rsidRDefault="009E5802" w:rsidP="009E5802">
            <w:pPr>
              <w:spacing w:before="40" w:after="240"/>
              <w:ind w:right="113"/>
            </w:pPr>
            <w:r>
              <w:t>-</w:t>
            </w:r>
          </w:p>
        </w:tc>
        <w:tc>
          <w:tcPr>
            <w:tcW w:w="2974" w:type="dxa"/>
            <w:shd w:val="clear" w:color="auto" w:fill="auto"/>
          </w:tcPr>
          <w:p w:rsidR="009E5802" w:rsidRPr="00D75C61" w:rsidRDefault="009E5802" w:rsidP="009E5802">
            <w:pPr>
              <w:rPr>
                <w:rFonts w:eastAsia="Calibri"/>
                <w:lang w:eastAsia="en-GB"/>
              </w:rPr>
            </w:pPr>
            <w:r w:rsidRPr="00D75C61">
              <w:rPr>
                <w:rFonts w:eastAsia="Calibri"/>
                <w:lang w:eastAsia="en-GB"/>
              </w:rPr>
              <w:t>Indigenous peoples</w:t>
            </w:r>
          </w:p>
          <w:p w:rsidR="003E6998" w:rsidRPr="00A9658A" w:rsidRDefault="009E5802" w:rsidP="00A4174E">
            <w:pPr>
              <w:spacing w:before="120"/>
              <w:rPr>
                <w:rFonts w:eastAsia="Calibri"/>
                <w:lang w:eastAsia="en-GB"/>
              </w:rPr>
            </w:pPr>
            <w:r w:rsidRPr="00D75C61">
              <w:rPr>
                <w:rFonts w:eastAsia="Calibri"/>
                <w:lang w:eastAsia="en-GB"/>
              </w:rPr>
              <w:t>International solidarity</w:t>
            </w:r>
          </w:p>
        </w:tc>
      </w:tr>
      <w:tr w:rsidR="009E78E3" w:rsidRPr="009E78E3" w:rsidTr="00295D74">
        <w:tc>
          <w:tcPr>
            <w:tcW w:w="3119" w:type="dxa"/>
            <w:shd w:val="clear" w:color="auto" w:fill="auto"/>
          </w:tcPr>
          <w:p w:rsidR="009E78E3" w:rsidRPr="00D75C61" w:rsidRDefault="003E6998" w:rsidP="008B4D7D">
            <w:pPr>
              <w:spacing w:before="40" w:after="120"/>
              <w:ind w:right="113"/>
            </w:pPr>
            <w:r w:rsidRPr="00D75C61">
              <w:t>Visits agreed to in principle</w:t>
            </w:r>
          </w:p>
        </w:tc>
        <w:tc>
          <w:tcPr>
            <w:tcW w:w="3544" w:type="dxa"/>
            <w:shd w:val="clear" w:color="auto" w:fill="auto"/>
          </w:tcPr>
          <w:p w:rsidR="009E78E3" w:rsidRPr="00D75C61" w:rsidRDefault="009E5802" w:rsidP="009E5802">
            <w:pPr>
              <w:spacing w:before="40" w:after="240"/>
              <w:ind w:right="113"/>
            </w:pPr>
            <w:r>
              <w:t>-</w:t>
            </w:r>
          </w:p>
        </w:tc>
        <w:tc>
          <w:tcPr>
            <w:tcW w:w="2974" w:type="dxa"/>
            <w:shd w:val="clear" w:color="auto" w:fill="auto"/>
          </w:tcPr>
          <w:p w:rsidR="003E6998" w:rsidRPr="00D75C61" w:rsidRDefault="009E5802" w:rsidP="00A4174E">
            <w:pPr>
              <w:pStyle w:val="NoSpacing"/>
              <w:spacing w:before="120"/>
              <w:rPr>
                <w:rFonts w:eastAsia="Calibri"/>
                <w:lang w:eastAsia="en-GB"/>
              </w:rPr>
            </w:pPr>
            <w:r>
              <w:rPr>
                <w:rFonts w:eastAsia="Calibri"/>
                <w:lang w:eastAsia="en-GB"/>
              </w:rPr>
              <w:t>Cultural rights</w:t>
            </w:r>
          </w:p>
          <w:p w:rsidR="00554BB3" w:rsidRDefault="009E5802" w:rsidP="00A4174E">
            <w:pPr>
              <w:pStyle w:val="NoSpacing"/>
            </w:pPr>
            <w:r w:rsidRPr="00D75C61">
              <w:t>African Descent</w:t>
            </w:r>
          </w:p>
          <w:p w:rsidR="009E5802" w:rsidRPr="00D75C61" w:rsidRDefault="009E5802" w:rsidP="00A4174E">
            <w:pPr>
              <w:pStyle w:val="NoSpacing"/>
            </w:pPr>
            <w:r w:rsidRPr="00D75C61">
              <w:t>Disability</w:t>
            </w:r>
          </w:p>
          <w:p w:rsidR="009E78E3" w:rsidRPr="00D75C61" w:rsidRDefault="009E5802" w:rsidP="00A4174E">
            <w:pPr>
              <w:pStyle w:val="NoSpacing"/>
            </w:pPr>
            <w:r w:rsidRPr="00D75C61">
              <w:t>Environment</w:t>
            </w:r>
          </w:p>
        </w:tc>
      </w:tr>
      <w:tr w:rsidR="009E78E3" w:rsidRPr="009E78E3" w:rsidTr="00295D74">
        <w:tc>
          <w:tcPr>
            <w:tcW w:w="3119" w:type="dxa"/>
            <w:shd w:val="clear" w:color="auto" w:fill="auto"/>
          </w:tcPr>
          <w:p w:rsidR="009E78E3" w:rsidRPr="00D75C61" w:rsidRDefault="003E6998" w:rsidP="00A4174E">
            <w:pPr>
              <w:spacing w:before="120" w:after="120"/>
              <w:ind w:right="113"/>
            </w:pPr>
            <w:r w:rsidRPr="00D75C61">
              <w:t>Visits requested</w:t>
            </w:r>
          </w:p>
        </w:tc>
        <w:tc>
          <w:tcPr>
            <w:tcW w:w="3544" w:type="dxa"/>
            <w:shd w:val="clear" w:color="auto" w:fill="auto"/>
          </w:tcPr>
          <w:p w:rsidR="003E6998" w:rsidRPr="00D75C61" w:rsidRDefault="009E5802" w:rsidP="00A4174E">
            <w:pPr>
              <w:spacing w:before="120"/>
              <w:ind w:right="113"/>
            </w:pPr>
            <w:r>
              <w:t>-</w:t>
            </w:r>
          </w:p>
        </w:tc>
        <w:tc>
          <w:tcPr>
            <w:tcW w:w="2974" w:type="dxa"/>
            <w:shd w:val="clear" w:color="auto" w:fill="auto"/>
          </w:tcPr>
          <w:p w:rsidR="003E6998" w:rsidRPr="00D75C61" w:rsidRDefault="009E5802" w:rsidP="00A4174E">
            <w:pPr>
              <w:spacing w:before="120" w:after="120"/>
              <w:ind w:right="113"/>
            </w:pPr>
            <w:r w:rsidRPr="00D75C61">
              <w:t>Dev</w:t>
            </w:r>
            <w:bookmarkStart w:id="4" w:name="_GoBack"/>
            <w:bookmarkEnd w:id="4"/>
            <w:r w:rsidRPr="00D75C61">
              <w:t>elopment</w:t>
            </w:r>
          </w:p>
        </w:tc>
      </w:tr>
      <w:tr w:rsidR="009D3FA1" w:rsidRPr="009D3FA1" w:rsidTr="00A9658A">
        <w:trPr>
          <w:trHeight w:hRule="exact" w:val="113"/>
        </w:trPr>
        <w:tc>
          <w:tcPr>
            <w:tcW w:w="3119"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544"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2974"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0F1B97" w:rsidRPr="009D3FA1" w:rsidTr="00A9658A">
        <w:tc>
          <w:tcPr>
            <w:tcW w:w="3119" w:type="dxa"/>
            <w:tcBorders>
              <w:bottom w:val="single" w:sz="12" w:space="0" w:color="auto"/>
            </w:tcBorders>
            <w:shd w:val="clear" w:color="auto" w:fill="auto"/>
          </w:tcPr>
          <w:p w:rsidR="000F1B97" w:rsidRPr="008B4D7D" w:rsidRDefault="000F1B97" w:rsidP="008B4D7D">
            <w:pPr>
              <w:spacing w:before="40" w:after="120"/>
              <w:ind w:right="113"/>
              <w:rPr>
                <w:i/>
              </w:rPr>
            </w:pPr>
            <w:r w:rsidRPr="008B4D7D">
              <w:rPr>
                <w:i/>
              </w:rPr>
              <w:t xml:space="preserve">Responses to letters of </w:t>
            </w:r>
            <w:r w:rsidRPr="008B4D7D">
              <w:rPr>
                <w:i/>
              </w:rPr>
              <w:br/>
              <w:t>allegation and urgent appeal</w:t>
            </w:r>
          </w:p>
        </w:tc>
        <w:tc>
          <w:tcPr>
            <w:tcW w:w="6518" w:type="dxa"/>
            <w:gridSpan w:val="2"/>
            <w:tcBorders>
              <w:bottom w:val="single" w:sz="12" w:space="0" w:color="auto"/>
            </w:tcBorders>
            <w:shd w:val="clear" w:color="auto" w:fill="auto"/>
          </w:tcPr>
          <w:p w:rsidR="000F1B97" w:rsidRPr="009D3FA1" w:rsidRDefault="000F1B97" w:rsidP="00BF4FE9">
            <w:pPr>
              <w:spacing w:before="40" w:after="120"/>
              <w:ind w:right="113"/>
            </w:pPr>
            <w:r>
              <w:t>Du</w:t>
            </w:r>
            <w:r w:rsidR="00A9658A">
              <w:t xml:space="preserve">ring the period under review 3 </w:t>
            </w:r>
            <w:r w:rsidR="00A9658A">
              <w:br/>
              <w:t>c</w:t>
            </w:r>
            <w:r>
              <w:t xml:space="preserve">ommunications were sent. </w:t>
            </w:r>
            <w:r w:rsidR="00A9658A">
              <w:br/>
            </w:r>
            <w:r>
              <w:t>The Government replied to</w:t>
            </w:r>
            <w:r w:rsidR="00BF4FE9">
              <w:t xml:space="preserve"> all of them. </w:t>
            </w:r>
          </w:p>
        </w:tc>
      </w:tr>
    </w:tbl>
    <w:p w:rsidR="00A02BFB" w:rsidRPr="009D3FA1" w:rsidRDefault="00A02BFB" w:rsidP="009D3FA1">
      <w:pPr>
        <w:pStyle w:val="H1G"/>
      </w:pPr>
      <w:r w:rsidRPr="009D3FA1">
        <w:tab/>
        <w:t>C.</w:t>
      </w:r>
      <w:r w:rsidRPr="009D3FA1">
        <w:tab/>
        <w:t>Status of national human rights institutions</w:t>
      </w:r>
      <w:r w:rsidRPr="00A9658A">
        <w:rPr>
          <w:rStyle w:val="EndnoteReference"/>
          <w:b w:val="0"/>
        </w:rPr>
        <w:endnoteReference w:id="3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A9658A" w:rsidRDefault="00A02BFB" w:rsidP="008B4D7D">
            <w:pPr>
              <w:spacing w:before="40" w:after="120"/>
              <w:ind w:right="113"/>
              <w:rPr>
                <w:i/>
                <w:sz w:val="16"/>
                <w:szCs w:val="16"/>
              </w:rPr>
            </w:pPr>
            <w:r w:rsidRPr="00A9658A">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A9658A" w:rsidRDefault="00A02BFB" w:rsidP="008B4D7D">
            <w:pPr>
              <w:spacing w:before="40" w:after="120"/>
              <w:ind w:right="113"/>
              <w:rPr>
                <w:i/>
                <w:sz w:val="16"/>
                <w:szCs w:val="16"/>
              </w:rPr>
            </w:pPr>
            <w:r w:rsidRPr="00A9658A">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A9658A" w:rsidRDefault="00A02BFB" w:rsidP="004750E5">
            <w:pPr>
              <w:spacing w:before="40" w:after="120"/>
              <w:ind w:right="113"/>
              <w:rPr>
                <w:i/>
                <w:sz w:val="16"/>
                <w:szCs w:val="16"/>
              </w:rPr>
            </w:pPr>
            <w:r w:rsidRPr="00A9658A">
              <w:rPr>
                <w:i/>
                <w:sz w:val="16"/>
                <w:szCs w:val="16"/>
              </w:rPr>
              <w:t>Status during present cycle</w:t>
            </w:r>
            <w:r w:rsidR="004750E5" w:rsidRPr="00FE6B81">
              <w:rPr>
                <w:rStyle w:val="EndnoteReference"/>
                <w:szCs w:val="16"/>
              </w:rPr>
              <w:endnoteReference w:id="34"/>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295D74" w:rsidP="008B4D7D">
            <w:pPr>
              <w:spacing w:before="80" w:after="80" w:line="200" w:lineRule="exact"/>
              <w:ind w:right="113"/>
              <w:rPr>
                <w:i/>
                <w:sz w:val="16"/>
              </w:rPr>
            </w:pPr>
            <w:proofErr w:type="spellStart"/>
            <w:r>
              <w:rPr>
                <w:i/>
                <w:sz w:val="16"/>
              </w:rPr>
              <w:t>Noreg</w:t>
            </w:r>
            <w:proofErr w:type="spellEnd"/>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3E08DD" w:rsidP="00295D74">
            <w:pPr>
              <w:spacing w:before="40" w:after="120"/>
              <w:ind w:right="113"/>
            </w:pPr>
            <w:r w:rsidRPr="00B93EA9">
              <w:t xml:space="preserve">Norwegian National Human </w:t>
            </w:r>
            <w:r w:rsidR="00A9658A">
              <w:br/>
            </w:r>
            <w:r w:rsidRPr="00B93EA9">
              <w:t>Rights Institution</w:t>
            </w:r>
          </w:p>
        </w:tc>
        <w:tc>
          <w:tcPr>
            <w:tcW w:w="2457" w:type="dxa"/>
            <w:tcBorders>
              <w:bottom w:val="single" w:sz="4" w:space="0" w:color="auto"/>
            </w:tcBorders>
            <w:shd w:val="clear" w:color="auto" w:fill="auto"/>
          </w:tcPr>
          <w:p w:rsidR="003E08DD" w:rsidRDefault="00295D74" w:rsidP="003E08DD">
            <w:pPr>
              <w:suppressAutoHyphens w:val="0"/>
              <w:autoSpaceDE w:val="0"/>
              <w:autoSpaceDN w:val="0"/>
              <w:adjustRightInd w:val="0"/>
              <w:spacing w:line="240" w:lineRule="auto"/>
              <w:rPr>
                <w:lang w:eastAsia="en-GB"/>
              </w:rPr>
            </w:pPr>
            <w:r>
              <w:rPr>
                <w:lang w:eastAsia="en-GB"/>
              </w:rPr>
              <w:t>B (2012)</w:t>
            </w:r>
            <w:r w:rsidR="003E08DD">
              <w:rPr>
                <w:lang w:eastAsia="en-GB"/>
              </w:rPr>
              <w:t xml:space="preserve"> </w:t>
            </w:r>
          </w:p>
          <w:p w:rsidR="003E08DD" w:rsidRDefault="003E08DD" w:rsidP="003E08DD">
            <w:pPr>
              <w:suppressAutoHyphens w:val="0"/>
              <w:autoSpaceDE w:val="0"/>
              <w:autoSpaceDN w:val="0"/>
              <w:adjustRightInd w:val="0"/>
              <w:spacing w:line="240" w:lineRule="auto"/>
              <w:rPr>
                <w:lang w:eastAsia="en-GB"/>
              </w:rPr>
            </w:pPr>
            <w:r>
              <w:rPr>
                <w:lang w:eastAsia="en-GB"/>
              </w:rPr>
              <w:t>Norwegian Centre for</w:t>
            </w:r>
          </w:p>
          <w:p w:rsidR="00A02BFB" w:rsidRPr="00A02BFB" w:rsidRDefault="003E08DD" w:rsidP="003E08DD">
            <w:pPr>
              <w:spacing w:before="40" w:after="120"/>
              <w:ind w:right="113"/>
            </w:pPr>
            <w:r>
              <w:rPr>
                <w:lang w:eastAsia="en-GB"/>
              </w:rPr>
              <w:t>Human Rights</w:t>
            </w:r>
          </w:p>
        </w:tc>
        <w:tc>
          <w:tcPr>
            <w:tcW w:w="2457" w:type="dxa"/>
            <w:tcBorders>
              <w:bottom w:val="single" w:sz="4" w:space="0" w:color="auto"/>
            </w:tcBorders>
            <w:shd w:val="clear" w:color="auto" w:fill="auto"/>
          </w:tcPr>
          <w:p w:rsidR="00A02BFB" w:rsidRPr="00A02BFB" w:rsidRDefault="006920A2" w:rsidP="008B4D7D">
            <w:pPr>
              <w:spacing w:before="40" w:after="120"/>
              <w:ind w:right="113"/>
            </w:pPr>
            <w:r>
              <w:t>A (2017)</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2B" w:rsidRDefault="003E502B"/>
  </w:endnote>
  <w:endnote w:type="continuationSeparator" w:id="0">
    <w:p w:rsidR="003E502B" w:rsidRDefault="003E502B"/>
  </w:endnote>
  <w:endnote w:type="continuationNotice" w:id="1">
    <w:p w:rsidR="003E502B" w:rsidRDefault="003E502B"/>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E7F60">
        <w:t>Norway</w:t>
      </w:r>
      <w:r w:rsidRPr="008B4D7D">
        <w:rPr>
          <w:color w:val="4F81BD"/>
        </w:rPr>
        <w:t xml:space="preserve"> </w:t>
      </w:r>
      <w:r w:rsidRPr="00806A55">
        <w:t>from the previous cycle (A/HRC/WG.6/</w:t>
      </w:r>
      <w:r w:rsidR="004E7F60">
        <w:t>19/NOR</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750E5">
        <w:rPr>
          <w:szCs w:val="18"/>
        </w:rPr>
        <w:t>;</w:t>
      </w:r>
    </w:p>
    <w:p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750E5">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4750E5">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750E5">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750E5">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750E5">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4750E5">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750E5">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750E5">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art. 1; </w:t>
      </w:r>
      <w:r w:rsidRPr="00DA7FDF">
        <w:t>OP-CRC-IC, art. 5; ICERD, art. 14; CAT, art. 22; ICRMW, art. 77; and ICPPED, art. 31</w:t>
      </w:r>
      <w:r w:rsidRPr="00DA7FDF">
        <w:rPr>
          <w:u w:val="single"/>
        </w:rPr>
        <w:t>. Inquiry procedure</w:t>
      </w:r>
      <w:r w:rsidRPr="00DA7FDF">
        <w:t xml:space="preserve">: OP-CEDAW, art. 8; CAT, art. 20; ICPPED, art. 33; OP-CRPD, art. 6; OP-ICESCR, art. 11; and OP-CRC-IC, art. 13. </w:t>
      </w:r>
      <w:r w:rsidRPr="00DA7FDF">
        <w:rPr>
          <w:u w:val="single"/>
        </w:rPr>
        <w:t>Inter-State complaints</w:t>
      </w:r>
      <w:r w:rsidRPr="00DA7FDF">
        <w:t xml:space="preserve">: ICCPR, art. 41; </w:t>
      </w:r>
      <w:r w:rsidR="00C86D60" w:rsidRPr="00DA7FDF">
        <w:rPr>
          <w:rStyle w:val="EndnoteTextChar"/>
          <w:rFonts w:eastAsia="Calibri"/>
        </w:rPr>
        <w:t xml:space="preserve">ICERD, art. 11; </w:t>
      </w:r>
      <w:r w:rsidRPr="00DA7FDF">
        <w:t xml:space="preserve">ICRMW, art. 76; ICPPED, art. 32; CAT, art. 21; OP-ICESCR, art. 10; and OP-CRC-IC, art. 12. </w:t>
      </w:r>
      <w:r w:rsidRPr="00DA7FDF">
        <w:rPr>
          <w:u w:val="single"/>
        </w:rPr>
        <w:t>Urgent action</w:t>
      </w:r>
      <w:r w:rsidRPr="00DA7FDF">
        <w:t>: ICPPED, art. 30.</w:t>
      </w:r>
    </w:p>
  </w:endnote>
  <w:endnote w:id="5">
    <w:p w:rsidR="008002BD" w:rsidRPr="00DC0489" w:rsidRDefault="008002BD" w:rsidP="008002BD">
      <w:pPr>
        <w:pStyle w:val="EndnoteText"/>
        <w:rPr>
          <w:color w:val="000000" w:themeColor="text1"/>
          <w:szCs w:val="18"/>
        </w:rPr>
      </w:pPr>
      <w:r w:rsidRPr="00DC0489">
        <w:rPr>
          <w:color w:val="000000" w:themeColor="text1"/>
          <w:szCs w:val="18"/>
        </w:rPr>
        <w:tab/>
      </w:r>
      <w:r w:rsidRPr="00DC0489">
        <w:rPr>
          <w:rStyle w:val="EndnoteReference"/>
          <w:color w:val="000000" w:themeColor="text1"/>
          <w:szCs w:val="18"/>
        </w:rPr>
        <w:endnoteRef/>
      </w:r>
      <w:r w:rsidRPr="00DC0489">
        <w:rPr>
          <w:color w:val="000000" w:themeColor="text1"/>
          <w:szCs w:val="18"/>
        </w:rPr>
        <w:tab/>
        <w:t xml:space="preserve">Domestic Workers </w:t>
      </w:r>
      <w:r w:rsidRPr="00DC0489">
        <w:rPr>
          <w:color w:val="000000" w:themeColor="text1"/>
          <w:szCs w:val="18"/>
          <w:lang w:val="en-US"/>
        </w:rPr>
        <w:t>Convention, 2011 (No. 189)</w:t>
      </w:r>
      <w:r w:rsidR="004750E5">
        <w:rPr>
          <w:color w:val="000000" w:themeColor="text1"/>
          <w:szCs w:val="18"/>
          <w:lang w:val="en-US"/>
        </w:rPr>
        <w:t>.</w:t>
      </w:r>
    </w:p>
  </w:endnote>
  <w:endnote w:id="6">
    <w:p w:rsidR="00350CFD" w:rsidRPr="00566D73"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8002BD">
        <w:rPr>
          <w:color w:val="000000" w:themeColor="text1"/>
          <w:szCs w:val="18"/>
        </w:rPr>
        <w:t xml:space="preserve">Geneva Convention for the Amelioration of the Condition of the Wounded and Sick in Armed Forces </w:t>
      </w:r>
      <w:r w:rsidRPr="00566D73">
        <w:rPr>
          <w:color w:val="000000" w:themeColor="text1"/>
          <w:szCs w:val="18"/>
        </w:rPr>
        <w:t xml:space="preserve">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566D73">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A02BFB" w:rsidRPr="00566D73" w:rsidRDefault="00A02BFB" w:rsidP="00A02BFB">
      <w:pPr>
        <w:pStyle w:val="EndnoteText"/>
        <w:widowControl w:val="0"/>
        <w:rPr>
          <w:color w:val="000000" w:themeColor="text1"/>
          <w:szCs w:val="18"/>
        </w:rPr>
      </w:pPr>
      <w:r w:rsidRPr="00566D73">
        <w:rPr>
          <w:color w:val="000000" w:themeColor="text1"/>
          <w:szCs w:val="18"/>
        </w:rPr>
        <w:tab/>
      </w:r>
      <w:r w:rsidRPr="00566D73">
        <w:rPr>
          <w:rStyle w:val="EndnoteReference"/>
          <w:color w:val="000000" w:themeColor="text1"/>
          <w:szCs w:val="18"/>
        </w:rPr>
        <w:endnoteRef/>
      </w:r>
      <w:r w:rsidRPr="00566D73">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8">
    <w:p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rsidR="00A02BFB" w:rsidRPr="00DC0489"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DC0489">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A02BFB" w:rsidRPr="00DC0489" w:rsidRDefault="00A02BFB" w:rsidP="00A02BFB">
      <w:pPr>
        <w:pStyle w:val="EndnoteText"/>
        <w:rPr>
          <w:color w:val="000000" w:themeColor="text1"/>
          <w:szCs w:val="18"/>
        </w:rPr>
      </w:pPr>
      <w:r w:rsidRPr="00DC0489">
        <w:rPr>
          <w:color w:val="000000" w:themeColor="text1"/>
          <w:szCs w:val="18"/>
        </w:rPr>
        <w:tab/>
      </w:r>
      <w:r w:rsidRPr="00DC0489">
        <w:rPr>
          <w:rStyle w:val="EndnoteReference"/>
          <w:color w:val="000000" w:themeColor="text1"/>
          <w:szCs w:val="18"/>
        </w:rPr>
        <w:endnoteRef/>
      </w:r>
      <w:r w:rsidRPr="00DC0489">
        <w:rPr>
          <w:color w:val="000000" w:themeColor="text1"/>
          <w:szCs w:val="18"/>
        </w:rPr>
        <w:tab/>
        <w:t>ILO</w:t>
      </w:r>
      <w:r w:rsidRPr="00DC0489">
        <w:rPr>
          <w:color w:val="000000" w:themeColor="text1"/>
          <w:szCs w:val="18"/>
          <w:lang w:val="en-US"/>
        </w:rPr>
        <w:t xml:space="preserve"> Indigenous and Tribal Peoples</w:t>
      </w:r>
      <w:r w:rsidR="008002BD">
        <w:rPr>
          <w:color w:val="000000" w:themeColor="text1"/>
          <w:szCs w:val="18"/>
          <w:lang w:val="en-US"/>
        </w:rPr>
        <w:t xml:space="preserve"> Convention, 1989 (No. 169)</w:t>
      </w:r>
      <w:r w:rsidR="004750E5">
        <w:rPr>
          <w:color w:val="000000" w:themeColor="text1"/>
          <w:szCs w:val="18"/>
          <w:lang w:val="en-US"/>
        </w:rPr>
        <w:t>.</w:t>
      </w:r>
    </w:p>
  </w:endnote>
  <w:endnote w:id="11">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4750E5">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4750E5">
        <w:rPr>
          <w:szCs w:val="18"/>
        </w:rPr>
        <w:t>.</w:t>
      </w:r>
    </w:p>
  </w:endnote>
  <w:endnote w:id="12">
    <w:p w:rsidR="0053256A" w:rsidRPr="00152880" w:rsidRDefault="004750E5" w:rsidP="004750E5">
      <w:pPr>
        <w:pStyle w:val="EndnoteText"/>
        <w:jc w:val="both"/>
        <w:rPr>
          <w:szCs w:val="18"/>
        </w:rPr>
      </w:pPr>
      <w:r>
        <w:rPr>
          <w:szCs w:val="18"/>
        </w:rPr>
        <w:tab/>
      </w:r>
      <w:r w:rsidR="0053256A" w:rsidRPr="00152880">
        <w:rPr>
          <w:rStyle w:val="EndnoteReference"/>
          <w:szCs w:val="18"/>
        </w:rPr>
        <w:endnoteRef/>
      </w:r>
      <w:r>
        <w:rPr>
          <w:szCs w:val="18"/>
        </w:rPr>
        <w:tab/>
      </w:r>
      <w:r w:rsidR="0053256A" w:rsidRPr="00152880">
        <w:rPr>
          <w:bCs/>
          <w:szCs w:val="18"/>
          <w:lang w:eastAsia="en-GB"/>
        </w:rPr>
        <w:t>CERD/C/NOR/CO/19-20, para. 26.</w:t>
      </w:r>
    </w:p>
  </w:endnote>
  <w:endnote w:id="13">
    <w:p w:rsidR="0053256A" w:rsidRPr="00152880" w:rsidRDefault="004750E5" w:rsidP="004750E5">
      <w:pPr>
        <w:pStyle w:val="EndnoteText"/>
        <w:jc w:val="both"/>
        <w:rPr>
          <w:szCs w:val="18"/>
        </w:rPr>
      </w:pPr>
      <w:r>
        <w:rPr>
          <w:szCs w:val="18"/>
        </w:rPr>
        <w:tab/>
      </w:r>
      <w:r w:rsidR="0053256A" w:rsidRPr="00152880">
        <w:rPr>
          <w:rStyle w:val="EndnoteReference"/>
          <w:szCs w:val="18"/>
        </w:rPr>
        <w:endnoteRef/>
      </w:r>
      <w:r>
        <w:rPr>
          <w:szCs w:val="18"/>
        </w:rPr>
        <w:tab/>
      </w:r>
      <w:r w:rsidR="0053256A" w:rsidRPr="00152880">
        <w:rPr>
          <w:bCs/>
          <w:szCs w:val="18"/>
        </w:rPr>
        <w:t>CERD/C/NOR/CO/21-22, para. 46.</w:t>
      </w:r>
    </w:p>
  </w:endnote>
  <w:endnote w:id="14">
    <w:p w:rsidR="00F1567D" w:rsidRPr="00C8590D" w:rsidRDefault="004750E5" w:rsidP="004750E5">
      <w:pPr>
        <w:pStyle w:val="EndnoteText"/>
      </w:pPr>
      <w:r>
        <w:tab/>
      </w:r>
      <w:r w:rsidR="00F1567D" w:rsidRPr="00C8590D">
        <w:rPr>
          <w:rStyle w:val="EndnoteReference"/>
        </w:rPr>
        <w:endnoteRef/>
      </w:r>
      <w:r>
        <w:tab/>
      </w:r>
      <w:r w:rsidR="00F1567D" w:rsidRPr="00FE63E8">
        <w:rPr>
          <w:bCs/>
          <w:szCs w:val="18"/>
        </w:rPr>
        <w:t>CERD/C/NOR/CO/23-24, para. 34.</w:t>
      </w:r>
    </w:p>
  </w:endnote>
  <w:endnote w:id="15">
    <w:p w:rsidR="0053256A" w:rsidRPr="00152880" w:rsidRDefault="004750E5" w:rsidP="004750E5">
      <w:pPr>
        <w:pStyle w:val="EndnoteText"/>
        <w:jc w:val="both"/>
        <w:rPr>
          <w:szCs w:val="18"/>
        </w:rPr>
      </w:pPr>
      <w:r>
        <w:rPr>
          <w:szCs w:val="18"/>
        </w:rPr>
        <w:tab/>
      </w:r>
      <w:r w:rsidR="0053256A" w:rsidRPr="00152880">
        <w:rPr>
          <w:rStyle w:val="EndnoteReference"/>
          <w:szCs w:val="18"/>
        </w:rPr>
        <w:endnoteRef/>
      </w:r>
      <w:r>
        <w:rPr>
          <w:szCs w:val="18"/>
        </w:rPr>
        <w:tab/>
      </w:r>
      <w:r w:rsidR="0053256A" w:rsidRPr="00152880">
        <w:rPr>
          <w:szCs w:val="18"/>
        </w:rPr>
        <w:t>CERD/C/NOR/CO/19-20/Add.1.</w:t>
      </w:r>
    </w:p>
  </w:endnote>
  <w:endnote w:id="16">
    <w:p w:rsidR="0053256A" w:rsidRPr="00152880" w:rsidRDefault="004750E5" w:rsidP="004750E5">
      <w:pPr>
        <w:pStyle w:val="EndnoteText"/>
        <w:jc w:val="both"/>
        <w:rPr>
          <w:szCs w:val="18"/>
        </w:rPr>
      </w:pPr>
      <w:r>
        <w:rPr>
          <w:szCs w:val="18"/>
        </w:rPr>
        <w:tab/>
      </w:r>
      <w:r w:rsidR="0053256A" w:rsidRPr="00152880">
        <w:rPr>
          <w:rStyle w:val="EndnoteReference"/>
          <w:szCs w:val="18"/>
        </w:rPr>
        <w:endnoteRef/>
      </w:r>
      <w:r>
        <w:rPr>
          <w:szCs w:val="18"/>
        </w:rPr>
        <w:tab/>
      </w:r>
      <w:r w:rsidR="0053256A" w:rsidRPr="00152880">
        <w:rPr>
          <w:szCs w:val="18"/>
        </w:rPr>
        <w:t xml:space="preserve">Letter from CERD to the Permanent Mission of Norway </w:t>
      </w:r>
      <w:r w:rsidR="0053256A" w:rsidRPr="00152880">
        <w:rPr>
          <w:rStyle w:val="EndnoteTextChar"/>
          <w:szCs w:val="18"/>
        </w:rPr>
        <w:t>to the United Nations Office and other international organizations in Geneva</w:t>
      </w:r>
      <w:r w:rsidR="0053256A" w:rsidRPr="00152880">
        <w:rPr>
          <w:szCs w:val="18"/>
        </w:rPr>
        <w:t xml:space="preserve">, dated 31 August 2012, available from https://tbinternet.ohchr.org/Treaties/CERD/Shared%20Documents/NOR/INT_CERD_FUL_NOR_12166_E.pdf </w:t>
      </w:r>
    </w:p>
  </w:endnote>
  <w:endnote w:id="17">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rStyle w:val="sessionsubtitle"/>
          <w:szCs w:val="18"/>
          <w:lang w:val="en-US"/>
        </w:rPr>
        <w:t>CERD/C/NOR/CO/21-22/ADD.1.</w:t>
      </w:r>
    </w:p>
  </w:endnote>
  <w:endnote w:id="18">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 xml:space="preserve">Letter from CERD to the Permanent Mission of Norway </w:t>
      </w:r>
      <w:r w:rsidR="00F1567D" w:rsidRPr="00152880">
        <w:rPr>
          <w:rStyle w:val="EndnoteTextChar"/>
          <w:szCs w:val="18"/>
        </w:rPr>
        <w:t>to the United Nations Office and other international organizations in Geneva</w:t>
      </w:r>
      <w:r w:rsidR="00F1567D" w:rsidRPr="00152880">
        <w:rPr>
          <w:szCs w:val="18"/>
        </w:rPr>
        <w:t>, dated 22 December 2016, available from https://tbinternet.ohchr.org/Treaties/CERD/Shared%20Documents/N</w:t>
      </w:r>
      <w:r>
        <w:rPr>
          <w:szCs w:val="18"/>
        </w:rPr>
        <w:t>OR/INT_CERD_FUL_NOR_26206_E.pdf</w:t>
      </w:r>
    </w:p>
  </w:endnote>
  <w:endnote w:id="19">
    <w:p w:rsidR="004750E5" w:rsidRDefault="004750E5" w:rsidP="004750E5">
      <w:pPr>
        <w:pStyle w:val="EndnoteText"/>
        <w:widowControl w:val="0"/>
        <w:tabs>
          <w:tab w:val="clear" w:pos="1021"/>
          <w:tab w:val="right" w:pos="1020"/>
        </w:tabs>
      </w:pPr>
      <w:r>
        <w:tab/>
      </w:r>
      <w:r>
        <w:rPr>
          <w:rStyle w:val="EndnoteReference"/>
        </w:rPr>
        <w:endnoteRef/>
      </w:r>
      <w:r>
        <w:tab/>
      </w:r>
      <w:r w:rsidR="00B2569F">
        <w:t>C</w:t>
      </w:r>
      <w:r w:rsidRPr="004750E5">
        <w:t>CPR/C/NOR/CO/6, para. 17.</w:t>
      </w:r>
    </w:p>
  </w:endnote>
  <w:endnote w:id="20">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bCs/>
          <w:szCs w:val="18"/>
        </w:rPr>
        <w:t>CCPR/C/NOR/CO/7, para. 39.</w:t>
      </w:r>
    </w:p>
  </w:endnote>
  <w:endnote w:id="21">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CCPR/C/NOR/CO/6/Add.1.</w:t>
      </w:r>
    </w:p>
  </w:endnote>
  <w:endnote w:id="22">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CCPR/C/NOR/CO/6/Add.2</w:t>
      </w:r>
      <w:r>
        <w:rPr>
          <w:szCs w:val="18"/>
        </w:rPr>
        <w:t>.</w:t>
      </w:r>
    </w:p>
  </w:endnote>
  <w:endnote w:id="23">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 xml:space="preserve">Available from </w:t>
      </w:r>
      <w:hyperlink r:id="rId1" w:history="1">
        <w:r w:rsidRPr="008841E0">
          <w:rPr>
            <w:rStyle w:val="Hyperlink"/>
            <w:szCs w:val="18"/>
          </w:rPr>
          <w:t>https://tbinternet.ohchr.org/Treaties/CCPR/Shared%20Documents</w:t>
        </w:r>
        <w:r w:rsidRPr="008841E0">
          <w:rPr>
            <w:rStyle w:val="Hyperlink"/>
            <w:szCs w:val="18"/>
          </w:rPr>
          <w:br/>
          <w:t>/NOR/INT_CCPR_FCO_NOR_19266_E.pdf</w:t>
        </w:r>
      </w:hyperlink>
      <w:r w:rsidR="00F1567D" w:rsidRPr="00152880">
        <w:rPr>
          <w:szCs w:val="18"/>
        </w:rPr>
        <w:t>).</w:t>
      </w:r>
    </w:p>
  </w:endnote>
  <w:endnote w:id="24">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 xml:space="preserve">Letter from HR Committee to the Permanent Mission of Norway </w:t>
      </w:r>
      <w:r w:rsidR="00F1567D" w:rsidRPr="00152880">
        <w:rPr>
          <w:rStyle w:val="EndnoteTextChar"/>
          <w:szCs w:val="18"/>
        </w:rPr>
        <w:t>to the United Nations Office and other international organizations in Geneva</w:t>
      </w:r>
      <w:r w:rsidR="00F1567D" w:rsidRPr="00152880">
        <w:rPr>
          <w:szCs w:val="18"/>
        </w:rPr>
        <w:t>, dated 6 August 2015, available from https://tbinternet.ohchr.org/Treaties/CCPR/Shared%20Documents/N</w:t>
      </w:r>
      <w:r>
        <w:rPr>
          <w:szCs w:val="18"/>
        </w:rPr>
        <w:t>OR/INT_CCPR_FUL_NOR_21301_E.pdf</w:t>
      </w:r>
    </w:p>
  </w:endnote>
  <w:endnote w:id="25">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bCs/>
          <w:szCs w:val="18"/>
          <w:lang w:eastAsia="en-GB"/>
        </w:rPr>
        <w:t>CEDAW/C/NOR/CO/8, para. 43.</w:t>
      </w:r>
    </w:p>
  </w:endnote>
  <w:endnote w:id="26">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bCs/>
          <w:szCs w:val="18"/>
        </w:rPr>
        <w:t>CEDAW/C/NOR/CO/9, para. 54.</w:t>
      </w:r>
    </w:p>
  </w:endnote>
  <w:endnote w:id="27">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rStyle w:val="sessionsubtitle"/>
          <w:szCs w:val="18"/>
          <w:lang w:val="en-US"/>
        </w:rPr>
        <w:t>CEDAW/C/NOR/CO/8/Add.1.</w:t>
      </w:r>
    </w:p>
  </w:endnote>
  <w:endnote w:id="28">
    <w:p w:rsidR="00F1567D" w:rsidRPr="00152880" w:rsidRDefault="004750E5" w:rsidP="004750E5">
      <w:pPr>
        <w:pStyle w:val="EndnoteText"/>
        <w:jc w:val="both"/>
        <w:rPr>
          <w:szCs w:val="18"/>
        </w:rPr>
      </w:pPr>
      <w:r>
        <w:rPr>
          <w:szCs w:val="18"/>
        </w:rPr>
        <w:tab/>
      </w:r>
      <w:r w:rsidR="00F1567D" w:rsidRPr="00152880">
        <w:rPr>
          <w:rStyle w:val="EndnoteReference"/>
          <w:szCs w:val="18"/>
        </w:rPr>
        <w:endnoteRef/>
      </w:r>
      <w:r>
        <w:rPr>
          <w:szCs w:val="18"/>
        </w:rPr>
        <w:tab/>
      </w:r>
      <w:r w:rsidR="00F1567D" w:rsidRPr="00152880">
        <w:rPr>
          <w:szCs w:val="18"/>
        </w:rPr>
        <w:t xml:space="preserve">Letter from CEDAW to the Permanent Mission of Norway </w:t>
      </w:r>
      <w:r w:rsidR="00F1567D" w:rsidRPr="00152880">
        <w:rPr>
          <w:rStyle w:val="EndnoteTextChar"/>
          <w:szCs w:val="18"/>
        </w:rPr>
        <w:t>to the United Nations Office and other international organizations in Geneva</w:t>
      </w:r>
      <w:r w:rsidR="00F1567D" w:rsidRPr="00152880">
        <w:rPr>
          <w:szCs w:val="18"/>
        </w:rPr>
        <w:t>, dated 16 December 2014, available from https://tbinternet.ohchr.org/Treaties/CEDAW/Shared%20Documents/NO</w:t>
      </w:r>
      <w:r>
        <w:rPr>
          <w:szCs w:val="18"/>
        </w:rPr>
        <w:t>R/INT_CEDAW_FUL_NOR_19250_E.pdf</w:t>
      </w:r>
    </w:p>
  </w:endnote>
  <w:endnote w:id="29">
    <w:p w:rsidR="00987148" w:rsidRPr="00DA7FDF" w:rsidRDefault="004750E5" w:rsidP="004750E5">
      <w:pPr>
        <w:pStyle w:val="EndnoteText"/>
        <w:jc w:val="both"/>
        <w:rPr>
          <w:szCs w:val="18"/>
        </w:rPr>
      </w:pPr>
      <w:r>
        <w:rPr>
          <w:szCs w:val="18"/>
        </w:rPr>
        <w:tab/>
      </w:r>
      <w:r w:rsidR="00987148" w:rsidRPr="00152880">
        <w:rPr>
          <w:rStyle w:val="EndnoteReference"/>
          <w:szCs w:val="18"/>
        </w:rPr>
        <w:endnoteRef/>
      </w:r>
      <w:r>
        <w:rPr>
          <w:szCs w:val="18"/>
        </w:rPr>
        <w:tab/>
      </w:r>
      <w:r w:rsidR="00987148" w:rsidRPr="00152880">
        <w:rPr>
          <w:bCs/>
          <w:szCs w:val="18"/>
        </w:rPr>
        <w:t xml:space="preserve">CAT/C/NOR/CO/8, para. </w:t>
      </w:r>
      <w:r w:rsidR="00987148" w:rsidRPr="00DA7FDF">
        <w:rPr>
          <w:bCs/>
          <w:szCs w:val="18"/>
        </w:rPr>
        <w:t>33.</w:t>
      </w:r>
    </w:p>
  </w:endnote>
  <w:endnote w:id="30">
    <w:p w:rsidR="00152880" w:rsidRPr="00DA7FDF" w:rsidRDefault="004750E5" w:rsidP="004750E5">
      <w:pPr>
        <w:pStyle w:val="EndnoteText"/>
        <w:jc w:val="both"/>
        <w:rPr>
          <w:szCs w:val="18"/>
        </w:rPr>
      </w:pPr>
      <w:r>
        <w:rPr>
          <w:szCs w:val="18"/>
        </w:rPr>
        <w:tab/>
      </w:r>
      <w:r w:rsidR="00152880" w:rsidRPr="00152880">
        <w:rPr>
          <w:rStyle w:val="EndnoteReference"/>
          <w:szCs w:val="18"/>
        </w:rPr>
        <w:endnoteRef/>
      </w:r>
      <w:r>
        <w:rPr>
          <w:szCs w:val="18"/>
        </w:rPr>
        <w:tab/>
      </w:r>
      <w:r w:rsidR="00152880" w:rsidRPr="00DA7FDF">
        <w:rPr>
          <w:bCs/>
          <w:szCs w:val="18"/>
        </w:rPr>
        <w:t>CAT/C/63/D/750/2016.</w:t>
      </w:r>
    </w:p>
  </w:endnote>
  <w:endnote w:id="31">
    <w:p w:rsidR="00152880" w:rsidRDefault="004750E5" w:rsidP="004750E5">
      <w:pPr>
        <w:pStyle w:val="EndnoteText"/>
        <w:jc w:val="both"/>
      </w:pPr>
      <w:r>
        <w:rPr>
          <w:szCs w:val="18"/>
        </w:rPr>
        <w:tab/>
      </w:r>
      <w:r w:rsidR="00152880" w:rsidRPr="00152880">
        <w:rPr>
          <w:rStyle w:val="EndnoteReference"/>
          <w:szCs w:val="18"/>
        </w:rPr>
        <w:endnoteRef/>
      </w:r>
      <w:r>
        <w:rPr>
          <w:szCs w:val="18"/>
        </w:rPr>
        <w:tab/>
      </w:r>
      <w:r w:rsidR="00152880" w:rsidRPr="00DA7FDF">
        <w:rPr>
          <w:bCs/>
          <w:szCs w:val="18"/>
        </w:rPr>
        <w:t xml:space="preserve">CAT/C/63/D/750/2016, para. </w:t>
      </w:r>
      <w:r w:rsidR="00152880" w:rsidRPr="00152880">
        <w:rPr>
          <w:bCs/>
          <w:szCs w:val="18"/>
        </w:rPr>
        <w:t>10.</w:t>
      </w:r>
    </w:p>
  </w:endnote>
  <w:endnote w:id="32">
    <w:p w:rsidR="00A02BFB" w:rsidRPr="00A82F81" w:rsidRDefault="00A02BFB" w:rsidP="00A02BFB">
      <w:pPr>
        <w:pStyle w:val="EndnoteText"/>
        <w:rPr>
          <w:szCs w:val="18"/>
        </w:rPr>
      </w:pPr>
      <w:r w:rsidRPr="00A95CEC">
        <w:tab/>
      </w:r>
      <w:r w:rsidRPr="00A95CEC">
        <w:rPr>
          <w:rStyle w:val="EndnoteReference"/>
        </w:rPr>
        <w:endnoteRef/>
      </w:r>
      <w:r w:rsidRPr="00A95CEC">
        <w:tab/>
      </w:r>
      <w:r w:rsidRPr="00A95CEC">
        <w:rPr>
          <w:szCs w:val="18"/>
        </w:rPr>
        <w:t>For the titles of special</w:t>
      </w:r>
      <w:r w:rsidRPr="00A82F81">
        <w:rPr>
          <w:szCs w:val="18"/>
        </w:rPr>
        <w:t xml:space="preserve"> procedure mandate holders see:</w:t>
      </w:r>
      <w:r w:rsidRPr="00A82F81">
        <w:t xml:space="preserve"> </w:t>
      </w:r>
      <w:r w:rsidRPr="00A82F81">
        <w:rPr>
          <w:szCs w:val="18"/>
        </w:rPr>
        <w:t>https://spcommreports.ohchr.org/about/abbreviations</w:t>
      </w:r>
    </w:p>
  </w:endnote>
  <w:endnote w:id="33">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4">
    <w:p w:rsidR="004750E5" w:rsidRDefault="004750E5" w:rsidP="004750E5">
      <w:pPr>
        <w:pStyle w:val="EndnoteText"/>
        <w:widowControl w:val="0"/>
        <w:tabs>
          <w:tab w:val="clear" w:pos="1021"/>
          <w:tab w:val="right" w:pos="1020"/>
        </w:tabs>
      </w:pPr>
      <w:r>
        <w:tab/>
      </w:r>
      <w:r>
        <w:rPr>
          <w:rStyle w:val="EndnoteReference"/>
        </w:rPr>
        <w:endnoteRef/>
      </w:r>
      <w:r>
        <w:tab/>
      </w:r>
      <w:r w:rsidRPr="004750E5">
        <w:t xml:space="preserve">The list of national human rights institutions with accreditation status granted by the Global Alliance of National Human Rights Institutions (GANHRI), accessed at: </w:t>
      </w:r>
      <w:hyperlink r:id="rId2" w:history="1">
        <w:r w:rsidRPr="008841E0">
          <w:rPr>
            <w:rStyle w:val="Hyperlink"/>
          </w:rPr>
          <w:t>https://nhri.ohchr.org/EN/Documents/Status%20Accreditation%20Chart%20%2818%20July%202018.pdf</w:t>
        </w:r>
      </w:hyperlink>
    </w:p>
    <w:p w:rsidR="004750E5" w:rsidRPr="004750E5" w:rsidRDefault="004750E5" w:rsidP="004750E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A4174E">
      <w:rPr>
        <w:noProof/>
      </w:rPr>
      <w:t>7</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2B" w:rsidRPr="000B175B" w:rsidRDefault="003E502B" w:rsidP="000B175B">
      <w:pPr>
        <w:tabs>
          <w:tab w:val="right" w:pos="2155"/>
        </w:tabs>
        <w:spacing w:after="80"/>
        <w:ind w:left="680"/>
        <w:rPr>
          <w:u w:val="single"/>
        </w:rPr>
      </w:pPr>
      <w:r>
        <w:rPr>
          <w:u w:val="single"/>
        </w:rPr>
        <w:tab/>
      </w:r>
    </w:p>
  </w:footnote>
  <w:footnote w:type="continuationSeparator" w:id="0">
    <w:p w:rsidR="003E502B" w:rsidRPr="00FC68B7" w:rsidRDefault="003E502B" w:rsidP="00FC68B7">
      <w:pPr>
        <w:tabs>
          <w:tab w:val="left" w:pos="2155"/>
        </w:tabs>
        <w:spacing w:after="80"/>
        <w:ind w:left="680"/>
        <w:rPr>
          <w:u w:val="single"/>
        </w:rPr>
      </w:pPr>
      <w:r>
        <w:rPr>
          <w:u w:val="single"/>
        </w:rPr>
        <w:tab/>
      </w:r>
    </w:p>
  </w:footnote>
  <w:footnote w:type="continuationNotice" w:id="1">
    <w:p w:rsidR="003E502B" w:rsidRDefault="003E50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1580"/>
    <w:rsid w:val="00007F7F"/>
    <w:rsid w:val="0001149C"/>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F1B97"/>
    <w:rsid w:val="000F4B3F"/>
    <w:rsid w:val="000F63EB"/>
    <w:rsid w:val="001218BA"/>
    <w:rsid w:val="0013065A"/>
    <w:rsid w:val="0013136E"/>
    <w:rsid w:val="00132BC7"/>
    <w:rsid w:val="001401DF"/>
    <w:rsid w:val="00146D32"/>
    <w:rsid w:val="001509BA"/>
    <w:rsid w:val="00152880"/>
    <w:rsid w:val="00156780"/>
    <w:rsid w:val="00157983"/>
    <w:rsid w:val="001614E7"/>
    <w:rsid w:val="001B37DE"/>
    <w:rsid w:val="001B4B04"/>
    <w:rsid w:val="001C215C"/>
    <w:rsid w:val="001C6663"/>
    <w:rsid w:val="001C7895"/>
    <w:rsid w:val="001D26DF"/>
    <w:rsid w:val="001E2790"/>
    <w:rsid w:val="001E5256"/>
    <w:rsid w:val="00205127"/>
    <w:rsid w:val="00207C5E"/>
    <w:rsid w:val="0021130C"/>
    <w:rsid w:val="00211E0B"/>
    <w:rsid w:val="00211E72"/>
    <w:rsid w:val="00214047"/>
    <w:rsid w:val="0022130F"/>
    <w:rsid w:val="00223555"/>
    <w:rsid w:val="0022777B"/>
    <w:rsid w:val="00237785"/>
    <w:rsid w:val="002410DD"/>
    <w:rsid w:val="00241466"/>
    <w:rsid w:val="00243312"/>
    <w:rsid w:val="00250E75"/>
    <w:rsid w:val="00253D58"/>
    <w:rsid w:val="00254654"/>
    <w:rsid w:val="00261572"/>
    <w:rsid w:val="00264FA3"/>
    <w:rsid w:val="00271E58"/>
    <w:rsid w:val="0027725F"/>
    <w:rsid w:val="00283347"/>
    <w:rsid w:val="00295D74"/>
    <w:rsid w:val="00296EB7"/>
    <w:rsid w:val="002B4713"/>
    <w:rsid w:val="002C21F0"/>
    <w:rsid w:val="002D152D"/>
    <w:rsid w:val="002E646B"/>
    <w:rsid w:val="003107FA"/>
    <w:rsid w:val="00317977"/>
    <w:rsid w:val="003229D8"/>
    <w:rsid w:val="00324383"/>
    <w:rsid w:val="00324913"/>
    <w:rsid w:val="003314D1"/>
    <w:rsid w:val="00335A2F"/>
    <w:rsid w:val="00341251"/>
    <w:rsid w:val="00341937"/>
    <w:rsid w:val="00350CFD"/>
    <w:rsid w:val="003544CB"/>
    <w:rsid w:val="00360A1D"/>
    <w:rsid w:val="0037215F"/>
    <w:rsid w:val="00380822"/>
    <w:rsid w:val="0039277A"/>
    <w:rsid w:val="003972E0"/>
    <w:rsid w:val="003975ED"/>
    <w:rsid w:val="003A4E25"/>
    <w:rsid w:val="003C2CC4"/>
    <w:rsid w:val="003C3D73"/>
    <w:rsid w:val="003C6595"/>
    <w:rsid w:val="003D4B23"/>
    <w:rsid w:val="003E065C"/>
    <w:rsid w:val="003E08DD"/>
    <w:rsid w:val="003E19D9"/>
    <w:rsid w:val="003E33AE"/>
    <w:rsid w:val="003E502B"/>
    <w:rsid w:val="003E6998"/>
    <w:rsid w:val="00400E06"/>
    <w:rsid w:val="00402E7F"/>
    <w:rsid w:val="00420F8B"/>
    <w:rsid w:val="00424C80"/>
    <w:rsid w:val="00431A65"/>
    <w:rsid w:val="004325CB"/>
    <w:rsid w:val="0044503A"/>
    <w:rsid w:val="00446DE4"/>
    <w:rsid w:val="00447761"/>
    <w:rsid w:val="00451EC3"/>
    <w:rsid w:val="004721B1"/>
    <w:rsid w:val="004750E5"/>
    <w:rsid w:val="004766F2"/>
    <w:rsid w:val="004859EC"/>
    <w:rsid w:val="00492C97"/>
    <w:rsid w:val="00496A15"/>
    <w:rsid w:val="004970C9"/>
    <w:rsid w:val="004A76BD"/>
    <w:rsid w:val="004B75D2"/>
    <w:rsid w:val="004D1140"/>
    <w:rsid w:val="004E01CE"/>
    <w:rsid w:val="004E25CB"/>
    <w:rsid w:val="004E2CE8"/>
    <w:rsid w:val="004E7F60"/>
    <w:rsid w:val="004F55ED"/>
    <w:rsid w:val="004F652F"/>
    <w:rsid w:val="0052176C"/>
    <w:rsid w:val="005261E5"/>
    <w:rsid w:val="0053256A"/>
    <w:rsid w:val="00534600"/>
    <w:rsid w:val="00541F2D"/>
    <w:rsid w:val="005420F2"/>
    <w:rsid w:val="00542574"/>
    <w:rsid w:val="005436AB"/>
    <w:rsid w:val="005457B9"/>
    <w:rsid w:val="00546DBF"/>
    <w:rsid w:val="005512BA"/>
    <w:rsid w:val="00553D76"/>
    <w:rsid w:val="00554BB3"/>
    <w:rsid w:val="005552B5"/>
    <w:rsid w:val="00555405"/>
    <w:rsid w:val="00555B5F"/>
    <w:rsid w:val="0056117B"/>
    <w:rsid w:val="005615E8"/>
    <w:rsid w:val="005620C3"/>
    <w:rsid w:val="00566D73"/>
    <w:rsid w:val="00571365"/>
    <w:rsid w:val="00584875"/>
    <w:rsid w:val="00592E55"/>
    <w:rsid w:val="005A22DB"/>
    <w:rsid w:val="005A28FB"/>
    <w:rsid w:val="005B3DB3"/>
    <w:rsid w:val="005B6E48"/>
    <w:rsid w:val="005D4188"/>
    <w:rsid w:val="005D68D4"/>
    <w:rsid w:val="005E1712"/>
    <w:rsid w:val="005F6E73"/>
    <w:rsid w:val="006116A3"/>
    <w:rsid w:val="00611FC4"/>
    <w:rsid w:val="006121E1"/>
    <w:rsid w:val="006176FB"/>
    <w:rsid w:val="00626E6C"/>
    <w:rsid w:val="00640B26"/>
    <w:rsid w:val="00644301"/>
    <w:rsid w:val="006560B4"/>
    <w:rsid w:val="00670741"/>
    <w:rsid w:val="00674A7D"/>
    <w:rsid w:val="00676C10"/>
    <w:rsid w:val="006808A9"/>
    <w:rsid w:val="006920A2"/>
    <w:rsid w:val="00696BD6"/>
    <w:rsid w:val="006A18AC"/>
    <w:rsid w:val="006A6B9D"/>
    <w:rsid w:val="006A7392"/>
    <w:rsid w:val="006B3189"/>
    <w:rsid w:val="006B7D65"/>
    <w:rsid w:val="006C392C"/>
    <w:rsid w:val="006D6DA6"/>
    <w:rsid w:val="006D7C77"/>
    <w:rsid w:val="006E209F"/>
    <w:rsid w:val="006E564B"/>
    <w:rsid w:val="006F13F0"/>
    <w:rsid w:val="006F5035"/>
    <w:rsid w:val="007065EB"/>
    <w:rsid w:val="00720183"/>
    <w:rsid w:val="00720D94"/>
    <w:rsid w:val="0072632A"/>
    <w:rsid w:val="00741A0B"/>
    <w:rsid w:val="0074200B"/>
    <w:rsid w:val="00757201"/>
    <w:rsid w:val="00775FFD"/>
    <w:rsid w:val="007953F7"/>
    <w:rsid w:val="007A6296"/>
    <w:rsid w:val="007B6BA5"/>
    <w:rsid w:val="007C1B62"/>
    <w:rsid w:val="007C3390"/>
    <w:rsid w:val="007C4F4B"/>
    <w:rsid w:val="007C7FEE"/>
    <w:rsid w:val="007D2CDC"/>
    <w:rsid w:val="007D5213"/>
    <w:rsid w:val="007D5327"/>
    <w:rsid w:val="007E1D2C"/>
    <w:rsid w:val="007E2C3B"/>
    <w:rsid w:val="007E5B90"/>
    <w:rsid w:val="007E75F7"/>
    <w:rsid w:val="007F085C"/>
    <w:rsid w:val="007F6611"/>
    <w:rsid w:val="008002BD"/>
    <w:rsid w:val="008155C3"/>
    <w:rsid w:val="008175E9"/>
    <w:rsid w:val="0082243E"/>
    <w:rsid w:val="008242D7"/>
    <w:rsid w:val="00831AF2"/>
    <w:rsid w:val="0083243E"/>
    <w:rsid w:val="00856CD2"/>
    <w:rsid w:val="00861BC6"/>
    <w:rsid w:val="00871FD5"/>
    <w:rsid w:val="008741DC"/>
    <w:rsid w:val="00875FCF"/>
    <w:rsid w:val="008979B1"/>
    <w:rsid w:val="008A6B25"/>
    <w:rsid w:val="008A6C4F"/>
    <w:rsid w:val="008B4D7D"/>
    <w:rsid w:val="008C0E4A"/>
    <w:rsid w:val="008C1E4D"/>
    <w:rsid w:val="008C4147"/>
    <w:rsid w:val="008E0E46"/>
    <w:rsid w:val="008E5D82"/>
    <w:rsid w:val="0090452C"/>
    <w:rsid w:val="009045C9"/>
    <w:rsid w:val="00907C3F"/>
    <w:rsid w:val="0092237C"/>
    <w:rsid w:val="0093707B"/>
    <w:rsid w:val="00937977"/>
    <w:rsid w:val="009400EB"/>
    <w:rsid w:val="009427E3"/>
    <w:rsid w:val="009432AF"/>
    <w:rsid w:val="0094563C"/>
    <w:rsid w:val="00956D9B"/>
    <w:rsid w:val="0096139A"/>
    <w:rsid w:val="00963CBA"/>
    <w:rsid w:val="009654B7"/>
    <w:rsid w:val="00967FA4"/>
    <w:rsid w:val="00975459"/>
    <w:rsid w:val="009822C1"/>
    <w:rsid w:val="00987148"/>
    <w:rsid w:val="00991261"/>
    <w:rsid w:val="009A0B83"/>
    <w:rsid w:val="009B1AEF"/>
    <w:rsid w:val="009B3800"/>
    <w:rsid w:val="009D22AC"/>
    <w:rsid w:val="009D3FA1"/>
    <w:rsid w:val="009D50DB"/>
    <w:rsid w:val="009E1C4E"/>
    <w:rsid w:val="009E5802"/>
    <w:rsid w:val="009E78E3"/>
    <w:rsid w:val="00A02BFB"/>
    <w:rsid w:val="00A02F74"/>
    <w:rsid w:val="00A05E0B"/>
    <w:rsid w:val="00A074DD"/>
    <w:rsid w:val="00A1427D"/>
    <w:rsid w:val="00A3619D"/>
    <w:rsid w:val="00A40D0C"/>
    <w:rsid w:val="00A4174E"/>
    <w:rsid w:val="00A4634F"/>
    <w:rsid w:val="00A463DB"/>
    <w:rsid w:val="00A51CF3"/>
    <w:rsid w:val="00A63DA6"/>
    <w:rsid w:val="00A64E13"/>
    <w:rsid w:val="00A67EFD"/>
    <w:rsid w:val="00A72F22"/>
    <w:rsid w:val="00A748A6"/>
    <w:rsid w:val="00A814E0"/>
    <w:rsid w:val="00A879A4"/>
    <w:rsid w:val="00A87E95"/>
    <w:rsid w:val="00A92E29"/>
    <w:rsid w:val="00A95CEC"/>
    <w:rsid w:val="00A9658A"/>
    <w:rsid w:val="00AA4CFA"/>
    <w:rsid w:val="00AC2000"/>
    <w:rsid w:val="00AD09E9"/>
    <w:rsid w:val="00AD3D48"/>
    <w:rsid w:val="00AD7B29"/>
    <w:rsid w:val="00AF0576"/>
    <w:rsid w:val="00AF3829"/>
    <w:rsid w:val="00B037F0"/>
    <w:rsid w:val="00B04819"/>
    <w:rsid w:val="00B14190"/>
    <w:rsid w:val="00B14DDB"/>
    <w:rsid w:val="00B2327D"/>
    <w:rsid w:val="00B2569F"/>
    <w:rsid w:val="00B2718F"/>
    <w:rsid w:val="00B30179"/>
    <w:rsid w:val="00B3083A"/>
    <w:rsid w:val="00B3317B"/>
    <w:rsid w:val="00B334DC"/>
    <w:rsid w:val="00B3631A"/>
    <w:rsid w:val="00B53013"/>
    <w:rsid w:val="00B67F5E"/>
    <w:rsid w:val="00B73E65"/>
    <w:rsid w:val="00B77467"/>
    <w:rsid w:val="00B81E12"/>
    <w:rsid w:val="00B87110"/>
    <w:rsid w:val="00B90627"/>
    <w:rsid w:val="00B92F87"/>
    <w:rsid w:val="00B97FA8"/>
    <w:rsid w:val="00BB2720"/>
    <w:rsid w:val="00BC1385"/>
    <w:rsid w:val="00BC74E9"/>
    <w:rsid w:val="00BE2443"/>
    <w:rsid w:val="00BE618E"/>
    <w:rsid w:val="00BF4FE9"/>
    <w:rsid w:val="00C163EA"/>
    <w:rsid w:val="00C24693"/>
    <w:rsid w:val="00C3427B"/>
    <w:rsid w:val="00C35F0B"/>
    <w:rsid w:val="00C3787B"/>
    <w:rsid w:val="00C463DD"/>
    <w:rsid w:val="00C64458"/>
    <w:rsid w:val="00C745C3"/>
    <w:rsid w:val="00C74B08"/>
    <w:rsid w:val="00C81253"/>
    <w:rsid w:val="00C84DD2"/>
    <w:rsid w:val="00C86D60"/>
    <w:rsid w:val="00C91836"/>
    <w:rsid w:val="00CA2A58"/>
    <w:rsid w:val="00CA2E07"/>
    <w:rsid w:val="00CA6654"/>
    <w:rsid w:val="00CA6DE7"/>
    <w:rsid w:val="00CB2D9E"/>
    <w:rsid w:val="00CB37B6"/>
    <w:rsid w:val="00CC03CC"/>
    <w:rsid w:val="00CC0B55"/>
    <w:rsid w:val="00CD6995"/>
    <w:rsid w:val="00CE10F5"/>
    <w:rsid w:val="00CE4A8F"/>
    <w:rsid w:val="00CF0214"/>
    <w:rsid w:val="00CF32AC"/>
    <w:rsid w:val="00CF586F"/>
    <w:rsid w:val="00CF7D43"/>
    <w:rsid w:val="00D11129"/>
    <w:rsid w:val="00D2031B"/>
    <w:rsid w:val="00D22332"/>
    <w:rsid w:val="00D226FD"/>
    <w:rsid w:val="00D25FE2"/>
    <w:rsid w:val="00D43252"/>
    <w:rsid w:val="00D47642"/>
    <w:rsid w:val="00D550F9"/>
    <w:rsid w:val="00D572B0"/>
    <w:rsid w:val="00D57EDC"/>
    <w:rsid w:val="00D62E90"/>
    <w:rsid w:val="00D7305B"/>
    <w:rsid w:val="00D752A5"/>
    <w:rsid w:val="00D75C61"/>
    <w:rsid w:val="00D76BE5"/>
    <w:rsid w:val="00D8128F"/>
    <w:rsid w:val="00D82670"/>
    <w:rsid w:val="00D978C6"/>
    <w:rsid w:val="00DA67AD"/>
    <w:rsid w:val="00DA7FDF"/>
    <w:rsid w:val="00DB18CE"/>
    <w:rsid w:val="00DC0489"/>
    <w:rsid w:val="00DD1683"/>
    <w:rsid w:val="00DD1C7C"/>
    <w:rsid w:val="00DD1D2D"/>
    <w:rsid w:val="00DD2A0C"/>
    <w:rsid w:val="00DD3674"/>
    <w:rsid w:val="00DE3EC0"/>
    <w:rsid w:val="00DE7BF3"/>
    <w:rsid w:val="00E11593"/>
    <w:rsid w:val="00E12B6B"/>
    <w:rsid w:val="00E12FB1"/>
    <w:rsid w:val="00E130AB"/>
    <w:rsid w:val="00E170D4"/>
    <w:rsid w:val="00E438D9"/>
    <w:rsid w:val="00E5644E"/>
    <w:rsid w:val="00E66060"/>
    <w:rsid w:val="00E66B4F"/>
    <w:rsid w:val="00E7260F"/>
    <w:rsid w:val="00E77D4E"/>
    <w:rsid w:val="00E806EE"/>
    <w:rsid w:val="00E86049"/>
    <w:rsid w:val="00E96630"/>
    <w:rsid w:val="00E96891"/>
    <w:rsid w:val="00E97BA8"/>
    <w:rsid w:val="00EB0EF8"/>
    <w:rsid w:val="00EB0FB9"/>
    <w:rsid w:val="00EC4396"/>
    <w:rsid w:val="00EC4E8F"/>
    <w:rsid w:val="00ED0CA9"/>
    <w:rsid w:val="00ED7A2A"/>
    <w:rsid w:val="00EE41E7"/>
    <w:rsid w:val="00EE7D5F"/>
    <w:rsid w:val="00EF1D7F"/>
    <w:rsid w:val="00EF5BDB"/>
    <w:rsid w:val="00EF6DD6"/>
    <w:rsid w:val="00F0338C"/>
    <w:rsid w:val="00F07FD9"/>
    <w:rsid w:val="00F12314"/>
    <w:rsid w:val="00F1567D"/>
    <w:rsid w:val="00F207F2"/>
    <w:rsid w:val="00F21C38"/>
    <w:rsid w:val="00F2358F"/>
    <w:rsid w:val="00F238A8"/>
    <w:rsid w:val="00F23933"/>
    <w:rsid w:val="00F24119"/>
    <w:rsid w:val="00F30B7B"/>
    <w:rsid w:val="00F34950"/>
    <w:rsid w:val="00F40E75"/>
    <w:rsid w:val="00F42CD9"/>
    <w:rsid w:val="00F52936"/>
    <w:rsid w:val="00F5759C"/>
    <w:rsid w:val="00F677CB"/>
    <w:rsid w:val="00F71571"/>
    <w:rsid w:val="00F72113"/>
    <w:rsid w:val="00F723A2"/>
    <w:rsid w:val="00F76CA4"/>
    <w:rsid w:val="00FA1200"/>
    <w:rsid w:val="00FA7DF3"/>
    <w:rsid w:val="00FB64DE"/>
    <w:rsid w:val="00FC68B7"/>
    <w:rsid w:val="00FD268F"/>
    <w:rsid w:val="00FD7C12"/>
    <w:rsid w:val="00FE6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customStyle="1" w:styleId="Default">
    <w:name w:val="Default"/>
    <w:rsid w:val="00DD1C7C"/>
    <w:pPr>
      <w:autoSpaceDE w:val="0"/>
      <w:autoSpaceDN w:val="0"/>
      <w:adjustRightInd w:val="0"/>
    </w:pPr>
    <w:rPr>
      <w:rFonts w:ascii="Times New Roman PS" w:hAnsi="Times New Roman PS" w:cs="Times New Roman PS"/>
      <w:color w:val="000000"/>
      <w:sz w:val="24"/>
      <w:szCs w:val="24"/>
    </w:rPr>
  </w:style>
  <w:style w:type="character" w:customStyle="1" w:styleId="sessionsubtitle">
    <w:name w:val="sessionsubtitle"/>
    <w:basedOn w:val="DefaultParagraphFont"/>
    <w:rsid w:val="00831AF2"/>
  </w:style>
  <w:style w:type="paragraph" w:styleId="NoSpacing">
    <w:name w:val="No Spacing"/>
    <w:uiPriority w:val="1"/>
    <w:qFormat/>
    <w:rsid w:val="00A4174E"/>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18%20July%202018.pdf" TargetMode="External"/><Relationship Id="rId1" Type="http://schemas.openxmlformats.org/officeDocument/2006/relationships/hyperlink" Target="https://tbinternet.ohchr.org/Treaties/CCPR/Shared%20Documents/NOR/INT_CCPR_FCO_NOR_19266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95CDB-F275-4EEE-8124-B099D909973C}">
  <ds:schemaRefs>
    <ds:schemaRef ds:uri="http://schemas.openxmlformats.org/officeDocument/2006/bibliography"/>
  </ds:schemaRefs>
</ds:datastoreItem>
</file>

<file path=customXml/itemProps2.xml><?xml version="1.0" encoding="utf-8"?>
<ds:datastoreItem xmlns:ds="http://schemas.openxmlformats.org/officeDocument/2006/customXml" ds:itemID="{CC736558-3A1C-417D-8B69-E0541B11CF12}"/>
</file>

<file path=customXml/itemProps3.xml><?xml version="1.0" encoding="utf-8"?>
<ds:datastoreItem xmlns:ds="http://schemas.openxmlformats.org/officeDocument/2006/customXml" ds:itemID="{96D262D2-9A02-4390-9A65-7D2393A614B4}"/>
</file>

<file path=customXml/itemProps4.xml><?xml version="1.0" encoding="utf-8"?>
<ds:datastoreItem xmlns:ds="http://schemas.openxmlformats.org/officeDocument/2006/customXml" ds:itemID="{C823DC08-425B-478C-AAF9-93958EE0DECF}"/>
</file>

<file path=docProps/app.xml><?xml version="1.0" encoding="utf-8"?>
<Properties xmlns="http://schemas.openxmlformats.org/officeDocument/2006/extended-properties" xmlns:vt="http://schemas.openxmlformats.org/officeDocument/2006/docPropsVTypes">
  <Template>A_E.dotm</Template>
  <TotalTime>2</TotalTime>
  <Pages>7</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5</cp:revision>
  <cp:lastPrinted>2008-01-29T07:30:00Z</cp:lastPrinted>
  <dcterms:created xsi:type="dcterms:W3CDTF">2019-03-13T16:35:00Z</dcterms:created>
  <dcterms:modified xsi:type="dcterms:W3CDTF">2019-03-21T08:09:00Z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