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26D55" w14:textId="77777777" w:rsidR="00A02BFB" w:rsidRPr="00435E0F" w:rsidRDefault="005512BA" w:rsidP="005512BA">
      <w:pPr>
        <w:pStyle w:val="HChG"/>
      </w:pPr>
      <w:bookmarkStart w:id="0" w:name="_GoBack"/>
      <w:bookmarkEnd w:id="0"/>
      <w:r>
        <w:tab/>
      </w:r>
      <w:r>
        <w:tab/>
      </w:r>
      <w:r w:rsidRPr="00435E0F">
        <w:t xml:space="preserve">Tables for UN </w:t>
      </w:r>
      <w:r w:rsidR="00A02BFB" w:rsidRPr="00435E0F">
        <w:t xml:space="preserve">Compilation on </w:t>
      </w:r>
      <w:r w:rsidR="00D82391" w:rsidRPr="00D82391">
        <w:t>Uruguay</w:t>
      </w:r>
    </w:p>
    <w:p w14:paraId="6A191C46" w14:textId="77777777" w:rsidR="00A02BFB" w:rsidRPr="00A02BFB" w:rsidRDefault="005512BA" w:rsidP="005512BA">
      <w:pPr>
        <w:pStyle w:val="HChG"/>
      </w:pPr>
      <w:r w:rsidRPr="00435E0F">
        <w:tab/>
      </w:r>
      <w:r w:rsidR="00A02BFB" w:rsidRPr="00A02BFB">
        <w:t>I.</w:t>
      </w:r>
      <w:r w:rsidR="00A02BFB" w:rsidRPr="00A02BFB">
        <w:tab/>
      </w:r>
      <w:r w:rsidR="00D82391" w:rsidRPr="00D82391">
        <w:t>Scope of international obligations</w:t>
      </w:r>
      <w:r w:rsidR="00D82391" w:rsidRPr="00CB3F13">
        <w:rPr>
          <w:rStyle w:val="EndnoteReference"/>
          <w:b w:val="0"/>
        </w:rPr>
        <w:endnoteReference w:id="2"/>
      </w:r>
    </w:p>
    <w:p w14:paraId="605E8909" w14:textId="77777777" w:rsidR="00A02BFB" w:rsidRPr="00A02BFB" w:rsidRDefault="00A02BFB" w:rsidP="005512BA">
      <w:pPr>
        <w:pStyle w:val="H1G"/>
      </w:pPr>
      <w:r w:rsidRPr="00A02BFB">
        <w:tab/>
      </w:r>
      <w:r>
        <w:t>A</w:t>
      </w:r>
      <w:r w:rsidRPr="00A02BFB">
        <w:t>.</w:t>
      </w:r>
      <w:r w:rsidRPr="00A02BFB">
        <w:tab/>
      </w:r>
      <w:bookmarkStart w:id="1" w:name="Table_Int_HR_Treaties"/>
      <w:r w:rsidR="00D82391" w:rsidRPr="00D82391">
        <w:t>International human rights treaties</w:t>
      </w:r>
      <w:bookmarkEnd w:id="1"/>
      <w:r w:rsidR="00D82391" w:rsidRPr="00CB3F13">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01EA47AF" w14:textId="77777777" w:rsidTr="0028001D">
        <w:tc>
          <w:tcPr>
            <w:tcW w:w="2410" w:type="dxa"/>
            <w:tcBorders>
              <w:top w:val="single" w:sz="4" w:space="0" w:color="auto"/>
              <w:bottom w:val="single" w:sz="12" w:space="0" w:color="auto"/>
            </w:tcBorders>
            <w:shd w:val="clear" w:color="auto" w:fill="auto"/>
            <w:vAlign w:val="bottom"/>
          </w:tcPr>
          <w:p w14:paraId="25BC15C8"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3B9C68A2"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7A66D38F"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55CF0471"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66DC630B" w14:textId="77777777" w:rsidTr="0028001D">
        <w:trPr>
          <w:trHeight w:hRule="exact" w:val="113"/>
        </w:trPr>
        <w:tc>
          <w:tcPr>
            <w:tcW w:w="2410" w:type="dxa"/>
            <w:tcBorders>
              <w:top w:val="single" w:sz="12" w:space="0" w:color="auto"/>
            </w:tcBorders>
            <w:shd w:val="clear" w:color="auto" w:fill="auto"/>
            <w:vAlign w:val="bottom"/>
          </w:tcPr>
          <w:p w14:paraId="13CCB5E1"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2F6A4026"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1A2BC042"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1B7B5E46" w14:textId="77777777" w:rsidR="00A02BFB" w:rsidRPr="0028001D" w:rsidRDefault="00A02BFB" w:rsidP="0028001D">
            <w:pPr>
              <w:spacing w:before="80" w:after="80" w:line="200" w:lineRule="exact"/>
              <w:ind w:right="113"/>
              <w:rPr>
                <w:i/>
                <w:sz w:val="16"/>
              </w:rPr>
            </w:pPr>
          </w:p>
        </w:tc>
      </w:tr>
      <w:tr w:rsidR="00A02BFB" w:rsidRPr="00A02BFB" w14:paraId="5D9500B0" w14:textId="77777777" w:rsidTr="0028001D">
        <w:tc>
          <w:tcPr>
            <w:tcW w:w="2410" w:type="dxa"/>
            <w:shd w:val="clear" w:color="auto" w:fill="auto"/>
          </w:tcPr>
          <w:p w14:paraId="2FD07F01"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6CA51351" w14:textId="77777777" w:rsidR="00D82391" w:rsidRPr="00D82391" w:rsidRDefault="00D82391" w:rsidP="00D82391">
            <w:pPr>
              <w:spacing w:before="40" w:after="120"/>
              <w:ind w:right="113"/>
              <w:rPr>
                <w:lang w:val="fr-CH"/>
              </w:rPr>
            </w:pPr>
            <w:r w:rsidRPr="00D82391">
              <w:rPr>
                <w:lang w:val="fr-CH"/>
              </w:rPr>
              <w:t>ICERD (1968)</w:t>
            </w:r>
          </w:p>
          <w:p w14:paraId="13E2EEFC" w14:textId="77777777" w:rsidR="00D82391" w:rsidRPr="00D82391" w:rsidRDefault="00D82391" w:rsidP="00D82391">
            <w:pPr>
              <w:spacing w:before="40" w:after="120"/>
              <w:ind w:right="113"/>
              <w:rPr>
                <w:lang w:val="fr-CH"/>
              </w:rPr>
            </w:pPr>
            <w:r w:rsidRPr="00D82391">
              <w:rPr>
                <w:lang w:val="fr-CH"/>
              </w:rPr>
              <w:t>ICESCR (1970)</w:t>
            </w:r>
          </w:p>
          <w:p w14:paraId="03F6E409" w14:textId="77777777" w:rsidR="00D82391" w:rsidRPr="00D82391" w:rsidRDefault="00D82391" w:rsidP="00D82391">
            <w:pPr>
              <w:spacing w:before="40" w:after="120"/>
              <w:ind w:right="113"/>
              <w:rPr>
                <w:lang w:val="fr-CH"/>
              </w:rPr>
            </w:pPr>
            <w:r w:rsidRPr="00D82391">
              <w:rPr>
                <w:lang w:val="fr-CH"/>
              </w:rPr>
              <w:t>ICCPR (1970)</w:t>
            </w:r>
          </w:p>
          <w:p w14:paraId="3196E05F" w14:textId="77777777" w:rsidR="00D82391" w:rsidRPr="00D82391" w:rsidRDefault="00D82391" w:rsidP="00D82391">
            <w:pPr>
              <w:spacing w:before="40" w:after="120"/>
              <w:ind w:right="113"/>
              <w:rPr>
                <w:lang w:val="fr-CH"/>
              </w:rPr>
            </w:pPr>
            <w:r w:rsidRPr="00D82391">
              <w:rPr>
                <w:lang w:val="fr-CH"/>
              </w:rPr>
              <w:t>ICCPR-OP 2 (1993)</w:t>
            </w:r>
          </w:p>
          <w:p w14:paraId="042A71B6" w14:textId="77777777" w:rsidR="00D82391" w:rsidRPr="00D82391" w:rsidRDefault="00D82391" w:rsidP="00D82391">
            <w:pPr>
              <w:spacing w:before="40" w:after="120"/>
              <w:ind w:right="113"/>
            </w:pPr>
            <w:r w:rsidRPr="00D82391">
              <w:t>CEDAW (1981)</w:t>
            </w:r>
          </w:p>
          <w:p w14:paraId="6B58F462" w14:textId="77777777" w:rsidR="00D82391" w:rsidRPr="00D82391" w:rsidRDefault="00D82391" w:rsidP="00D82391">
            <w:pPr>
              <w:spacing w:before="40" w:after="120"/>
              <w:ind w:right="113"/>
            </w:pPr>
            <w:r w:rsidRPr="00D82391">
              <w:t>CAT (1986)</w:t>
            </w:r>
          </w:p>
          <w:p w14:paraId="4EA44651" w14:textId="77777777" w:rsidR="00D82391" w:rsidRPr="00D82391" w:rsidRDefault="00D82391" w:rsidP="00D82391">
            <w:pPr>
              <w:spacing w:before="40" w:after="120"/>
              <w:ind w:right="113"/>
            </w:pPr>
            <w:r w:rsidRPr="00D82391">
              <w:t>OP-CAT (2005)</w:t>
            </w:r>
          </w:p>
          <w:p w14:paraId="0F2A6EDD" w14:textId="77777777" w:rsidR="00D82391" w:rsidRPr="00D82391" w:rsidRDefault="00D82391" w:rsidP="00D82391">
            <w:pPr>
              <w:spacing w:before="40" w:after="120"/>
              <w:ind w:right="113"/>
            </w:pPr>
            <w:r w:rsidRPr="00D82391">
              <w:t>CRC (1990)</w:t>
            </w:r>
          </w:p>
          <w:p w14:paraId="69EBDB2A" w14:textId="77777777" w:rsidR="00D82391" w:rsidRPr="00D82391" w:rsidRDefault="00D82391" w:rsidP="00D82391">
            <w:pPr>
              <w:spacing w:before="40" w:after="120"/>
              <w:ind w:right="113"/>
            </w:pPr>
            <w:r w:rsidRPr="00D82391">
              <w:t>OP-CRC-AC (2003)</w:t>
            </w:r>
          </w:p>
          <w:p w14:paraId="1843D405" w14:textId="77777777" w:rsidR="00D82391" w:rsidRPr="00D82391" w:rsidRDefault="00D82391" w:rsidP="00D82391">
            <w:pPr>
              <w:spacing w:before="40" w:after="120"/>
              <w:ind w:right="113"/>
            </w:pPr>
            <w:r w:rsidRPr="00D82391">
              <w:t>OP-CRC-SC (2003)</w:t>
            </w:r>
          </w:p>
          <w:p w14:paraId="7D297DA8" w14:textId="77777777" w:rsidR="00D82391" w:rsidRPr="00D82391" w:rsidRDefault="00D82391" w:rsidP="00D82391">
            <w:pPr>
              <w:spacing w:before="40" w:after="120"/>
              <w:ind w:right="113"/>
            </w:pPr>
            <w:r w:rsidRPr="00D82391">
              <w:t>ICRMW (2001)</w:t>
            </w:r>
          </w:p>
          <w:p w14:paraId="3BC69EED" w14:textId="77777777" w:rsidR="00D82391" w:rsidRPr="00D82391" w:rsidRDefault="00D82391" w:rsidP="00D82391">
            <w:pPr>
              <w:spacing w:before="40" w:after="120"/>
              <w:ind w:right="113"/>
            </w:pPr>
            <w:r w:rsidRPr="00D82391">
              <w:t>CRPD (2009)</w:t>
            </w:r>
          </w:p>
          <w:p w14:paraId="4DCBBE8B" w14:textId="77777777" w:rsidR="00521F07" w:rsidRPr="00A02BFB" w:rsidRDefault="00D82391" w:rsidP="00D82391">
            <w:pPr>
              <w:spacing w:before="40" w:after="120"/>
              <w:ind w:right="113"/>
            </w:pPr>
            <w:r w:rsidRPr="00D82391">
              <w:t>ICPPED (2009)</w:t>
            </w:r>
          </w:p>
        </w:tc>
        <w:tc>
          <w:tcPr>
            <w:tcW w:w="2409" w:type="dxa"/>
            <w:shd w:val="clear" w:color="auto" w:fill="auto"/>
          </w:tcPr>
          <w:p w14:paraId="1C59A92C" w14:textId="77777777" w:rsidR="00A02BFB" w:rsidRPr="00A02BFB" w:rsidRDefault="00A02BFB" w:rsidP="002E5BE3">
            <w:pPr>
              <w:spacing w:before="40" w:after="120"/>
              <w:ind w:right="113"/>
            </w:pPr>
          </w:p>
        </w:tc>
        <w:tc>
          <w:tcPr>
            <w:tcW w:w="2410" w:type="dxa"/>
            <w:shd w:val="clear" w:color="auto" w:fill="auto"/>
          </w:tcPr>
          <w:p w14:paraId="36BBCC2F" w14:textId="77777777" w:rsidR="00A02BFB" w:rsidRPr="00A02BFB" w:rsidRDefault="00A02BFB" w:rsidP="00B07B0C">
            <w:pPr>
              <w:spacing w:before="40" w:after="120"/>
              <w:ind w:right="113"/>
            </w:pPr>
          </w:p>
        </w:tc>
      </w:tr>
      <w:tr w:rsidR="00A02BFB" w:rsidRPr="00A02BFB" w14:paraId="6D4414F2" w14:textId="77777777" w:rsidTr="0028001D">
        <w:tc>
          <w:tcPr>
            <w:tcW w:w="2410" w:type="dxa"/>
            <w:tcBorders>
              <w:bottom w:val="single" w:sz="12" w:space="0" w:color="auto"/>
            </w:tcBorders>
            <w:shd w:val="clear" w:color="auto" w:fill="auto"/>
          </w:tcPr>
          <w:p w14:paraId="38484312" w14:textId="77777777" w:rsidR="00A02BFB" w:rsidRPr="00A02BFB" w:rsidRDefault="000568A8" w:rsidP="0028001D">
            <w:pPr>
              <w:spacing w:before="40" w:after="120"/>
              <w:ind w:right="113"/>
            </w:pPr>
            <w:r w:rsidRPr="000568A8">
              <w:rPr>
                <w:i/>
              </w:rPr>
              <w:t xml:space="preserve">Complaints procedures, inquiries and </w:t>
            </w:r>
            <w:r w:rsidRPr="000568A8">
              <w:rPr>
                <w:i/>
              </w:rPr>
              <w:br/>
              <w:t>urgent action</w:t>
            </w:r>
            <w:r w:rsidRPr="000568A8">
              <w:rPr>
                <w:i/>
                <w:vertAlign w:val="superscript"/>
              </w:rPr>
              <w:endnoteReference w:id="4"/>
            </w:r>
          </w:p>
        </w:tc>
        <w:tc>
          <w:tcPr>
            <w:tcW w:w="2408" w:type="dxa"/>
            <w:tcBorders>
              <w:bottom w:val="single" w:sz="12" w:space="0" w:color="auto"/>
            </w:tcBorders>
            <w:shd w:val="clear" w:color="auto" w:fill="auto"/>
          </w:tcPr>
          <w:p w14:paraId="4741C8EE" w14:textId="77777777" w:rsidR="00D82391" w:rsidRPr="00D82391" w:rsidRDefault="00D82391" w:rsidP="00D82391">
            <w:pPr>
              <w:spacing w:before="40" w:after="120"/>
              <w:ind w:right="113"/>
            </w:pPr>
            <w:r w:rsidRPr="00D82391">
              <w:t>ICERD, art. 14 (1972)</w:t>
            </w:r>
          </w:p>
          <w:p w14:paraId="41C61F90" w14:textId="77777777" w:rsidR="00D82391" w:rsidRPr="00D82391" w:rsidRDefault="00D82391" w:rsidP="00D82391">
            <w:pPr>
              <w:spacing w:before="40" w:after="120"/>
              <w:ind w:right="113"/>
            </w:pPr>
            <w:r w:rsidRPr="00D82391">
              <w:t>OP-ICESCR (2013)</w:t>
            </w:r>
          </w:p>
          <w:p w14:paraId="68B5ADA1" w14:textId="77777777" w:rsidR="00D82391" w:rsidRPr="00D82391" w:rsidRDefault="00D82391" w:rsidP="00D82391">
            <w:pPr>
              <w:spacing w:before="40" w:after="120"/>
              <w:ind w:right="113"/>
            </w:pPr>
            <w:r w:rsidRPr="00D82391">
              <w:t>ICCPR-OP 1 (1970)</w:t>
            </w:r>
          </w:p>
          <w:p w14:paraId="1CD2DCEC" w14:textId="77777777" w:rsidR="00D82391" w:rsidRPr="00D82391" w:rsidRDefault="00D82391" w:rsidP="00D82391">
            <w:pPr>
              <w:spacing w:before="40" w:after="120"/>
              <w:ind w:right="113"/>
            </w:pPr>
            <w:r w:rsidRPr="00D82391">
              <w:t>OP-CEDAW, art. 8 (2001)</w:t>
            </w:r>
          </w:p>
          <w:p w14:paraId="6071FEA2" w14:textId="77777777" w:rsidR="00D82391" w:rsidRPr="00D82391" w:rsidRDefault="00D82391" w:rsidP="00D82391">
            <w:pPr>
              <w:spacing w:before="40" w:after="120"/>
              <w:ind w:right="113"/>
            </w:pPr>
            <w:r w:rsidRPr="00D82391">
              <w:t>CAT, arts. 20 (1986) / arts. 21 and 22 (1988)</w:t>
            </w:r>
          </w:p>
          <w:p w14:paraId="10426FD6" w14:textId="77777777" w:rsidR="00D82391" w:rsidRPr="00D82391" w:rsidRDefault="00D82391" w:rsidP="00D82391">
            <w:pPr>
              <w:spacing w:before="40" w:after="120"/>
              <w:ind w:right="113"/>
            </w:pPr>
            <w:r w:rsidRPr="00D82391">
              <w:t>ICRMW, art. 77 (2012)</w:t>
            </w:r>
          </w:p>
          <w:p w14:paraId="5FC91631" w14:textId="77777777" w:rsidR="00D82391" w:rsidRPr="00D82391" w:rsidRDefault="00D82391" w:rsidP="00D82391">
            <w:pPr>
              <w:spacing w:before="40" w:after="120"/>
              <w:ind w:right="113"/>
            </w:pPr>
            <w:r w:rsidRPr="00D82391">
              <w:t>OP-CRPD, art. 6 (2011)</w:t>
            </w:r>
          </w:p>
          <w:p w14:paraId="40655182" w14:textId="77777777" w:rsidR="00A02BFB" w:rsidRPr="00A02BFB" w:rsidRDefault="00D82391" w:rsidP="00D82391">
            <w:pPr>
              <w:spacing w:before="40" w:after="120"/>
              <w:ind w:right="113"/>
            </w:pPr>
            <w:r w:rsidRPr="00D82391">
              <w:t>ICPPED, arts. 31 and 32 (2009)</w:t>
            </w:r>
          </w:p>
        </w:tc>
        <w:tc>
          <w:tcPr>
            <w:tcW w:w="2409" w:type="dxa"/>
            <w:tcBorders>
              <w:bottom w:val="single" w:sz="12" w:space="0" w:color="auto"/>
            </w:tcBorders>
            <w:shd w:val="clear" w:color="auto" w:fill="auto"/>
          </w:tcPr>
          <w:p w14:paraId="09F4BDCC" w14:textId="77777777" w:rsidR="00A02BFB" w:rsidRPr="00A02BFB" w:rsidRDefault="00D82391" w:rsidP="0028001D">
            <w:pPr>
              <w:spacing w:before="40" w:after="120"/>
              <w:ind w:right="113"/>
            </w:pPr>
            <w:r w:rsidRPr="00D82391">
              <w:t>OP-CRC-IC, art. 13 (2015)</w:t>
            </w:r>
          </w:p>
        </w:tc>
        <w:tc>
          <w:tcPr>
            <w:tcW w:w="2410" w:type="dxa"/>
            <w:tcBorders>
              <w:bottom w:val="single" w:sz="12" w:space="0" w:color="auto"/>
            </w:tcBorders>
            <w:shd w:val="clear" w:color="auto" w:fill="auto"/>
          </w:tcPr>
          <w:p w14:paraId="0D21FF39" w14:textId="77777777" w:rsidR="00D82391" w:rsidRPr="00D82391" w:rsidRDefault="00D82391" w:rsidP="00D82391">
            <w:pPr>
              <w:spacing w:before="40" w:after="120"/>
              <w:ind w:right="113"/>
            </w:pPr>
            <w:r>
              <w:t>OP-ICESCR, arts. 10 and 11</w:t>
            </w:r>
          </w:p>
          <w:p w14:paraId="6C48E574" w14:textId="77777777" w:rsidR="00D82391" w:rsidRPr="00D82391" w:rsidRDefault="00D82391" w:rsidP="00D82391">
            <w:pPr>
              <w:spacing w:before="40" w:after="120"/>
              <w:ind w:right="113"/>
            </w:pPr>
            <w:r w:rsidRPr="00D82391">
              <w:t>ICCPR, art. 41</w:t>
            </w:r>
          </w:p>
          <w:p w14:paraId="43977260" w14:textId="77777777" w:rsidR="00D82391" w:rsidRPr="00D82391" w:rsidRDefault="00D82391" w:rsidP="00D82391">
            <w:pPr>
              <w:spacing w:before="40" w:after="120"/>
              <w:ind w:right="113"/>
            </w:pPr>
            <w:r w:rsidRPr="00D82391">
              <w:t xml:space="preserve">OP-CRC-IC, art. 12 </w:t>
            </w:r>
          </w:p>
          <w:p w14:paraId="240BA19F" w14:textId="77777777" w:rsidR="00A02BFB" w:rsidRPr="00A02BFB" w:rsidRDefault="00D82391" w:rsidP="00D82391">
            <w:pPr>
              <w:spacing w:before="40" w:after="120"/>
              <w:ind w:right="113"/>
            </w:pPr>
            <w:r w:rsidRPr="00D82391">
              <w:t>ICRMW, art. 76</w:t>
            </w:r>
          </w:p>
        </w:tc>
      </w:tr>
    </w:tbl>
    <w:p w14:paraId="67E46CFD"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284E3C04" w14:textId="77777777" w:rsidTr="0028001D">
        <w:tc>
          <w:tcPr>
            <w:tcW w:w="2409" w:type="dxa"/>
            <w:tcBorders>
              <w:top w:val="single" w:sz="4" w:space="0" w:color="auto"/>
              <w:bottom w:val="single" w:sz="12" w:space="0" w:color="auto"/>
            </w:tcBorders>
            <w:shd w:val="clear" w:color="auto" w:fill="auto"/>
          </w:tcPr>
          <w:p w14:paraId="41362776"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5594B5E1"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1254A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6B4745D0"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664460C3" w14:textId="77777777" w:rsidTr="00C9264F">
        <w:trPr>
          <w:trHeight w:hRule="exact" w:val="113"/>
        </w:trPr>
        <w:tc>
          <w:tcPr>
            <w:tcW w:w="2409" w:type="dxa"/>
            <w:tcBorders>
              <w:top w:val="single" w:sz="12" w:space="0" w:color="auto"/>
            </w:tcBorders>
            <w:shd w:val="clear" w:color="auto" w:fill="auto"/>
          </w:tcPr>
          <w:p w14:paraId="5C613E3E"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199DB3BB"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204D34A"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1E2AAD3B" w14:textId="77777777" w:rsidR="00A02BFB" w:rsidRPr="0028001D" w:rsidRDefault="00A02BFB" w:rsidP="0028001D">
            <w:pPr>
              <w:spacing w:before="80" w:after="80" w:line="200" w:lineRule="exact"/>
              <w:ind w:right="113"/>
              <w:rPr>
                <w:i/>
                <w:sz w:val="16"/>
              </w:rPr>
            </w:pPr>
          </w:p>
        </w:tc>
      </w:tr>
      <w:tr w:rsidR="00517888" w:rsidRPr="00A02BFB" w14:paraId="74A295B7" w14:textId="77777777" w:rsidTr="00C9264F">
        <w:tc>
          <w:tcPr>
            <w:tcW w:w="2409" w:type="dxa"/>
            <w:shd w:val="clear" w:color="auto" w:fill="auto"/>
          </w:tcPr>
          <w:p w14:paraId="6840F8BF" w14:textId="77777777" w:rsidR="00517888" w:rsidRPr="00A02BFB" w:rsidRDefault="00517888" w:rsidP="0028001D">
            <w:pPr>
              <w:spacing w:before="40" w:after="120"/>
              <w:ind w:right="113"/>
            </w:pPr>
          </w:p>
        </w:tc>
        <w:tc>
          <w:tcPr>
            <w:tcW w:w="2409" w:type="dxa"/>
            <w:shd w:val="clear" w:color="auto" w:fill="auto"/>
          </w:tcPr>
          <w:p w14:paraId="1F93A469" w14:textId="77777777" w:rsidR="00517888" w:rsidRPr="0028001D" w:rsidRDefault="00D82391" w:rsidP="0028001D">
            <w:pPr>
              <w:spacing w:before="40" w:after="120"/>
              <w:ind w:right="113"/>
              <w:rPr>
                <w:lang w:val="fr-CH"/>
              </w:rPr>
            </w:pPr>
            <w:r w:rsidRPr="00D82391">
              <w:t>CRC (General declaration /Reservation, art. 38(2)(3), 1990)</w:t>
            </w:r>
          </w:p>
        </w:tc>
        <w:tc>
          <w:tcPr>
            <w:tcW w:w="2409" w:type="dxa"/>
            <w:shd w:val="clear" w:color="auto" w:fill="auto"/>
          </w:tcPr>
          <w:p w14:paraId="7E170EA2" w14:textId="77777777" w:rsidR="00517888" w:rsidRDefault="00517888" w:rsidP="0028001D">
            <w:pPr>
              <w:spacing w:before="40" w:after="120"/>
              <w:ind w:right="113"/>
            </w:pPr>
          </w:p>
        </w:tc>
        <w:tc>
          <w:tcPr>
            <w:tcW w:w="2410" w:type="dxa"/>
            <w:shd w:val="clear" w:color="auto" w:fill="auto"/>
          </w:tcPr>
          <w:p w14:paraId="5599496C" w14:textId="77777777" w:rsidR="00517888" w:rsidRPr="0028001D" w:rsidRDefault="00D82391" w:rsidP="0028001D">
            <w:pPr>
              <w:spacing w:before="40" w:after="120"/>
              <w:ind w:right="113"/>
              <w:rPr>
                <w:lang w:val="es-ES"/>
              </w:rPr>
            </w:pPr>
            <w:r w:rsidRPr="00D82391">
              <w:t>CRC (General declaration /Reservation, art. 38(2)(3))</w:t>
            </w:r>
          </w:p>
        </w:tc>
      </w:tr>
      <w:tr w:rsidR="00517888" w:rsidRPr="00A02BFB" w14:paraId="74D8190C" w14:textId="77777777" w:rsidTr="00C9264F">
        <w:tc>
          <w:tcPr>
            <w:tcW w:w="2409" w:type="dxa"/>
            <w:shd w:val="clear" w:color="auto" w:fill="auto"/>
          </w:tcPr>
          <w:p w14:paraId="1C567363" w14:textId="77777777" w:rsidR="00517888" w:rsidRPr="00A02BFB" w:rsidRDefault="00517888" w:rsidP="0028001D">
            <w:pPr>
              <w:spacing w:before="40" w:after="120"/>
              <w:ind w:right="113"/>
            </w:pPr>
          </w:p>
        </w:tc>
        <w:tc>
          <w:tcPr>
            <w:tcW w:w="2409" w:type="dxa"/>
            <w:shd w:val="clear" w:color="auto" w:fill="auto"/>
          </w:tcPr>
          <w:p w14:paraId="3B9551A4" w14:textId="77777777" w:rsidR="00517888" w:rsidRPr="0028001D" w:rsidRDefault="00D82391" w:rsidP="0028001D">
            <w:pPr>
              <w:spacing w:before="40" w:after="120"/>
              <w:ind w:right="113"/>
              <w:rPr>
                <w:lang w:val="fr-CH"/>
              </w:rPr>
            </w:pPr>
            <w:r w:rsidRPr="00D82391">
              <w:t>OP-CRC-AC (Declaration, art. 3.2, age of military recruitment at 18 years, 2003)</w:t>
            </w:r>
          </w:p>
        </w:tc>
        <w:tc>
          <w:tcPr>
            <w:tcW w:w="2409" w:type="dxa"/>
            <w:shd w:val="clear" w:color="auto" w:fill="auto"/>
          </w:tcPr>
          <w:p w14:paraId="6A69CEA7" w14:textId="77777777" w:rsidR="00517888" w:rsidRDefault="00517888" w:rsidP="0028001D">
            <w:pPr>
              <w:spacing w:before="40" w:after="120"/>
              <w:ind w:right="113"/>
            </w:pPr>
          </w:p>
        </w:tc>
        <w:tc>
          <w:tcPr>
            <w:tcW w:w="2410" w:type="dxa"/>
            <w:shd w:val="clear" w:color="auto" w:fill="auto"/>
          </w:tcPr>
          <w:p w14:paraId="7829C0D8" w14:textId="77777777" w:rsidR="00517888" w:rsidRPr="0028001D" w:rsidRDefault="00D82391" w:rsidP="0028001D">
            <w:pPr>
              <w:spacing w:before="40" w:after="120"/>
              <w:ind w:right="113"/>
              <w:rPr>
                <w:lang w:val="es-ES"/>
              </w:rPr>
            </w:pPr>
            <w:r w:rsidRPr="00D82391">
              <w:t>OP-CRC-AC (Declaration, art. 3.2, age of military recruitment at 18 years)</w:t>
            </w:r>
          </w:p>
        </w:tc>
      </w:tr>
      <w:tr w:rsidR="00517888" w:rsidRPr="00A02BFB" w14:paraId="12356076" w14:textId="77777777" w:rsidTr="006549F8">
        <w:tc>
          <w:tcPr>
            <w:tcW w:w="2409" w:type="dxa"/>
            <w:tcBorders>
              <w:bottom w:val="single" w:sz="12" w:space="0" w:color="auto"/>
            </w:tcBorders>
            <w:shd w:val="clear" w:color="auto" w:fill="auto"/>
          </w:tcPr>
          <w:p w14:paraId="2145E7DC"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11DC9833" w14:textId="77777777" w:rsidR="00517888" w:rsidRPr="00517888" w:rsidRDefault="00517888" w:rsidP="0028001D">
            <w:pPr>
              <w:spacing w:before="40" w:after="120"/>
              <w:ind w:right="113"/>
            </w:pPr>
          </w:p>
        </w:tc>
        <w:tc>
          <w:tcPr>
            <w:tcW w:w="2409" w:type="dxa"/>
            <w:tcBorders>
              <w:bottom w:val="single" w:sz="12" w:space="0" w:color="auto"/>
            </w:tcBorders>
            <w:shd w:val="clear" w:color="auto" w:fill="auto"/>
          </w:tcPr>
          <w:p w14:paraId="56C7959F" w14:textId="77777777" w:rsidR="00517888" w:rsidRDefault="00517888" w:rsidP="0028001D">
            <w:pPr>
              <w:spacing w:before="40" w:after="120"/>
              <w:ind w:right="113"/>
            </w:pPr>
          </w:p>
        </w:tc>
        <w:tc>
          <w:tcPr>
            <w:tcW w:w="2410" w:type="dxa"/>
            <w:tcBorders>
              <w:bottom w:val="single" w:sz="12" w:space="0" w:color="auto"/>
            </w:tcBorders>
            <w:shd w:val="clear" w:color="auto" w:fill="auto"/>
          </w:tcPr>
          <w:p w14:paraId="41C3DE56" w14:textId="77777777" w:rsidR="00517888" w:rsidRPr="00517888" w:rsidRDefault="00517888" w:rsidP="0028001D">
            <w:pPr>
              <w:spacing w:before="40" w:after="120"/>
              <w:ind w:right="113"/>
            </w:pPr>
          </w:p>
        </w:tc>
      </w:tr>
    </w:tbl>
    <w:p w14:paraId="24C252D4"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359D7FF7" w14:textId="77777777" w:rsidTr="00D82391">
        <w:trPr>
          <w:trHeight w:val="553"/>
        </w:trPr>
        <w:tc>
          <w:tcPr>
            <w:tcW w:w="2409" w:type="dxa"/>
            <w:tcBorders>
              <w:top w:val="single" w:sz="4" w:space="0" w:color="auto"/>
              <w:bottom w:val="single" w:sz="12" w:space="0" w:color="auto"/>
            </w:tcBorders>
            <w:shd w:val="clear" w:color="auto" w:fill="auto"/>
            <w:vAlign w:val="bottom"/>
          </w:tcPr>
          <w:p w14:paraId="4DF05F30"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19809BEB"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75EA33E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34D6F5B9"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08573315" w14:textId="77777777" w:rsidTr="0028001D">
        <w:trPr>
          <w:trHeight w:hRule="exact" w:val="113"/>
        </w:trPr>
        <w:tc>
          <w:tcPr>
            <w:tcW w:w="2409" w:type="dxa"/>
            <w:shd w:val="clear" w:color="auto" w:fill="auto"/>
            <w:vAlign w:val="bottom"/>
          </w:tcPr>
          <w:p w14:paraId="764304B0"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0417CB9A"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FEA899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03AC697B" w14:textId="77777777" w:rsidR="00A02BFB" w:rsidRPr="0028001D" w:rsidRDefault="00A02BFB" w:rsidP="0028001D">
            <w:pPr>
              <w:spacing w:before="80" w:after="80" w:line="200" w:lineRule="exact"/>
              <w:ind w:right="113"/>
              <w:rPr>
                <w:i/>
                <w:sz w:val="16"/>
              </w:rPr>
            </w:pPr>
          </w:p>
        </w:tc>
      </w:tr>
      <w:tr w:rsidR="00A02BFB" w:rsidRPr="00A02BFB" w14:paraId="2A3AE70A" w14:textId="77777777" w:rsidTr="0028001D">
        <w:tc>
          <w:tcPr>
            <w:tcW w:w="2409" w:type="dxa"/>
            <w:shd w:val="clear" w:color="auto" w:fill="auto"/>
          </w:tcPr>
          <w:p w14:paraId="144F643B"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44C4D65E" w14:textId="77777777" w:rsidR="00A02BFB" w:rsidRPr="0028001D" w:rsidRDefault="000568A8" w:rsidP="0028001D">
            <w:pPr>
              <w:spacing w:before="40" w:after="120"/>
              <w:ind w:right="113"/>
              <w:rPr>
                <w:highlight w:val="yellow"/>
              </w:rPr>
            </w:pPr>
            <w:r w:rsidRPr="000568A8">
              <w:t>Convention on the Prevention and Punishment of the Crime of Genocide</w:t>
            </w:r>
          </w:p>
        </w:tc>
        <w:tc>
          <w:tcPr>
            <w:tcW w:w="2409" w:type="dxa"/>
            <w:shd w:val="clear" w:color="auto" w:fill="auto"/>
          </w:tcPr>
          <w:p w14:paraId="4E60B10F" w14:textId="77777777" w:rsidR="00A02BFB" w:rsidRPr="00A02BFB" w:rsidRDefault="00A02BFB" w:rsidP="0028001D">
            <w:pPr>
              <w:spacing w:before="40" w:after="120"/>
              <w:ind w:right="113"/>
            </w:pPr>
          </w:p>
        </w:tc>
        <w:tc>
          <w:tcPr>
            <w:tcW w:w="2410" w:type="dxa"/>
            <w:shd w:val="clear" w:color="auto" w:fill="auto"/>
          </w:tcPr>
          <w:p w14:paraId="6E756F47" w14:textId="77777777" w:rsidR="00A02BFB" w:rsidRPr="00A02BFB" w:rsidRDefault="00A02BFB" w:rsidP="0028001D">
            <w:pPr>
              <w:spacing w:before="40" w:after="120"/>
              <w:ind w:right="113"/>
            </w:pPr>
          </w:p>
        </w:tc>
      </w:tr>
      <w:tr w:rsidR="00A02BFB" w:rsidRPr="00A02BFB" w14:paraId="33D3E6BF" w14:textId="77777777" w:rsidTr="0028001D">
        <w:tc>
          <w:tcPr>
            <w:tcW w:w="2409" w:type="dxa"/>
            <w:shd w:val="clear" w:color="auto" w:fill="auto"/>
          </w:tcPr>
          <w:p w14:paraId="30BE2202" w14:textId="77777777" w:rsidR="00A02BFB" w:rsidRPr="00A02BFB" w:rsidRDefault="00A02BFB" w:rsidP="0028001D">
            <w:pPr>
              <w:spacing w:before="40" w:after="120"/>
              <w:ind w:right="113"/>
            </w:pPr>
          </w:p>
        </w:tc>
        <w:tc>
          <w:tcPr>
            <w:tcW w:w="2409" w:type="dxa"/>
            <w:shd w:val="clear" w:color="auto" w:fill="auto"/>
          </w:tcPr>
          <w:p w14:paraId="092B631F" w14:textId="77777777" w:rsidR="00A02BFB" w:rsidRPr="00B84EF0" w:rsidRDefault="000568A8" w:rsidP="0028001D">
            <w:pPr>
              <w:spacing w:before="40" w:after="120"/>
              <w:ind w:right="113"/>
            </w:pPr>
            <w:r w:rsidRPr="000568A8">
              <w:t>Geneva Conventions of 12 August 1949 and Additional Protocols thereto</w:t>
            </w:r>
            <w:r w:rsidRPr="000568A8">
              <w:rPr>
                <w:vertAlign w:val="superscript"/>
              </w:rPr>
              <w:endnoteReference w:id="5"/>
            </w:r>
          </w:p>
        </w:tc>
        <w:tc>
          <w:tcPr>
            <w:tcW w:w="2409" w:type="dxa"/>
            <w:shd w:val="clear" w:color="auto" w:fill="auto"/>
          </w:tcPr>
          <w:p w14:paraId="60865F2C" w14:textId="77777777" w:rsidR="00A02BFB" w:rsidRPr="00B84EF0" w:rsidRDefault="00A02BFB" w:rsidP="0028001D">
            <w:pPr>
              <w:spacing w:before="40" w:after="120"/>
              <w:ind w:right="113"/>
            </w:pPr>
          </w:p>
        </w:tc>
        <w:tc>
          <w:tcPr>
            <w:tcW w:w="2410" w:type="dxa"/>
            <w:shd w:val="clear" w:color="auto" w:fill="auto"/>
          </w:tcPr>
          <w:p w14:paraId="1DFDFCB1" w14:textId="77777777" w:rsidR="00A02BFB" w:rsidRPr="00A02BFB" w:rsidRDefault="00A02BFB" w:rsidP="0028001D">
            <w:pPr>
              <w:spacing w:before="40" w:after="120"/>
              <w:ind w:right="113"/>
            </w:pPr>
          </w:p>
        </w:tc>
      </w:tr>
      <w:tr w:rsidR="00C32D5E" w:rsidRPr="00A02BFB" w14:paraId="41AD3112" w14:textId="77777777" w:rsidTr="0028001D">
        <w:tc>
          <w:tcPr>
            <w:tcW w:w="2409" w:type="dxa"/>
            <w:shd w:val="clear" w:color="auto" w:fill="auto"/>
          </w:tcPr>
          <w:p w14:paraId="6347FC0F" w14:textId="77777777" w:rsidR="00C32D5E" w:rsidRPr="00A02BFB" w:rsidRDefault="00C32D5E" w:rsidP="0028001D">
            <w:pPr>
              <w:spacing w:before="40" w:after="120"/>
              <w:ind w:right="113"/>
            </w:pPr>
          </w:p>
        </w:tc>
        <w:tc>
          <w:tcPr>
            <w:tcW w:w="2409" w:type="dxa"/>
            <w:shd w:val="clear" w:color="auto" w:fill="auto"/>
          </w:tcPr>
          <w:p w14:paraId="5B9DC103" w14:textId="77777777" w:rsidR="00C32D5E" w:rsidRPr="00B07B0C" w:rsidRDefault="000568A8" w:rsidP="0028001D">
            <w:pPr>
              <w:spacing w:before="40" w:after="120"/>
              <w:ind w:right="113"/>
            </w:pPr>
            <w:r w:rsidRPr="000568A8">
              <w:t>Rome Statute of the International Criminal Court</w:t>
            </w:r>
          </w:p>
        </w:tc>
        <w:tc>
          <w:tcPr>
            <w:tcW w:w="2409" w:type="dxa"/>
            <w:shd w:val="clear" w:color="auto" w:fill="auto"/>
          </w:tcPr>
          <w:p w14:paraId="4E0269B4" w14:textId="77777777" w:rsidR="00C32D5E" w:rsidRDefault="00C32D5E" w:rsidP="0028001D">
            <w:pPr>
              <w:spacing w:before="40" w:after="120"/>
              <w:ind w:right="113"/>
            </w:pPr>
          </w:p>
        </w:tc>
        <w:tc>
          <w:tcPr>
            <w:tcW w:w="2410" w:type="dxa"/>
            <w:shd w:val="clear" w:color="auto" w:fill="auto"/>
          </w:tcPr>
          <w:p w14:paraId="4D9E0185" w14:textId="77777777" w:rsidR="00C32D5E" w:rsidRPr="00C32D5E" w:rsidRDefault="00C32D5E" w:rsidP="0028001D">
            <w:pPr>
              <w:spacing w:before="40" w:after="120"/>
              <w:ind w:right="113"/>
            </w:pPr>
          </w:p>
        </w:tc>
      </w:tr>
      <w:tr w:rsidR="00A02BFB" w:rsidRPr="00A02BFB" w14:paraId="32A44950" w14:textId="77777777" w:rsidTr="0028001D">
        <w:tc>
          <w:tcPr>
            <w:tcW w:w="2409" w:type="dxa"/>
            <w:shd w:val="clear" w:color="auto" w:fill="auto"/>
          </w:tcPr>
          <w:p w14:paraId="2C404CA4" w14:textId="77777777" w:rsidR="00A02BFB" w:rsidRPr="00A02BFB" w:rsidRDefault="00A02BFB" w:rsidP="0028001D">
            <w:pPr>
              <w:spacing w:before="40" w:after="120"/>
              <w:ind w:right="113"/>
            </w:pPr>
          </w:p>
        </w:tc>
        <w:tc>
          <w:tcPr>
            <w:tcW w:w="2409" w:type="dxa"/>
            <w:shd w:val="clear" w:color="auto" w:fill="auto"/>
          </w:tcPr>
          <w:p w14:paraId="39C905E5" w14:textId="77777777" w:rsidR="00A02BFB" w:rsidRPr="00B07B0C" w:rsidRDefault="000568A8" w:rsidP="0028001D">
            <w:pPr>
              <w:spacing w:before="40" w:after="120"/>
              <w:ind w:right="113"/>
            </w:pPr>
            <w:r w:rsidRPr="000568A8">
              <w:t>Conventions on refugees and stateless persons</w:t>
            </w:r>
            <w:r w:rsidRPr="000568A8">
              <w:rPr>
                <w:vertAlign w:val="superscript"/>
              </w:rPr>
              <w:endnoteReference w:id="6"/>
            </w:r>
          </w:p>
        </w:tc>
        <w:tc>
          <w:tcPr>
            <w:tcW w:w="2409" w:type="dxa"/>
            <w:shd w:val="clear" w:color="auto" w:fill="auto"/>
          </w:tcPr>
          <w:p w14:paraId="6FF4059E" w14:textId="77777777" w:rsidR="00A02BFB" w:rsidRPr="00A02BFB" w:rsidRDefault="00A02BFB" w:rsidP="0028001D">
            <w:pPr>
              <w:spacing w:before="40" w:after="120"/>
              <w:ind w:right="113"/>
            </w:pPr>
          </w:p>
        </w:tc>
        <w:tc>
          <w:tcPr>
            <w:tcW w:w="2410" w:type="dxa"/>
            <w:shd w:val="clear" w:color="auto" w:fill="auto"/>
          </w:tcPr>
          <w:p w14:paraId="7F888005" w14:textId="77777777" w:rsidR="00A02BFB" w:rsidRPr="00A02BFB" w:rsidRDefault="00A02BFB" w:rsidP="0028001D">
            <w:pPr>
              <w:spacing w:before="40" w:after="120"/>
              <w:ind w:right="113"/>
            </w:pPr>
          </w:p>
        </w:tc>
      </w:tr>
      <w:tr w:rsidR="00A02BFB" w:rsidRPr="00A02BFB" w14:paraId="3EFE2567" w14:textId="77777777" w:rsidTr="009B7FA0">
        <w:tc>
          <w:tcPr>
            <w:tcW w:w="2409" w:type="dxa"/>
            <w:shd w:val="clear" w:color="auto" w:fill="auto"/>
          </w:tcPr>
          <w:p w14:paraId="639D4186" w14:textId="77777777" w:rsidR="00A02BFB" w:rsidRPr="00A02BFB" w:rsidRDefault="00A02BFB" w:rsidP="0028001D">
            <w:pPr>
              <w:spacing w:before="40" w:after="120"/>
              <w:ind w:right="113"/>
            </w:pPr>
          </w:p>
        </w:tc>
        <w:tc>
          <w:tcPr>
            <w:tcW w:w="2409" w:type="dxa"/>
            <w:shd w:val="clear" w:color="auto" w:fill="auto"/>
          </w:tcPr>
          <w:p w14:paraId="22E7AC1D" w14:textId="77777777" w:rsidR="00A02BFB" w:rsidRPr="00B07B0C" w:rsidRDefault="000568A8" w:rsidP="0028001D">
            <w:pPr>
              <w:spacing w:before="40" w:after="120"/>
              <w:ind w:right="113"/>
            </w:pPr>
            <w:r w:rsidRPr="000568A8">
              <w:t>Palermo Protocol</w:t>
            </w:r>
            <w:r w:rsidRPr="000568A8">
              <w:rPr>
                <w:vertAlign w:val="superscript"/>
              </w:rPr>
              <w:endnoteReference w:id="7"/>
            </w:r>
          </w:p>
        </w:tc>
        <w:tc>
          <w:tcPr>
            <w:tcW w:w="2409" w:type="dxa"/>
            <w:shd w:val="clear" w:color="auto" w:fill="auto"/>
          </w:tcPr>
          <w:p w14:paraId="2CC2A6BC" w14:textId="77777777" w:rsidR="00A02BFB" w:rsidRPr="00A02BFB" w:rsidRDefault="00A02BFB" w:rsidP="0028001D">
            <w:pPr>
              <w:spacing w:before="40" w:after="120"/>
              <w:ind w:right="113"/>
            </w:pPr>
          </w:p>
        </w:tc>
        <w:tc>
          <w:tcPr>
            <w:tcW w:w="2410" w:type="dxa"/>
            <w:shd w:val="clear" w:color="auto" w:fill="auto"/>
          </w:tcPr>
          <w:p w14:paraId="428337BD" w14:textId="77777777" w:rsidR="00A02BFB" w:rsidRPr="00A02BFB" w:rsidRDefault="00A02BFB" w:rsidP="0028001D">
            <w:pPr>
              <w:spacing w:before="40" w:after="120"/>
              <w:ind w:right="113"/>
            </w:pPr>
          </w:p>
        </w:tc>
      </w:tr>
      <w:tr w:rsidR="00B34871" w:rsidRPr="00A02BFB" w14:paraId="41793520" w14:textId="77777777" w:rsidTr="002E5BE3">
        <w:tc>
          <w:tcPr>
            <w:tcW w:w="2409" w:type="dxa"/>
            <w:shd w:val="clear" w:color="auto" w:fill="auto"/>
          </w:tcPr>
          <w:p w14:paraId="36EDAECB" w14:textId="77777777" w:rsidR="00B34871" w:rsidRPr="00A02BFB" w:rsidRDefault="00341F20" w:rsidP="0028001D">
            <w:pPr>
              <w:spacing w:before="40" w:after="120"/>
              <w:ind w:right="113"/>
            </w:pPr>
          </w:p>
        </w:tc>
        <w:tc>
          <w:tcPr>
            <w:tcW w:w="2409" w:type="dxa"/>
            <w:shd w:val="clear" w:color="auto" w:fill="auto"/>
          </w:tcPr>
          <w:p w14:paraId="57577B6F" w14:textId="77777777" w:rsidR="00B34871" w:rsidRPr="007642AD" w:rsidRDefault="000568A8" w:rsidP="0028001D">
            <w:pPr>
              <w:spacing w:before="40" w:after="120"/>
              <w:ind w:right="113"/>
              <w:rPr>
                <w:lang w:val="es-ES"/>
              </w:rPr>
            </w:pPr>
            <w:r w:rsidRPr="000568A8">
              <w:t>ILO fundamental Conventions</w:t>
            </w:r>
            <w:r w:rsidRPr="000568A8">
              <w:rPr>
                <w:vertAlign w:val="superscript"/>
              </w:rPr>
              <w:endnoteReference w:id="8"/>
            </w:r>
          </w:p>
        </w:tc>
        <w:tc>
          <w:tcPr>
            <w:tcW w:w="2409" w:type="dxa"/>
            <w:shd w:val="clear" w:color="auto" w:fill="auto"/>
          </w:tcPr>
          <w:p w14:paraId="52273B6C" w14:textId="77777777" w:rsidR="00B34871" w:rsidRDefault="00341F20" w:rsidP="0028001D">
            <w:pPr>
              <w:spacing w:before="40" w:after="120"/>
              <w:ind w:right="113"/>
            </w:pPr>
          </w:p>
        </w:tc>
        <w:tc>
          <w:tcPr>
            <w:tcW w:w="2410" w:type="dxa"/>
            <w:shd w:val="clear" w:color="auto" w:fill="auto"/>
          </w:tcPr>
          <w:p w14:paraId="461F7FDE" w14:textId="77777777" w:rsidR="00B34871" w:rsidRDefault="00341F20" w:rsidP="0028001D">
            <w:pPr>
              <w:spacing w:before="40" w:after="120"/>
              <w:ind w:right="113"/>
            </w:pPr>
          </w:p>
        </w:tc>
      </w:tr>
      <w:tr w:rsidR="00B07B0C" w:rsidRPr="00A02BFB" w14:paraId="1CC5220A" w14:textId="77777777" w:rsidTr="002E5BE3">
        <w:tc>
          <w:tcPr>
            <w:tcW w:w="2409" w:type="dxa"/>
            <w:shd w:val="clear" w:color="auto" w:fill="auto"/>
          </w:tcPr>
          <w:p w14:paraId="61F7DF6B" w14:textId="77777777" w:rsidR="00B07B0C" w:rsidRPr="00A02BFB" w:rsidRDefault="00B07B0C" w:rsidP="0028001D">
            <w:pPr>
              <w:spacing w:before="40" w:after="120"/>
              <w:ind w:right="113"/>
            </w:pPr>
          </w:p>
        </w:tc>
        <w:tc>
          <w:tcPr>
            <w:tcW w:w="2409" w:type="dxa"/>
            <w:shd w:val="clear" w:color="auto" w:fill="auto"/>
          </w:tcPr>
          <w:p w14:paraId="7D43010E" w14:textId="77777777" w:rsidR="00B07B0C" w:rsidRPr="007642AD" w:rsidRDefault="000568A8" w:rsidP="0028001D">
            <w:pPr>
              <w:spacing w:before="40" w:after="120"/>
              <w:ind w:right="113"/>
              <w:rPr>
                <w:lang w:val="es-ES"/>
              </w:rPr>
            </w:pPr>
            <w:r w:rsidRPr="000568A8">
              <w:t>ILO Convention No 189</w:t>
            </w:r>
            <w:r w:rsidRPr="000568A8">
              <w:rPr>
                <w:vertAlign w:val="superscript"/>
              </w:rPr>
              <w:endnoteReference w:id="9"/>
            </w:r>
          </w:p>
        </w:tc>
        <w:tc>
          <w:tcPr>
            <w:tcW w:w="2409" w:type="dxa"/>
            <w:shd w:val="clear" w:color="auto" w:fill="auto"/>
          </w:tcPr>
          <w:p w14:paraId="0E8C7997" w14:textId="77777777" w:rsidR="00B07B0C" w:rsidRDefault="00B07B0C" w:rsidP="0028001D">
            <w:pPr>
              <w:spacing w:before="40" w:after="120"/>
              <w:ind w:right="113"/>
            </w:pPr>
          </w:p>
        </w:tc>
        <w:tc>
          <w:tcPr>
            <w:tcW w:w="2410" w:type="dxa"/>
            <w:shd w:val="clear" w:color="auto" w:fill="auto"/>
          </w:tcPr>
          <w:p w14:paraId="3E2140F1" w14:textId="77777777" w:rsidR="00B07B0C" w:rsidRDefault="000568A8" w:rsidP="0028001D">
            <w:pPr>
              <w:spacing w:before="40" w:after="120"/>
              <w:ind w:right="113"/>
            </w:pPr>
            <w:r w:rsidRPr="000568A8">
              <w:t>ILO Convention Nos. 169</w:t>
            </w:r>
            <w:r w:rsidRPr="000568A8">
              <w:rPr>
                <w:vertAlign w:val="superscript"/>
              </w:rPr>
              <w:endnoteReference w:id="10"/>
            </w:r>
          </w:p>
        </w:tc>
      </w:tr>
      <w:tr w:rsidR="002E5BE3" w:rsidRPr="00A02BFB" w14:paraId="44BD303F" w14:textId="77777777" w:rsidTr="00B65CCC">
        <w:tc>
          <w:tcPr>
            <w:tcW w:w="2409" w:type="dxa"/>
            <w:tcBorders>
              <w:bottom w:val="single" w:sz="12" w:space="0" w:color="auto"/>
            </w:tcBorders>
            <w:shd w:val="clear" w:color="auto" w:fill="auto"/>
          </w:tcPr>
          <w:p w14:paraId="51B78DDB" w14:textId="77777777" w:rsidR="002E5BE3" w:rsidRPr="00A02BFB" w:rsidRDefault="002E5BE3" w:rsidP="0028001D">
            <w:pPr>
              <w:spacing w:before="40" w:after="120"/>
              <w:ind w:right="113"/>
            </w:pPr>
          </w:p>
        </w:tc>
        <w:tc>
          <w:tcPr>
            <w:tcW w:w="2409" w:type="dxa"/>
            <w:tcBorders>
              <w:bottom w:val="single" w:sz="12" w:space="0" w:color="auto"/>
            </w:tcBorders>
            <w:shd w:val="clear" w:color="auto" w:fill="auto"/>
          </w:tcPr>
          <w:p w14:paraId="09C9FB8E" w14:textId="77777777" w:rsidR="002E5BE3" w:rsidRPr="007642AD" w:rsidRDefault="000568A8" w:rsidP="0028001D">
            <w:pPr>
              <w:spacing w:before="40" w:after="120"/>
              <w:ind w:right="113"/>
              <w:rPr>
                <w:lang w:val="es-ES"/>
              </w:rPr>
            </w:pPr>
            <w:r w:rsidRPr="000568A8">
              <w:t>Convention against Discrimination in Education</w:t>
            </w:r>
          </w:p>
        </w:tc>
        <w:tc>
          <w:tcPr>
            <w:tcW w:w="2409" w:type="dxa"/>
            <w:tcBorders>
              <w:bottom w:val="single" w:sz="12" w:space="0" w:color="auto"/>
            </w:tcBorders>
            <w:shd w:val="clear" w:color="auto" w:fill="auto"/>
          </w:tcPr>
          <w:p w14:paraId="24C426C4" w14:textId="77777777" w:rsidR="002E5BE3" w:rsidRDefault="002E5BE3" w:rsidP="0028001D">
            <w:pPr>
              <w:spacing w:before="40" w:after="120"/>
              <w:ind w:right="113"/>
            </w:pPr>
          </w:p>
        </w:tc>
        <w:tc>
          <w:tcPr>
            <w:tcW w:w="2410" w:type="dxa"/>
            <w:tcBorders>
              <w:bottom w:val="single" w:sz="12" w:space="0" w:color="auto"/>
            </w:tcBorders>
            <w:shd w:val="clear" w:color="auto" w:fill="auto"/>
          </w:tcPr>
          <w:p w14:paraId="140FFF2D" w14:textId="77777777" w:rsidR="002E5BE3" w:rsidRDefault="002E5BE3" w:rsidP="0028001D">
            <w:pPr>
              <w:spacing w:before="40" w:after="120"/>
              <w:ind w:right="113"/>
            </w:pPr>
          </w:p>
        </w:tc>
      </w:tr>
    </w:tbl>
    <w:p w14:paraId="28F0C4FE"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37C21186" w14:textId="77777777"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632720" w:rsidRPr="00632720">
        <w:t>Cooperation with treaty bodies</w:t>
      </w:r>
      <w:r w:rsidR="00632720" w:rsidRPr="00A04F88">
        <w:rPr>
          <w:rStyle w:val="EndnoteReference"/>
          <w:b w:val="0"/>
        </w:rPr>
        <w:endnoteReference w:id="11"/>
      </w:r>
    </w:p>
    <w:p w14:paraId="2B2725EF" w14:textId="77777777"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4563DD72" w14:textId="77777777" w:rsidTr="0028001D">
        <w:tc>
          <w:tcPr>
            <w:tcW w:w="1928" w:type="dxa"/>
            <w:tcBorders>
              <w:top w:val="single" w:sz="4" w:space="0" w:color="auto"/>
              <w:bottom w:val="single" w:sz="12" w:space="0" w:color="auto"/>
            </w:tcBorders>
            <w:shd w:val="clear" w:color="auto" w:fill="auto"/>
            <w:vAlign w:val="bottom"/>
          </w:tcPr>
          <w:p w14:paraId="17E71D04"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1850D81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707F3961"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5BC93992"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51B26F47"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2D65AC51" w14:textId="77777777" w:rsidTr="0028001D">
        <w:trPr>
          <w:trHeight w:hRule="exact" w:val="113"/>
        </w:trPr>
        <w:tc>
          <w:tcPr>
            <w:tcW w:w="1928" w:type="dxa"/>
            <w:shd w:val="clear" w:color="auto" w:fill="auto"/>
            <w:vAlign w:val="bottom"/>
          </w:tcPr>
          <w:p w14:paraId="23333269"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E21B15E"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6D9E716F"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272AD20"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3468A3EE" w14:textId="77777777" w:rsidR="00A02BFB" w:rsidRPr="0028001D" w:rsidRDefault="00A02BFB" w:rsidP="0028001D">
            <w:pPr>
              <w:spacing w:before="80" w:after="80" w:line="200" w:lineRule="exact"/>
              <w:ind w:right="113"/>
              <w:rPr>
                <w:i/>
                <w:sz w:val="16"/>
              </w:rPr>
            </w:pPr>
          </w:p>
        </w:tc>
      </w:tr>
      <w:tr w:rsidR="00FD242A" w:rsidRPr="00A02BFB" w14:paraId="45BBC3E0" w14:textId="77777777" w:rsidTr="0028001D">
        <w:tc>
          <w:tcPr>
            <w:tcW w:w="1928" w:type="dxa"/>
            <w:shd w:val="clear" w:color="auto" w:fill="auto"/>
          </w:tcPr>
          <w:p w14:paraId="30906483" w14:textId="77777777" w:rsidR="00A02BFB" w:rsidRPr="00A02BFB" w:rsidRDefault="00A02BFB" w:rsidP="0028001D">
            <w:pPr>
              <w:spacing w:before="40" w:after="120"/>
              <w:ind w:right="113"/>
            </w:pPr>
            <w:r w:rsidRPr="00A02BFB">
              <w:t>CERD</w:t>
            </w:r>
          </w:p>
        </w:tc>
        <w:tc>
          <w:tcPr>
            <w:tcW w:w="1928" w:type="dxa"/>
            <w:shd w:val="clear" w:color="auto" w:fill="auto"/>
          </w:tcPr>
          <w:p w14:paraId="2E6CBB33" w14:textId="77777777" w:rsidR="00A02BFB" w:rsidRPr="00A02BFB" w:rsidRDefault="00632720" w:rsidP="0028001D">
            <w:pPr>
              <w:spacing w:before="40" w:after="120"/>
              <w:ind w:right="113"/>
            </w:pPr>
            <w:r>
              <w:t>August 2011</w:t>
            </w:r>
          </w:p>
        </w:tc>
        <w:tc>
          <w:tcPr>
            <w:tcW w:w="1927" w:type="dxa"/>
            <w:shd w:val="clear" w:color="auto" w:fill="auto"/>
          </w:tcPr>
          <w:p w14:paraId="1C56638E" w14:textId="77777777" w:rsidR="00A02BFB" w:rsidRPr="00A02BFB" w:rsidRDefault="00632720" w:rsidP="0028001D">
            <w:pPr>
              <w:spacing w:before="40" w:after="120"/>
              <w:ind w:right="113"/>
            </w:pPr>
            <w:r>
              <w:t>2015</w:t>
            </w:r>
          </w:p>
        </w:tc>
        <w:tc>
          <w:tcPr>
            <w:tcW w:w="1927" w:type="dxa"/>
            <w:shd w:val="clear" w:color="auto" w:fill="auto"/>
          </w:tcPr>
          <w:p w14:paraId="3935F1C3" w14:textId="77777777" w:rsidR="00A02BFB" w:rsidRPr="00A02BFB" w:rsidRDefault="00632720" w:rsidP="0028001D">
            <w:pPr>
              <w:spacing w:before="40" w:after="120"/>
              <w:ind w:right="113"/>
            </w:pPr>
            <w:r>
              <w:t>December 2016</w:t>
            </w:r>
          </w:p>
        </w:tc>
        <w:tc>
          <w:tcPr>
            <w:tcW w:w="1927" w:type="dxa"/>
            <w:shd w:val="clear" w:color="auto" w:fill="auto"/>
          </w:tcPr>
          <w:p w14:paraId="6588A200" w14:textId="77777777" w:rsidR="00A02BFB" w:rsidRPr="00A02BFB" w:rsidRDefault="00632720" w:rsidP="0028001D">
            <w:pPr>
              <w:spacing w:before="40" w:after="120"/>
              <w:ind w:right="113"/>
            </w:pPr>
            <w:r w:rsidRPr="00632720">
              <w:rPr>
                <w:bCs/>
              </w:rPr>
              <w:t>Twenty-fourth to twenty-sixth reports due in 2020</w:t>
            </w:r>
          </w:p>
        </w:tc>
      </w:tr>
      <w:tr w:rsidR="00FD242A" w:rsidRPr="00A02BFB" w14:paraId="2351E94C" w14:textId="77777777" w:rsidTr="0028001D">
        <w:tc>
          <w:tcPr>
            <w:tcW w:w="1928" w:type="dxa"/>
            <w:shd w:val="clear" w:color="auto" w:fill="auto"/>
          </w:tcPr>
          <w:p w14:paraId="4F56351A" w14:textId="77777777" w:rsidR="00A02BFB" w:rsidRPr="00A02BFB" w:rsidRDefault="00A02BFB" w:rsidP="0028001D">
            <w:pPr>
              <w:spacing w:before="40" w:after="120"/>
              <w:ind w:right="113"/>
            </w:pPr>
            <w:r w:rsidRPr="00A02BFB">
              <w:t>CESCR</w:t>
            </w:r>
          </w:p>
        </w:tc>
        <w:tc>
          <w:tcPr>
            <w:tcW w:w="1928" w:type="dxa"/>
            <w:shd w:val="clear" w:color="auto" w:fill="auto"/>
          </w:tcPr>
          <w:p w14:paraId="39400049" w14:textId="77777777" w:rsidR="00A02BFB" w:rsidRPr="00A02BFB" w:rsidRDefault="00632720" w:rsidP="0028001D">
            <w:pPr>
              <w:spacing w:before="40" w:after="120"/>
              <w:ind w:right="113"/>
            </w:pPr>
            <w:r>
              <w:t>November 2010</w:t>
            </w:r>
          </w:p>
        </w:tc>
        <w:tc>
          <w:tcPr>
            <w:tcW w:w="1927" w:type="dxa"/>
            <w:shd w:val="clear" w:color="auto" w:fill="auto"/>
          </w:tcPr>
          <w:p w14:paraId="6757C230" w14:textId="77777777" w:rsidR="00A02BFB" w:rsidRPr="00A02BFB" w:rsidRDefault="00632720" w:rsidP="0028001D">
            <w:pPr>
              <w:spacing w:before="40" w:after="120"/>
              <w:ind w:right="113"/>
            </w:pPr>
            <w:r>
              <w:t>2015</w:t>
            </w:r>
          </w:p>
        </w:tc>
        <w:tc>
          <w:tcPr>
            <w:tcW w:w="1927" w:type="dxa"/>
            <w:shd w:val="clear" w:color="auto" w:fill="auto"/>
          </w:tcPr>
          <w:p w14:paraId="2CC1AB31" w14:textId="77777777" w:rsidR="00A02BFB" w:rsidRPr="00A02BFB" w:rsidRDefault="00632720" w:rsidP="0028001D">
            <w:pPr>
              <w:spacing w:before="40" w:after="120"/>
              <w:ind w:right="113"/>
            </w:pPr>
            <w:r>
              <w:t>June 2017</w:t>
            </w:r>
          </w:p>
        </w:tc>
        <w:tc>
          <w:tcPr>
            <w:tcW w:w="1927" w:type="dxa"/>
            <w:shd w:val="clear" w:color="auto" w:fill="auto"/>
          </w:tcPr>
          <w:p w14:paraId="1CD14507" w14:textId="77777777" w:rsidR="00A02BFB" w:rsidRPr="00A02BFB" w:rsidRDefault="00632720" w:rsidP="0028001D">
            <w:pPr>
              <w:spacing w:before="40" w:after="120"/>
              <w:ind w:right="113"/>
            </w:pPr>
            <w:r w:rsidRPr="00632720">
              <w:t>Sixth report due in 2022</w:t>
            </w:r>
          </w:p>
        </w:tc>
      </w:tr>
      <w:tr w:rsidR="00FD242A" w:rsidRPr="00A02BFB" w14:paraId="7280B3C6" w14:textId="77777777" w:rsidTr="0028001D">
        <w:tc>
          <w:tcPr>
            <w:tcW w:w="1928" w:type="dxa"/>
            <w:shd w:val="clear" w:color="auto" w:fill="auto"/>
          </w:tcPr>
          <w:p w14:paraId="186FD497" w14:textId="77777777" w:rsidR="00A02BFB" w:rsidRPr="00A02BFB" w:rsidRDefault="00A02BFB" w:rsidP="0028001D">
            <w:pPr>
              <w:spacing w:before="40" w:after="120"/>
              <w:ind w:right="113"/>
            </w:pPr>
            <w:r w:rsidRPr="00A02BFB">
              <w:t>HR Committee</w:t>
            </w:r>
          </w:p>
        </w:tc>
        <w:tc>
          <w:tcPr>
            <w:tcW w:w="1928" w:type="dxa"/>
            <w:shd w:val="clear" w:color="auto" w:fill="auto"/>
          </w:tcPr>
          <w:p w14:paraId="153B5F61" w14:textId="77777777" w:rsidR="00A02BFB" w:rsidRPr="00A02BFB" w:rsidRDefault="00632720" w:rsidP="0028001D">
            <w:pPr>
              <w:spacing w:before="40" w:after="120"/>
              <w:ind w:right="113"/>
            </w:pPr>
            <w:r>
              <w:t>--</w:t>
            </w:r>
          </w:p>
        </w:tc>
        <w:tc>
          <w:tcPr>
            <w:tcW w:w="1927" w:type="dxa"/>
            <w:shd w:val="clear" w:color="auto" w:fill="auto"/>
          </w:tcPr>
          <w:p w14:paraId="21C6BA65" w14:textId="77777777" w:rsidR="00A02BFB" w:rsidRPr="00A02BFB" w:rsidRDefault="00632720" w:rsidP="0028001D">
            <w:pPr>
              <w:spacing w:before="40" w:after="120"/>
              <w:ind w:right="113"/>
            </w:pPr>
            <w:r>
              <w:t>2012</w:t>
            </w:r>
          </w:p>
        </w:tc>
        <w:tc>
          <w:tcPr>
            <w:tcW w:w="1927" w:type="dxa"/>
            <w:shd w:val="clear" w:color="auto" w:fill="auto"/>
          </w:tcPr>
          <w:p w14:paraId="5FE98A55" w14:textId="77777777" w:rsidR="00A02BFB" w:rsidRPr="00A02BFB" w:rsidRDefault="00632720" w:rsidP="0028001D">
            <w:pPr>
              <w:spacing w:before="40" w:after="120"/>
              <w:ind w:right="113"/>
            </w:pPr>
            <w:r>
              <w:t>October 2013</w:t>
            </w:r>
          </w:p>
        </w:tc>
        <w:tc>
          <w:tcPr>
            <w:tcW w:w="1927" w:type="dxa"/>
            <w:shd w:val="clear" w:color="auto" w:fill="auto"/>
          </w:tcPr>
          <w:p w14:paraId="1D6CD053" w14:textId="22280493" w:rsidR="00A02BFB" w:rsidRPr="00A02BFB" w:rsidRDefault="00632720" w:rsidP="00C947C6">
            <w:pPr>
              <w:spacing w:before="40" w:after="120"/>
              <w:ind w:right="113"/>
            </w:pPr>
            <w:r w:rsidRPr="00632720">
              <w:t xml:space="preserve">Sixth report due in </w:t>
            </w:r>
            <w:r w:rsidR="00595BF5">
              <w:t xml:space="preserve"> 2019</w:t>
            </w:r>
          </w:p>
        </w:tc>
      </w:tr>
      <w:tr w:rsidR="00FD242A" w:rsidRPr="00A02BFB" w14:paraId="0125E348" w14:textId="77777777" w:rsidTr="0028001D">
        <w:tc>
          <w:tcPr>
            <w:tcW w:w="1928" w:type="dxa"/>
            <w:shd w:val="clear" w:color="auto" w:fill="auto"/>
          </w:tcPr>
          <w:p w14:paraId="4E7DB8E7" w14:textId="77777777" w:rsidR="00A02BFB" w:rsidRPr="00A02BFB" w:rsidRDefault="00A02BFB" w:rsidP="0028001D">
            <w:pPr>
              <w:spacing w:before="40" w:after="120"/>
              <w:ind w:right="113"/>
            </w:pPr>
            <w:r w:rsidRPr="00A02BFB">
              <w:lastRenderedPageBreak/>
              <w:t>CEDAW</w:t>
            </w:r>
          </w:p>
        </w:tc>
        <w:tc>
          <w:tcPr>
            <w:tcW w:w="1928" w:type="dxa"/>
            <w:shd w:val="clear" w:color="auto" w:fill="auto"/>
          </w:tcPr>
          <w:p w14:paraId="482B4711" w14:textId="77777777" w:rsidR="00A02BFB" w:rsidRPr="00A02BFB" w:rsidRDefault="00632720" w:rsidP="0028001D">
            <w:pPr>
              <w:spacing w:before="40" w:after="120"/>
              <w:ind w:right="113"/>
            </w:pPr>
            <w:r>
              <w:t>--</w:t>
            </w:r>
          </w:p>
        </w:tc>
        <w:tc>
          <w:tcPr>
            <w:tcW w:w="1927" w:type="dxa"/>
            <w:shd w:val="clear" w:color="auto" w:fill="auto"/>
          </w:tcPr>
          <w:p w14:paraId="3F522627" w14:textId="77777777" w:rsidR="00A02BFB" w:rsidRPr="00A02BFB" w:rsidRDefault="00632720" w:rsidP="0028001D">
            <w:pPr>
              <w:spacing w:before="40" w:after="120"/>
              <w:ind w:right="113"/>
            </w:pPr>
            <w:r>
              <w:t>2015</w:t>
            </w:r>
          </w:p>
        </w:tc>
        <w:tc>
          <w:tcPr>
            <w:tcW w:w="1927" w:type="dxa"/>
            <w:shd w:val="clear" w:color="auto" w:fill="auto"/>
          </w:tcPr>
          <w:p w14:paraId="4D8E6AE0" w14:textId="77777777" w:rsidR="00A02BFB" w:rsidRPr="00A02BFB" w:rsidRDefault="00632720" w:rsidP="0028001D">
            <w:pPr>
              <w:spacing w:before="40" w:after="120"/>
              <w:ind w:right="113"/>
            </w:pPr>
            <w:r>
              <w:t>July 2016</w:t>
            </w:r>
          </w:p>
        </w:tc>
        <w:tc>
          <w:tcPr>
            <w:tcW w:w="1927" w:type="dxa"/>
            <w:shd w:val="clear" w:color="auto" w:fill="auto"/>
          </w:tcPr>
          <w:p w14:paraId="6BA702DE" w14:textId="77777777" w:rsidR="00A02BFB" w:rsidRPr="00A02BFB" w:rsidRDefault="00632720" w:rsidP="0028001D">
            <w:pPr>
              <w:spacing w:before="40" w:after="120"/>
              <w:ind w:right="113"/>
            </w:pPr>
            <w:r>
              <w:t>Tenth report due in 2020</w:t>
            </w:r>
          </w:p>
        </w:tc>
      </w:tr>
      <w:tr w:rsidR="00FD242A" w:rsidRPr="00A02BFB" w14:paraId="5BB0383A" w14:textId="77777777" w:rsidTr="0028001D">
        <w:tc>
          <w:tcPr>
            <w:tcW w:w="1928" w:type="dxa"/>
            <w:shd w:val="clear" w:color="auto" w:fill="auto"/>
          </w:tcPr>
          <w:p w14:paraId="258CF289" w14:textId="77777777" w:rsidR="00A02BFB" w:rsidRPr="00A02BFB" w:rsidRDefault="00A02BFB" w:rsidP="0028001D">
            <w:pPr>
              <w:spacing w:before="40" w:after="120"/>
              <w:ind w:right="113"/>
            </w:pPr>
            <w:r w:rsidRPr="00A02BFB">
              <w:t>CAT</w:t>
            </w:r>
          </w:p>
        </w:tc>
        <w:tc>
          <w:tcPr>
            <w:tcW w:w="1928" w:type="dxa"/>
            <w:shd w:val="clear" w:color="auto" w:fill="auto"/>
          </w:tcPr>
          <w:p w14:paraId="2B414026" w14:textId="77777777" w:rsidR="00A02BFB" w:rsidRPr="00A02BFB" w:rsidRDefault="00632720" w:rsidP="0060015D">
            <w:pPr>
              <w:spacing w:before="40" w:after="120"/>
              <w:ind w:right="113"/>
            </w:pPr>
            <w:r>
              <w:t>--</w:t>
            </w:r>
          </w:p>
        </w:tc>
        <w:tc>
          <w:tcPr>
            <w:tcW w:w="1927" w:type="dxa"/>
            <w:shd w:val="clear" w:color="auto" w:fill="auto"/>
          </w:tcPr>
          <w:p w14:paraId="0146B0A3" w14:textId="77777777" w:rsidR="00A02BFB" w:rsidRPr="00A02BFB" w:rsidRDefault="00632720" w:rsidP="0028001D">
            <w:pPr>
              <w:spacing w:before="40" w:after="120"/>
              <w:ind w:right="113"/>
            </w:pPr>
            <w:r>
              <w:t>2012/2018</w:t>
            </w:r>
          </w:p>
        </w:tc>
        <w:tc>
          <w:tcPr>
            <w:tcW w:w="1927" w:type="dxa"/>
            <w:shd w:val="clear" w:color="auto" w:fill="auto"/>
          </w:tcPr>
          <w:p w14:paraId="0FF3093D" w14:textId="77777777" w:rsidR="00A02BFB" w:rsidRPr="00A02BFB" w:rsidRDefault="00632720" w:rsidP="0028001D">
            <w:pPr>
              <w:spacing w:before="40" w:after="120"/>
              <w:ind w:right="113"/>
            </w:pPr>
            <w:r>
              <w:t>May 2014</w:t>
            </w:r>
          </w:p>
        </w:tc>
        <w:tc>
          <w:tcPr>
            <w:tcW w:w="1927" w:type="dxa"/>
            <w:shd w:val="clear" w:color="auto" w:fill="auto"/>
          </w:tcPr>
          <w:p w14:paraId="79B624D7" w14:textId="77777777" w:rsidR="00A02BFB" w:rsidRPr="00A02BFB" w:rsidRDefault="00632720" w:rsidP="0028001D">
            <w:pPr>
              <w:spacing w:before="40" w:after="120"/>
              <w:ind w:right="113"/>
            </w:pPr>
            <w:r>
              <w:t>Fourth report pending consideration</w:t>
            </w:r>
          </w:p>
        </w:tc>
      </w:tr>
      <w:tr w:rsidR="00FD242A" w:rsidRPr="00A02BFB" w14:paraId="65C2C578" w14:textId="77777777" w:rsidTr="00151C6A">
        <w:tc>
          <w:tcPr>
            <w:tcW w:w="1928" w:type="dxa"/>
            <w:shd w:val="clear" w:color="auto" w:fill="auto"/>
          </w:tcPr>
          <w:p w14:paraId="1269E71C" w14:textId="77777777" w:rsidR="00A02BFB" w:rsidRPr="00A02BFB" w:rsidRDefault="00A02BFB" w:rsidP="0028001D">
            <w:pPr>
              <w:spacing w:before="40" w:after="120"/>
              <w:ind w:right="113"/>
            </w:pPr>
            <w:r w:rsidRPr="00A02BFB">
              <w:t>CRC</w:t>
            </w:r>
          </w:p>
        </w:tc>
        <w:tc>
          <w:tcPr>
            <w:tcW w:w="1928" w:type="dxa"/>
            <w:shd w:val="clear" w:color="auto" w:fill="auto"/>
          </w:tcPr>
          <w:p w14:paraId="03D3CF14" w14:textId="77777777" w:rsidR="00A02BFB" w:rsidRPr="00A02BFB" w:rsidRDefault="00632720" w:rsidP="0028001D">
            <w:pPr>
              <w:spacing w:before="40" w:after="120"/>
              <w:ind w:right="113"/>
            </w:pPr>
            <w:r>
              <w:t>--</w:t>
            </w:r>
          </w:p>
        </w:tc>
        <w:tc>
          <w:tcPr>
            <w:tcW w:w="1927" w:type="dxa"/>
            <w:shd w:val="clear" w:color="auto" w:fill="auto"/>
          </w:tcPr>
          <w:p w14:paraId="6FBBE4B1" w14:textId="77777777" w:rsidR="00A02BFB" w:rsidRPr="00A02BFB" w:rsidRDefault="00632720" w:rsidP="0028001D">
            <w:pPr>
              <w:spacing w:before="40" w:after="120"/>
              <w:ind w:right="113"/>
            </w:pPr>
            <w:r w:rsidRPr="00632720">
              <w:t>2012 (to CRC and OPs)</w:t>
            </w:r>
          </w:p>
        </w:tc>
        <w:tc>
          <w:tcPr>
            <w:tcW w:w="1927" w:type="dxa"/>
            <w:shd w:val="clear" w:color="auto" w:fill="auto"/>
          </w:tcPr>
          <w:p w14:paraId="16413D82" w14:textId="77777777" w:rsidR="00A02BFB" w:rsidRPr="00A02BFB" w:rsidRDefault="00632720" w:rsidP="0028001D">
            <w:pPr>
              <w:spacing w:before="40" w:after="120"/>
              <w:ind w:right="113"/>
            </w:pPr>
            <w:r w:rsidRPr="00632720">
              <w:t>January 2015 (to CRC and OPs)</w:t>
            </w:r>
          </w:p>
        </w:tc>
        <w:tc>
          <w:tcPr>
            <w:tcW w:w="1927" w:type="dxa"/>
            <w:shd w:val="clear" w:color="auto" w:fill="auto"/>
          </w:tcPr>
          <w:p w14:paraId="5FE16A95" w14:textId="77777777" w:rsidR="00A02BFB" w:rsidRPr="00A02BFB" w:rsidRDefault="00632720" w:rsidP="0028001D">
            <w:pPr>
              <w:spacing w:before="40" w:after="120"/>
              <w:ind w:right="113"/>
            </w:pPr>
            <w:r w:rsidRPr="00632720">
              <w:rPr>
                <w:bCs/>
              </w:rPr>
              <w:t>Sixth and seventh reports due in 2021</w:t>
            </w:r>
          </w:p>
        </w:tc>
      </w:tr>
      <w:tr w:rsidR="00C2509F" w:rsidRPr="00A02BFB" w14:paraId="52EB23CB" w14:textId="77777777" w:rsidTr="00151C6A">
        <w:tc>
          <w:tcPr>
            <w:tcW w:w="1928" w:type="dxa"/>
            <w:shd w:val="clear" w:color="auto" w:fill="auto"/>
          </w:tcPr>
          <w:p w14:paraId="7C1E89A5" w14:textId="77777777" w:rsidR="00C2509F" w:rsidRDefault="00C2509F" w:rsidP="0060015D">
            <w:pPr>
              <w:spacing w:before="40" w:after="120"/>
              <w:ind w:right="113"/>
            </w:pPr>
            <w:r>
              <w:t>C</w:t>
            </w:r>
            <w:r w:rsidR="001264F0">
              <w:t>MW</w:t>
            </w:r>
          </w:p>
        </w:tc>
        <w:tc>
          <w:tcPr>
            <w:tcW w:w="1928" w:type="dxa"/>
            <w:shd w:val="clear" w:color="auto" w:fill="auto"/>
          </w:tcPr>
          <w:p w14:paraId="3A938537" w14:textId="77777777" w:rsidR="00C2509F" w:rsidRDefault="001264F0" w:rsidP="0028001D">
            <w:pPr>
              <w:spacing w:before="40" w:after="120"/>
              <w:ind w:right="113"/>
            </w:pPr>
            <w:r>
              <w:t>--</w:t>
            </w:r>
          </w:p>
        </w:tc>
        <w:tc>
          <w:tcPr>
            <w:tcW w:w="1927" w:type="dxa"/>
            <w:shd w:val="clear" w:color="auto" w:fill="auto"/>
          </w:tcPr>
          <w:p w14:paraId="486A55A3" w14:textId="77777777" w:rsidR="00C2509F" w:rsidRPr="00A02BFB" w:rsidRDefault="001264F0" w:rsidP="0028001D">
            <w:pPr>
              <w:spacing w:before="40" w:after="120"/>
              <w:ind w:right="113"/>
            </w:pPr>
            <w:r>
              <w:t>2013</w:t>
            </w:r>
          </w:p>
        </w:tc>
        <w:tc>
          <w:tcPr>
            <w:tcW w:w="1927" w:type="dxa"/>
            <w:shd w:val="clear" w:color="auto" w:fill="auto"/>
          </w:tcPr>
          <w:p w14:paraId="32643312" w14:textId="77777777" w:rsidR="00C2509F" w:rsidRPr="00A02BFB" w:rsidRDefault="001264F0" w:rsidP="0028001D">
            <w:pPr>
              <w:spacing w:before="40" w:after="120"/>
              <w:ind w:right="113"/>
            </w:pPr>
            <w:r>
              <w:t>April 2014</w:t>
            </w:r>
          </w:p>
        </w:tc>
        <w:tc>
          <w:tcPr>
            <w:tcW w:w="1927" w:type="dxa"/>
            <w:shd w:val="clear" w:color="auto" w:fill="auto"/>
          </w:tcPr>
          <w:p w14:paraId="4907FFBF" w14:textId="77777777" w:rsidR="007A09CD" w:rsidRPr="00A02BFB" w:rsidRDefault="001264F0" w:rsidP="0028001D">
            <w:pPr>
              <w:spacing w:before="40" w:after="120"/>
              <w:ind w:right="113"/>
            </w:pPr>
            <w:r>
              <w:t>Second report due in 2019</w:t>
            </w:r>
          </w:p>
        </w:tc>
      </w:tr>
      <w:tr w:rsidR="001264F0" w:rsidRPr="00A02BFB" w14:paraId="3D09B983" w14:textId="77777777" w:rsidTr="00151C6A">
        <w:tc>
          <w:tcPr>
            <w:tcW w:w="1928" w:type="dxa"/>
            <w:shd w:val="clear" w:color="auto" w:fill="auto"/>
          </w:tcPr>
          <w:p w14:paraId="21C901AF" w14:textId="77777777" w:rsidR="001264F0" w:rsidRDefault="001264F0" w:rsidP="0060015D">
            <w:pPr>
              <w:spacing w:before="40" w:after="120"/>
              <w:ind w:right="113"/>
            </w:pPr>
            <w:r>
              <w:t>CRPD</w:t>
            </w:r>
          </w:p>
        </w:tc>
        <w:tc>
          <w:tcPr>
            <w:tcW w:w="1928" w:type="dxa"/>
            <w:shd w:val="clear" w:color="auto" w:fill="auto"/>
          </w:tcPr>
          <w:p w14:paraId="37524F5F" w14:textId="77777777" w:rsidR="001264F0" w:rsidRDefault="001264F0" w:rsidP="0028001D">
            <w:pPr>
              <w:spacing w:before="40" w:after="120"/>
              <w:ind w:right="113"/>
            </w:pPr>
            <w:r>
              <w:t>--</w:t>
            </w:r>
          </w:p>
        </w:tc>
        <w:tc>
          <w:tcPr>
            <w:tcW w:w="1927" w:type="dxa"/>
            <w:shd w:val="clear" w:color="auto" w:fill="auto"/>
          </w:tcPr>
          <w:p w14:paraId="6BBBBD36" w14:textId="77777777" w:rsidR="001264F0" w:rsidRDefault="001264F0" w:rsidP="0028001D">
            <w:pPr>
              <w:spacing w:before="40" w:after="120"/>
              <w:ind w:right="113"/>
            </w:pPr>
            <w:r>
              <w:t>2013</w:t>
            </w:r>
          </w:p>
        </w:tc>
        <w:tc>
          <w:tcPr>
            <w:tcW w:w="1927" w:type="dxa"/>
            <w:shd w:val="clear" w:color="auto" w:fill="auto"/>
          </w:tcPr>
          <w:p w14:paraId="1C56A852" w14:textId="77777777" w:rsidR="001264F0" w:rsidRDefault="001264F0" w:rsidP="0028001D">
            <w:pPr>
              <w:spacing w:before="40" w:after="120"/>
              <w:ind w:right="113"/>
            </w:pPr>
            <w:r>
              <w:t>August 2016</w:t>
            </w:r>
          </w:p>
        </w:tc>
        <w:tc>
          <w:tcPr>
            <w:tcW w:w="1927" w:type="dxa"/>
            <w:shd w:val="clear" w:color="auto" w:fill="auto"/>
          </w:tcPr>
          <w:p w14:paraId="43841440" w14:textId="77777777" w:rsidR="001264F0" w:rsidRDefault="001264F0" w:rsidP="0028001D">
            <w:pPr>
              <w:spacing w:before="40" w:after="120"/>
              <w:ind w:right="113"/>
            </w:pPr>
            <w:r w:rsidRPr="001264F0">
              <w:rPr>
                <w:bCs/>
              </w:rPr>
              <w:t>Second to fourth reports due in 2023</w:t>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8"/>
        <w:gridCol w:w="1928"/>
        <w:gridCol w:w="1928"/>
        <w:gridCol w:w="1928"/>
      </w:tblGrid>
      <w:tr w:rsidR="007A09CD" w:rsidRPr="001264F0" w14:paraId="4BA3B09B" w14:textId="77777777" w:rsidTr="007A09CD">
        <w:tc>
          <w:tcPr>
            <w:tcW w:w="1925" w:type="dxa"/>
            <w:tcBorders>
              <w:bottom w:val="single" w:sz="12" w:space="0" w:color="auto"/>
            </w:tcBorders>
            <w:shd w:val="clear" w:color="auto" w:fill="auto"/>
            <w:vAlign w:val="bottom"/>
          </w:tcPr>
          <w:p w14:paraId="391E9D66" w14:textId="77777777" w:rsidR="007A09CD" w:rsidRPr="001264F0" w:rsidRDefault="001264F0" w:rsidP="007A09CD">
            <w:pPr>
              <w:spacing w:before="80" w:after="80" w:line="200" w:lineRule="exact"/>
              <w:ind w:right="113"/>
            </w:pPr>
            <w:bookmarkStart w:id="4" w:name="Table_Response_TB_follow_up"/>
            <w:r w:rsidRPr="001264F0">
              <w:t>CED</w:t>
            </w:r>
          </w:p>
        </w:tc>
        <w:tc>
          <w:tcPr>
            <w:tcW w:w="1928" w:type="dxa"/>
            <w:tcBorders>
              <w:bottom w:val="single" w:sz="12" w:space="0" w:color="auto"/>
            </w:tcBorders>
            <w:shd w:val="clear" w:color="auto" w:fill="auto"/>
            <w:vAlign w:val="bottom"/>
          </w:tcPr>
          <w:p w14:paraId="66891E7B" w14:textId="77777777" w:rsidR="007A09CD" w:rsidRPr="001264F0" w:rsidRDefault="001264F0" w:rsidP="007A09CD">
            <w:pPr>
              <w:spacing w:before="80" w:after="80" w:line="200" w:lineRule="exact"/>
              <w:ind w:right="113"/>
            </w:pPr>
            <w:r>
              <w:t>April 2013</w:t>
            </w:r>
          </w:p>
        </w:tc>
        <w:tc>
          <w:tcPr>
            <w:tcW w:w="1928" w:type="dxa"/>
            <w:tcBorders>
              <w:bottom w:val="single" w:sz="12" w:space="0" w:color="auto"/>
            </w:tcBorders>
            <w:shd w:val="clear" w:color="auto" w:fill="auto"/>
            <w:vAlign w:val="bottom"/>
          </w:tcPr>
          <w:p w14:paraId="35633903" w14:textId="77777777" w:rsidR="007A09CD" w:rsidRPr="001264F0" w:rsidRDefault="001264F0" w:rsidP="007A09CD">
            <w:pPr>
              <w:spacing w:before="80" w:after="80" w:line="200" w:lineRule="exact"/>
              <w:ind w:right="113"/>
            </w:pPr>
            <w:r>
              <w:t>--</w:t>
            </w:r>
          </w:p>
        </w:tc>
        <w:tc>
          <w:tcPr>
            <w:tcW w:w="1928" w:type="dxa"/>
            <w:tcBorders>
              <w:bottom w:val="single" w:sz="12" w:space="0" w:color="auto"/>
            </w:tcBorders>
            <w:shd w:val="clear" w:color="auto" w:fill="auto"/>
            <w:vAlign w:val="bottom"/>
          </w:tcPr>
          <w:p w14:paraId="3A8F0A3F" w14:textId="77777777" w:rsidR="007A09CD" w:rsidRPr="001264F0" w:rsidRDefault="001264F0" w:rsidP="007A09CD">
            <w:pPr>
              <w:spacing w:before="80" w:after="80" w:line="200" w:lineRule="exact"/>
              <w:ind w:right="113"/>
            </w:pPr>
            <w:r>
              <w:t>--</w:t>
            </w:r>
          </w:p>
        </w:tc>
        <w:tc>
          <w:tcPr>
            <w:tcW w:w="1928" w:type="dxa"/>
            <w:tcBorders>
              <w:bottom w:val="single" w:sz="12" w:space="0" w:color="auto"/>
            </w:tcBorders>
            <w:shd w:val="clear" w:color="auto" w:fill="auto"/>
            <w:vAlign w:val="bottom"/>
          </w:tcPr>
          <w:p w14:paraId="1C88EAC8" w14:textId="77777777" w:rsidR="007A09CD" w:rsidRPr="001264F0" w:rsidRDefault="001264F0" w:rsidP="007A09CD">
            <w:pPr>
              <w:spacing w:before="80" w:after="80" w:line="200" w:lineRule="exact"/>
              <w:ind w:right="113"/>
            </w:pPr>
            <w:r>
              <w:t>Next report due in 2019</w:t>
            </w:r>
          </w:p>
        </w:tc>
      </w:tr>
    </w:tbl>
    <w:p w14:paraId="61BAFBC1" w14:textId="77777777"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B22B96" w:rsidRPr="00B22B96" w14:paraId="79A16EA9" w14:textId="77777777" w:rsidTr="00B22B96">
        <w:tc>
          <w:tcPr>
            <w:tcW w:w="2407" w:type="dxa"/>
            <w:tcBorders>
              <w:top w:val="single" w:sz="4" w:space="0" w:color="auto"/>
              <w:bottom w:val="single" w:sz="12" w:space="0" w:color="auto"/>
            </w:tcBorders>
            <w:shd w:val="clear" w:color="auto" w:fill="auto"/>
            <w:vAlign w:val="bottom"/>
          </w:tcPr>
          <w:p w14:paraId="5D5905F6" w14:textId="77777777" w:rsidR="00B22B96" w:rsidRPr="00B22B96" w:rsidRDefault="00B22B96" w:rsidP="00B22B96">
            <w:pPr>
              <w:spacing w:before="80" w:after="80" w:line="200" w:lineRule="exact"/>
              <w:ind w:right="113"/>
              <w:rPr>
                <w:i/>
                <w:sz w:val="16"/>
              </w:rPr>
            </w:pPr>
            <w:r>
              <w:rPr>
                <w:i/>
                <w:sz w:val="16"/>
              </w:rPr>
              <w:t>Treaty body</w:t>
            </w:r>
          </w:p>
        </w:tc>
        <w:tc>
          <w:tcPr>
            <w:tcW w:w="2410" w:type="dxa"/>
            <w:tcBorders>
              <w:top w:val="single" w:sz="4" w:space="0" w:color="auto"/>
              <w:bottom w:val="single" w:sz="12" w:space="0" w:color="auto"/>
            </w:tcBorders>
            <w:shd w:val="clear" w:color="auto" w:fill="auto"/>
            <w:vAlign w:val="bottom"/>
          </w:tcPr>
          <w:p w14:paraId="3B4688F5" w14:textId="77777777" w:rsidR="00B22B96" w:rsidRPr="00B22B96" w:rsidRDefault="00B22B96" w:rsidP="00B22B96">
            <w:pPr>
              <w:spacing w:before="80" w:after="80" w:line="200" w:lineRule="exact"/>
              <w:ind w:right="113"/>
              <w:rPr>
                <w:i/>
                <w:sz w:val="16"/>
              </w:rPr>
            </w:pPr>
            <w:r>
              <w:rPr>
                <w:i/>
                <w:sz w:val="16"/>
              </w:rPr>
              <w:t>Due in</w:t>
            </w:r>
          </w:p>
        </w:tc>
        <w:tc>
          <w:tcPr>
            <w:tcW w:w="2410" w:type="dxa"/>
            <w:tcBorders>
              <w:top w:val="single" w:sz="4" w:space="0" w:color="auto"/>
              <w:bottom w:val="single" w:sz="12" w:space="0" w:color="auto"/>
            </w:tcBorders>
            <w:shd w:val="clear" w:color="auto" w:fill="auto"/>
            <w:vAlign w:val="bottom"/>
          </w:tcPr>
          <w:p w14:paraId="1C00E9A3" w14:textId="77777777" w:rsidR="00B22B96" w:rsidRPr="00B22B96" w:rsidRDefault="00B22B96" w:rsidP="00B22B9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6A0FC264" w14:textId="77777777" w:rsidR="00B22B96" w:rsidRPr="00B22B96" w:rsidRDefault="00B22B96" w:rsidP="00B22B96">
            <w:pPr>
              <w:spacing w:before="80" w:after="80" w:line="200" w:lineRule="exact"/>
              <w:ind w:right="113"/>
              <w:rPr>
                <w:i/>
                <w:sz w:val="16"/>
              </w:rPr>
            </w:pPr>
            <w:r>
              <w:rPr>
                <w:i/>
                <w:sz w:val="16"/>
              </w:rPr>
              <w:t>Submitted</w:t>
            </w:r>
          </w:p>
        </w:tc>
      </w:tr>
      <w:tr w:rsidR="00B22B96" w:rsidRPr="00B22B96" w14:paraId="74AD6FEF" w14:textId="77777777" w:rsidTr="00B22B96">
        <w:trPr>
          <w:trHeight w:hRule="exact" w:val="113"/>
        </w:trPr>
        <w:tc>
          <w:tcPr>
            <w:tcW w:w="2407" w:type="dxa"/>
            <w:tcBorders>
              <w:top w:val="single" w:sz="12" w:space="0" w:color="auto"/>
            </w:tcBorders>
            <w:shd w:val="clear" w:color="auto" w:fill="auto"/>
            <w:vAlign w:val="bottom"/>
          </w:tcPr>
          <w:p w14:paraId="411F3EA8"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66B39735"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12BCC6D7"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6F24DFDF" w14:textId="77777777" w:rsidR="00B22B96" w:rsidRPr="00B22B96" w:rsidRDefault="00B22B96" w:rsidP="00B22B96">
            <w:pPr>
              <w:spacing w:before="80" w:after="80" w:line="200" w:lineRule="exact"/>
              <w:ind w:right="113"/>
              <w:rPr>
                <w:i/>
                <w:sz w:val="16"/>
              </w:rPr>
            </w:pPr>
          </w:p>
        </w:tc>
      </w:tr>
      <w:tr w:rsidR="00B22B96" w:rsidRPr="00B22B96" w14:paraId="30FB63B6" w14:textId="77777777" w:rsidTr="00B22B96">
        <w:tc>
          <w:tcPr>
            <w:tcW w:w="2407" w:type="dxa"/>
            <w:shd w:val="clear" w:color="auto" w:fill="auto"/>
          </w:tcPr>
          <w:p w14:paraId="3CAC22D4" w14:textId="77777777" w:rsidR="00B22B96" w:rsidRPr="00B22B96" w:rsidRDefault="00B22B96" w:rsidP="00B22B96">
            <w:pPr>
              <w:spacing w:before="40" w:after="120"/>
              <w:ind w:right="113"/>
            </w:pPr>
            <w:r>
              <w:t>CERD</w:t>
            </w:r>
          </w:p>
        </w:tc>
        <w:tc>
          <w:tcPr>
            <w:tcW w:w="2410" w:type="dxa"/>
            <w:shd w:val="clear" w:color="auto" w:fill="auto"/>
          </w:tcPr>
          <w:p w14:paraId="32C0F45C" w14:textId="77777777" w:rsidR="00B22B96" w:rsidRPr="00B22B96" w:rsidRDefault="001264F0" w:rsidP="00B22B96">
            <w:pPr>
              <w:spacing w:before="40" w:after="120"/>
              <w:ind w:right="113"/>
            </w:pPr>
            <w:r>
              <w:t>2017</w:t>
            </w:r>
          </w:p>
        </w:tc>
        <w:tc>
          <w:tcPr>
            <w:tcW w:w="2410" w:type="dxa"/>
            <w:shd w:val="clear" w:color="auto" w:fill="auto"/>
          </w:tcPr>
          <w:p w14:paraId="2F6B42FE" w14:textId="77777777" w:rsidR="00B22B96" w:rsidRPr="00B22B96" w:rsidRDefault="001264F0" w:rsidP="00B22B96">
            <w:pPr>
              <w:spacing w:before="40" w:after="120"/>
              <w:ind w:right="113"/>
            </w:pPr>
            <w:r w:rsidRPr="001264F0">
              <w:rPr>
                <w:bCs/>
              </w:rPr>
              <w:t>Political rights; and discrimination in the education sector.</w:t>
            </w:r>
            <w:r w:rsidRPr="001264F0">
              <w:rPr>
                <w:bCs/>
                <w:vertAlign w:val="superscript"/>
              </w:rPr>
              <w:endnoteReference w:id="12"/>
            </w:r>
          </w:p>
        </w:tc>
        <w:tc>
          <w:tcPr>
            <w:tcW w:w="2410" w:type="dxa"/>
            <w:shd w:val="clear" w:color="auto" w:fill="auto"/>
          </w:tcPr>
          <w:p w14:paraId="40F5CE62" w14:textId="77777777" w:rsidR="00B22B96" w:rsidRPr="00B22B96" w:rsidRDefault="001264F0" w:rsidP="00B22B96">
            <w:pPr>
              <w:spacing w:before="40" w:after="120"/>
              <w:ind w:right="113"/>
            </w:pPr>
            <w:r w:rsidRPr="001264F0">
              <w:t>2018.</w:t>
            </w:r>
            <w:r w:rsidRPr="001264F0">
              <w:rPr>
                <w:vertAlign w:val="superscript"/>
              </w:rPr>
              <w:endnoteReference w:id="13"/>
            </w:r>
            <w:r w:rsidRPr="001264F0">
              <w:t xml:space="preserve"> Further information requested.</w:t>
            </w:r>
            <w:r w:rsidRPr="001264F0">
              <w:rPr>
                <w:vertAlign w:val="superscript"/>
              </w:rPr>
              <w:endnoteReference w:id="14"/>
            </w:r>
          </w:p>
        </w:tc>
      </w:tr>
      <w:tr w:rsidR="00B22B96" w:rsidRPr="00B22B96" w14:paraId="7EBD3248" w14:textId="77777777" w:rsidTr="00B22B96">
        <w:tc>
          <w:tcPr>
            <w:tcW w:w="2407" w:type="dxa"/>
            <w:shd w:val="clear" w:color="auto" w:fill="auto"/>
          </w:tcPr>
          <w:p w14:paraId="372D1C5A" w14:textId="77777777" w:rsidR="00B22B96" w:rsidRPr="00B22B96" w:rsidRDefault="001264F0" w:rsidP="00B22B96">
            <w:pPr>
              <w:spacing w:before="40" w:after="120"/>
              <w:ind w:right="113"/>
            </w:pPr>
            <w:r>
              <w:t>CESCR</w:t>
            </w:r>
          </w:p>
        </w:tc>
        <w:tc>
          <w:tcPr>
            <w:tcW w:w="2410" w:type="dxa"/>
            <w:shd w:val="clear" w:color="auto" w:fill="auto"/>
          </w:tcPr>
          <w:p w14:paraId="58A57D5D" w14:textId="77777777" w:rsidR="00B22B96" w:rsidRPr="00B22B96" w:rsidRDefault="001264F0" w:rsidP="00B22B96">
            <w:pPr>
              <w:spacing w:before="40" w:after="120"/>
              <w:ind w:right="113"/>
            </w:pPr>
            <w:r>
              <w:t>2018</w:t>
            </w:r>
          </w:p>
        </w:tc>
        <w:tc>
          <w:tcPr>
            <w:tcW w:w="2410" w:type="dxa"/>
            <w:shd w:val="clear" w:color="auto" w:fill="auto"/>
          </w:tcPr>
          <w:p w14:paraId="5FC73C5D" w14:textId="77777777" w:rsidR="00B22B96" w:rsidRPr="00B22B96" w:rsidRDefault="001264F0" w:rsidP="00B22B96">
            <w:pPr>
              <w:spacing w:before="40" w:after="120"/>
              <w:ind w:right="113"/>
            </w:pPr>
            <w:r w:rsidRPr="001264F0">
              <w:t xml:space="preserve">Equality between men and women; </w:t>
            </w:r>
            <w:r w:rsidRPr="001264F0">
              <w:rPr>
                <w:bCs/>
              </w:rPr>
              <w:t xml:space="preserve">right to work of persons with disabilities; and </w:t>
            </w:r>
            <w:r w:rsidRPr="001264F0">
              <w:t>mental health.</w:t>
            </w:r>
            <w:r w:rsidRPr="001264F0">
              <w:rPr>
                <w:vertAlign w:val="superscript"/>
              </w:rPr>
              <w:endnoteReference w:id="15"/>
            </w:r>
          </w:p>
        </w:tc>
        <w:tc>
          <w:tcPr>
            <w:tcW w:w="2410" w:type="dxa"/>
            <w:shd w:val="clear" w:color="auto" w:fill="auto"/>
          </w:tcPr>
          <w:p w14:paraId="7963A4FB" w14:textId="77777777" w:rsidR="00B22B96" w:rsidRPr="00B22B96" w:rsidRDefault="001264F0" w:rsidP="00B22B96">
            <w:pPr>
              <w:spacing w:before="40" w:after="120"/>
              <w:ind w:right="113"/>
            </w:pPr>
            <w:r>
              <w:t>--</w:t>
            </w:r>
          </w:p>
        </w:tc>
      </w:tr>
      <w:tr w:rsidR="00B22B96" w:rsidRPr="00B22B96" w14:paraId="45CF6BD9" w14:textId="77777777" w:rsidTr="00B22B96">
        <w:tc>
          <w:tcPr>
            <w:tcW w:w="2407" w:type="dxa"/>
            <w:shd w:val="clear" w:color="auto" w:fill="auto"/>
          </w:tcPr>
          <w:p w14:paraId="3B3EF329" w14:textId="77777777" w:rsidR="00B22B96" w:rsidRPr="00B22B96" w:rsidRDefault="00B22B96" w:rsidP="00B22B96">
            <w:pPr>
              <w:spacing w:before="40" w:after="120"/>
              <w:ind w:right="113"/>
            </w:pPr>
            <w:r>
              <w:t>HR Committee</w:t>
            </w:r>
          </w:p>
        </w:tc>
        <w:tc>
          <w:tcPr>
            <w:tcW w:w="2410" w:type="dxa"/>
            <w:shd w:val="clear" w:color="auto" w:fill="auto"/>
          </w:tcPr>
          <w:p w14:paraId="7903413C" w14:textId="77777777" w:rsidR="00B22B96" w:rsidRPr="00B22B96" w:rsidRDefault="001264F0" w:rsidP="00B22B96">
            <w:pPr>
              <w:spacing w:before="40" w:after="120"/>
              <w:ind w:right="113"/>
            </w:pPr>
            <w:r>
              <w:t>2014</w:t>
            </w:r>
          </w:p>
        </w:tc>
        <w:tc>
          <w:tcPr>
            <w:tcW w:w="2410" w:type="dxa"/>
            <w:shd w:val="clear" w:color="auto" w:fill="auto"/>
          </w:tcPr>
          <w:p w14:paraId="0CEA96BB" w14:textId="77777777" w:rsidR="00B22B96" w:rsidRPr="00B22B96" w:rsidRDefault="001264F0" w:rsidP="00B22B96">
            <w:pPr>
              <w:spacing w:before="40" w:after="120"/>
              <w:ind w:right="113"/>
            </w:pPr>
            <w:r w:rsidRPr="001264F0">
              <w:t>National Human Rights Institution; pre-trial detention; and inapplicability of a statute of limitations to crimes against humanity and other serious human rights violations.</w:t>
            </w:r>
            <w:r w:rsidRPr="001264F0">
              <w:rPr>
                <w:vertAlign w:val="superscript"/>
              </w:rPr>
              <w:endnoteReference w:id="16"/>
            </w:r>
          </w:p>
        </w:tc>
        <w:tc>
          <w:tcPr>
            <w:tcW w:w="2410" w:type="dxa"/>
            <w:shd w:val="clear" w:color="auto" w:fill="auto"/>
          </w:tcPr>
          <w:p w14:paraId="1EA54832" w14:textId="77777777" w:rsidR="00B22B96" w:rsidRPr="00B22B96" w:rsidRDefault="001264F0" w:rsidP="001550B8">
            <w:pPr>
              <w:spacing w:before="40" w:after="120"/>
              <w:ind w:right="113"/>
            </w:pPr>
            <w:r w:rsidRPr="001264F0">
              <w:t>2014 and 2016.</w:t>
            </w:r>
            <w:r w:rsidRPr="001264F0">
              <w:rPr>
                <w:vertAlign w:val="superscript"/>
              </w:rPr>
              <w:endnoteReference w:id="17"/>
            </w:r>
            <w:r w:rsidRPr="001264F0">
              <w:t xml:space="preserve"> Follow up discontinued.</w:t>
            </w:r>
            <w:r w:rsidR="001550B8">
              <w:rPr>
                <w:rStyle w:val="EndnoteReference"/>
              </w:rPr>
              <w:endnoteReference w:id="18"/>
            </w:r>
          </w:p>
        </w:tc>
      </w:tr>
      <w:tr w:rsidR="00B22B96" w:rsidRPr="00B22B96" w14:paraId="0EB2C3F9" w14:textId="77777777" w:rsidTr="00B22B96">
        <w:tc>
          <w:tcPr>
            <w:tcW w:w="2407" w:type="dxa"/>
            <w:shd w:val="clear" w:color="auto" w:fill="auto"/>
          </w:tcPr>
          <w:p w14:paraId="41693AD3" w14:textId="77777777" w:rsidR="00B22B96" w:rsidRPr="00B22B96" w:rsidRDefault="00B22B96" w:rsidP="00B22B96">
            <w:pPr>
              <w:spacing w:before="40" w:after="120"/>
              <w:ind w:right="113"/>
            </w:pPr>
            <w:r>
              <w:t>CEDAW</w:t>
            </w:r>
          </w:p>
        </w:tc>
        <w:tc>
          <w:tcPr>
            <w:tcW w:w="2410" w:type="dxa"/>
            <w:shd w:val="clear" w:color="auto" w:fill="auto"/>
          </w:tcPr>
          <w:p w14:paraId="7D028611" w14:textId="77777777" w:rsidR="00B22B96" w:rsidRPr="00B22B96" w:rsidRDefault="001264F0" w:rsidP="00B22B96">
            <w:pPr>
              <w:spacing w:before="40" w:after="120"/>
              <w:ind w:right="113"/>
            </w:pPr>
            <w:r>
              <w:t>2018</w:t>
            </w:r>
          </w:p>
        </w:tc>
        <w:tc>
          <w:tcPr>
            <w:tcW w:w="2410" w:type="dxa"/>
            <w:shd w:val="clear" w:color="auto" w:fill="auto"/>
          </w:tcPr>
          <w:p w14:paraId="64DE3D13" w14:textId="77777777" w:rsidR="00B22B96" w:rsidRPr="00B22B96" w:rsidRDefault="001264F0" w:rsidP="00B22B96">
            <w:pPr>
              <w:spacing w:before="40" w:after="120"/>
              <w:ind w:right="113"/>
            </w:pPr>
            <w:r w:rsidRPr="001264F0">
              <w:rPr>
                <w:bCs/>
              </w:rPr>
              <w:t>Gender-based violence against women; and education.</w:t>
            </w:r>
            <w:r w:rsidRPr="001264F0">
              <w:rPr>
                <w:bCs/>
                <w:vertAlign w:val="superscript"/>
              </w:rPr>
              <w:endnoteReference w:id="19"/>
            </w:r>
          </w:p>
        </w:tc>
        <w:tc>
          <w:tcPr>
            <w:tcW w:w="2410" w:type="dxa"/>
            <w:shd w:val="clear" w:color="auto" w:fill="auto"/>
          </w:tcPr>
          <w:p w14:paraId="3CD9E854" w14:textId="77777777" w:rsidR="00B22B96" w:rsidRPr="00B22B96" w:rsidRDefault="001264F0" w:rsidP="00B22B96">
            <w:pPr>
              <w:spacing w:before="40" w:after="120"/>
              <w:ind w:right="113"/>
            </w:pPr>
            <w:r>
              <w:t>--</w:t>
            </w:r>
          </w:p>
        </w:tc>
      </w:tr>
      <w:tr w:rsidR="00B22B96" w:rsidRPr="00B22B96" w14:paraId="76F7F7E5" w14:textId="77777777" w:rsidTr="00B22B96">
        <w:tc>
          <w:tcPr>
            <w:tcW w:w="2407" w:type="dxa"/>
            <w:shd w:val="clear" w:color="auto" w:fill="auto"/>
          </w:tcPr>
          <w:p w14:paraId="7B14D8AF" w14:textId="77777777" w:rsidR="00B22B96" w:rsidRPr="00B22B96" w:rsidRDefault="00B22B96" w:rsidP="00B22B96">
            <w:pPr>
              <w:spacing w:before="40" w:after="120"/>
              <w:ind w:right="113"/>
            </w:pPr>
            <w:r>
              <w:t>CAT</w:t>
            </w:r>
          </w:p>
        </w:tc>
        <w:tc>
          <w:tcPr>
            <w:tcW w:w="2410" w:type="dxa"/>
            <w:shd w:val="clear" w:color="auto" w:fill="auto"/>
          </w:tcPr>
          <w:p w14:paraId="69C99860" w14:textId="77777777" w:rsidR="00B22B96" w:rsidRPr="00B22B96" w:rsidRDefault="001264F0" w:rsidP="00B22B96">
            <w:pPr>
              <w:spacing w:before="40" w:after="120"/>
              <w:ind w:right="113"/>
            </w:pPr>
            <w:r>
              <w:t>2015</w:t>
            </w:r>
          </w:p>
        </w:tc>
        <w:tc>
          <w:tcPr>
            <w:tcW w:w="2410" w:type="dxa"/>
            <w:shd w:val="clear" w:color="auto" w:fill="auto"/>
          </w:tcPr>
          <w:p w14:paraId="75E77CCE" w14:textId="77777777" w:rsidR="00B22B96" w:rsidRPr="00B22B96" w:rsidRDefault="001264F0" w:rsidP="00B22B96">
            <w:pPr>
              <w:spacing w:before="40" w:after="120"/>
              <w:ind w:right="113"/>
              <w:rPr>
                <w:bCs/>
              </w:rPr>
            </w:pPr>
            <w:r w:rsidRPr="001264F0">
              <w:rPr>
                <w:bCs/>
              </w:rPr>
              <w:t>Safeguards for persons deprived of liberty; and investigations and prosecution of acts of torture or ill-treatment.</w:t>
            </w:r>
            <w:r w:rsidRPr="001264F0">
              <w:rPr>
                <w:bCs/>
                <w:vertAlign w:val="superscript"/>
              </w:rPr>
              <w:endnoteReference w:id="20"/>
            </w:r>
          </w:p>
        </w:tc>
        <w:tc>
          <w:tcPr>
            <w:tcW w:w="2410" w:type="dxa"/>
            <w:shd w:val="clear" w:color="auto" w:fill="auto"/>
          </w:tcPr>
          <w:p w14:paraId="4CABD42F" w14:textId="77777777" w:rsidR="00B22B96" w:rsidRPr="00B22B96" w:rsidRDefault="001264F0" w:rsidP="001550B8">
            <w:pPr>
              <w:spacing w:before="40" w:after="120"/>
              <w:ind w:right="113"/>
            </w:pPr>
            <w:r w:rsidRPr="001264F0">
              <w:t>2015.</w:t>
            </w:r>
            <w:r w:rsidRPr="001264F0">
              <w:rPr>
                <w:vertAlign w:val="superscript"/>
              </w:rPr>
              <w:endnoteReference w:id="21"/>
            </w:r>
            <w:r w:rsidRPr="001264F0">
              <w:t xml:space="preserve"> Further information requested.</w:t>
            </w:r>
            <w:r w:rsidR="001550B8">
              <w:rPr>
                <w:rStyle w:val="EndnoteReference"/>
              </w:rPr>
              <w:endnoteReference w:id="22"/>
            </w:r>
          </w:p>
        </w:tc>
      </w:tr>
      <w:tr w:rsidR="00B22B96" w:rsidRPr="00B22B96" w14:paraId="5F735354" w14:textId="77777777" w:rsidTr="001264F0">
        <w:tc>
          <w:tcPr>
            <w:tcW w:w="2407" w:type="dxa"/>
            <w:shd w:val="clear" w:color="auto" w:fill="auto"/>
          </w:tcPr>
          <w:p w14:paraId="21EE10D1" w14:textId="77777777" w:rsidR="00B22B96" w:rsidRPr="00B22B96" w:rsidRDefault="00B22B96" w:rsidP="00B22B96">
            <w:pPr>
              <w:spacing w:before="40" w:after="120"/>
              <w:ind w:right="113"/>
            </w:pPr>
            <w:r>
              <w:t>CRPD</w:t>
            </w:r>
          </w:p>
        </w:tc>
        <w:tc>
          <w:tcPr>
            <w:tcW w:w="2410" w:type="dxa"/>
            <w:shd w:val="clear" w:color="auto" w:fill="auto"/>
          </w:tcPr>
          <w:p w14:paraId="4507E8E2" w14:textId="77777777" w:rsidR="00B22B96" w:rsidRPr="00B22B96" w:rsidRDefault="001264F0" w:rsidP="00B22B96">
            <w:pPr>
              <w:spacing w:before="40" w:after="120"/>
              <w:ind w:right="113"/>
            </w:pPr>
            <w:r>
              <w:t>2017</w:t>
            </w:r>
          </w:p>
        </w:tc>
        <w:tc>
          <w:tcPr>
            <w:tcW w:w="2410" w:type="dxa"/>
            <w:shd w:val="clear" w:color="auto" w:fill="auto"/>
          </w:tcPr>
          <w:p w14:paraId="5B7E0077" w14:textId="77777777" w:rsidR="00B22B96" w:rsidRPr="00B22B96" w:rsidRDefault="001264F0" w:rsidP="00B22B96">
            <w:pPr>
              <w:spacing w:before="40" w:after="120"/>
              <w:ind w:right="113"/>
            </w:pPr>
            <w:r w:rsidRPr="001264F0">
              <w:rPr>
                <w:bCs/>
              </w:rPr>
              <w:t>National implementation and monitoring mechanism.</w:t>
            </w:r>
            <w:r w:rsidRPr="001264F0">
              <w:rPr>
                <w:bCs/>
                <w:vertAlign w:val="superscript"/>
              </w:rPr>
              <w:endnoteReference w:id="23"/>
            </w:r>
          </w:p>
        </w:tc>
        <w:tc>
          <w:tcPr>
            <w:tcW w:w="2410" w:type="dxa"/>
            <w:shd w:val="clear" w:color="auto" w:fill="auto"/>
          </w:tcPr>
          <w:p w14:paraId="0BE4B152" w14:textId="77777777" w:rsidR="00B22B96" w:rsidRPr="00B22B96" w:rsidRDefault="001264F0" w:rsidP="00B22B96">
            <w:pPr>
              <w:spacing w:before="40" w:after="120"/>
              <w:ind w:right="113"/>
            </w:pPr>
            <w:r w:rsidRPr="001264F0">
              <w:t>2017</w:t>
            </w:r>
            <w:r w:rsidRPr="001264F0">
              <w:rPr>
                <w:vertAlign w:val="superscript"/>
              </w:rPr>
              <w:endnoteReference w:id="24"/>
            </w:r>
          </w:p>
        </w:tc>
      </w:tr>
      <w:tr w:rsidR="001264F0" w:rsidRPr="00B22B96" w14:paraId="5C2F45A3" w14:textId="77777777" w:rsidTr="001264F0">
        <w:tc>
          <w:tcPr>
            <w:tcW w:w="2407" w:type="dxa"/>
            <w:shd w:val="clear" w:color="auto" w:fill="auto"/>
          </w:tcPr>
          <w:p w14:paraId="6650B4B9" w14:textId="77777777" w:rsidR="001264F0" w:rsidRDefault="001264F0" w:rsidP="00B22B96">
            <w:pPr>
              <w:spacing w:before="40" w:after="120"/>
              <w:ind w:right="113"/>
            </w:pPr>
            <w:r>
              <w:t>CED</w:t>
            </w:r>
          </w:p>
        </w:tc>
        <w:tc>
          <w:tcPr>
            <w:tcW w:w="2410" w:type="dxa"/>
            <w:shd w:val="clear" w:color="auto" w:fill="auto"/>
          </w:tcPr>
          <w:p w14:paraId="41321D09" w14:textId="77777777" w:rsidR="001264F0" w:rsidRDefault="001264F0" w:rsidP="00B22B96">
            <w:pPr>
              <w:spacing w:before="40" w:after="120"/>
              <w:ind w:right="113"/>
            </w:pPr>
            <w:r>
              <w:t>2014</w:t>
            </w:r>
          </w:p>
        </w:tc>
        <w:tc>
          <w:tcPr>
            <w:tcW w:w="2410" w:type="dxa"/>
            <w:shd w:val="clear" w:color="auto" w:fill="auto"/>
          </w:tcPr>
          <w:p w14:paraId="3A90B777" w14:textId="77777777" w:rsidR="001264F0" w:rsidRPr="001264F0" w:rsidRDefault="001264F0" w:rsidP="00B22B96">
            <w:pPr>
              <w:spacing w:before="40" w:after="120"/>
              <w:ind w:right="113"/>
              <w:rPr>
                <w:bCs/>
              </w:rPr>
            </w:pPr>
            <w:r>
              <w:rPr>
                <w:bCs/>
              </w:rPr>
              <w:t xml:space="preserve">Judicial procedure and cooperation in criminal matters; and measures for </w:t>
            </w:r>
            <w:r>
              <w:rPr>
                <w:bCs/>
              </w:rPr>
              <w:lastRenderedPageBreak/>
              <w:t>reparation and protection of children against enforced disappearance</w:t>
            </w:r>
            <w:r w:rsidRPr="001264F0">
              <w:rPr>
                <w:bCs/>
                <w:vertAlign w:val="superscript"/>
              </w:rPr>
              <w:endnoteReference w:id="25"/>
            </w:r>
          </w:p>
        </w:tc>
        <w:tc>
          <w:tcPr>
            <w:tcW w:w="2410" w:type="dxa"/>
            <w:shd w:val="clear" w:color="auto" w:fill="auto"/>
          </w:tcPr>
          <w:p w14:paraId="5CDB17DC" w14:textId="77777777" w:rsidR="001264F0" w:rsidRPr="001264F0" w:rsidRDefault="001264F0" w:rsidP="00B22B96">
            <w:pPr>
              <w:spacing w:before="40" w:after="120"/>
              <w:ind w:right="113"/>
            </w:pPr>
            <w:r w:rsidRPr="001264F0">
              <w:lastRenderedPageBreak/>
              <w:t>2014</w:t>
            </w:r>
            <w:r w:rsidRPr="001264F0">
              <w:rPr>
                <w:vertAlign w:val="superscript"/>
              </w:rPr>
              <w:endnoteReference w:id="26"/>
            </w:r>
          </w:p>
        </w:tc>
      </w:tr>
      <w:tr w:rsidR="001264F0" w:rsidRPr="001264F0" w14:paraId="2E105E79" w14:textId="77777777" w:rsidTr="001264F0">
        <w:tblPrEx>
          <w:tblBorders>
            <w:insideH w:val="single" w:sz="12" w:space="0" w:color="auto"/>
          </w:tblBorders>
        </w:tblPrEx>
        <w:tc>
          <w:tcPr>
            <w:tcW w:w="2407" w:type="dxa"/>
            <w:tcBorders>
              <w:top w:val="nil"/>
              <w:bottom w:val="single" w:sz="12" w:space="0" w:color="auto"/>
            </w:tcBorders>
            <w:shd w:val="clear" w:color="auto" w:fill="auto"/>
            <w:vAlign w:val="bottom"/>
          </w:tcPr>
          <w:p w14:paraId="1C8F5B94" w14:textId="77777777" w:rsidR="001264F0" w:rsidRPr="001264F0" w:rsidRDefault="001264F0" w:rsidP="001264F0">
            <w:pPr>
              <w:spacing w:before="80" w:after="80" w:line="200" w:lineRule="exact"/>
              <w:ind w:right="113"/>
              <w:rPr>
                <w:i/>
                <w:sz w:val="16"/>
              </w:rPr>
            </w:pPr>
          </w:p>
        </w:tc>
        <w:tc>
          <w:tcPr>
            <w:tcW w:w="2410" w:type="dxa"/>
            <w:tcBorders>
              <w:top w:val="nil"/>
              <w:bottom w:val="single" w:sz="12" w:space="0" w:color="auto"/>
            </w:tcBorders>
            <w:shd w:val="clear" w:color="auto" w:fill="auto"/>
            <w:vAlign w:val="bottom"/>
          </w:tcPr>
          <w:p w14:paraId="42B8FCAE" w14:textId="77777777" w:rsidR="001264F0" w:rsidRPr="001264F0" w:rsidRDefault="001264F0" w:rsidP="001264F0">
            <w:pPr>
              <w:spacing w:before="80" w:after="80" w:line="200" w:lineRule="exact"/>
              <w:ind w:right="113"/>
              <w:rPr>
                <w:i/>
                <w:sz w:val="16"/>
              </w:rPr>
            </w:pPr>
          </w:p>
        </w:tc>
        <w:tc>
          <w:tcPr>
            <w:tcW w:w="2410" w:type="dxa"/>
            <w:tcBorders>
              <w:top w:val="nil"/>
              <w:bottom w:val="single" w:sz="12" w:space="0" w:color="auto"/>
            </w:tcBorders>
            <w:shd w:val="clear" w:color="auto" w:fill="auto"/>
            <w:vAlign w:val="bottom"/>
          </w:tcPr>
          <w:p w14:paraId="4DC276BA" w14:textId="77777777" w:rsidR="001264F0" w:rsidRPr="001264F0" w:rsidRDefault="001264F0" w:rsidP="001264F0">
            <w:pPr>
              <w:spacing w:before="80" w:after="80" w:line="200" w:lineRule="exact"/>
              <w:ind w:right="113"/>
              <w:rPr>
                <w:i/>
                <w:sz w:val="16"/>
              </w:rPr>
            </w:pPr>
          </w:p>
        </w:tc>
        <w:tc>
          <w:tcPr>
            <w:tcW w:w="2410" w:type="dxa"/>
            <w:tcBorders>
              <w:top w:val="nil"/>
              <w:bottom w:val="single" w:sz="12" w:space="0" w:color="auto"/>
            </w:tcBorders>
            <w:shd w:val="clear" w:color="auto" w:fill="auto"/>
            <w:vAlign w:val="bottom"/>
          </w:tcPr>
          <w:p w14:paraId="38519D68" w14:textId="77777777" w:rsidR="001264F0" w:rsidRPr="001264F0" w:rsidRDefault="001264F0" w:rsidP="001264F0">
            <w:pPr>
              <w:spacing w:before="80" w:after="80" w:line="200" w:lineRule="exact"/>
              <w:ind w:right="113"/>
              <w:rPr>
                <w:i/>
                <w:sz w:val="16"/>
              </w:rPr>
            </w:pPr>
          </w:p>
        </w:tc>
      </w:tr>
      <w:tr w:rsidR="001264F0" w:rsidRPr="001264F0" w14:paraId="42DC0DCD" w14:textId="77777777" w:rsidTr="001264F0">
        <w:tblPrEx>
          <w:tblBorders>
            <w:insideH w:val="single" w:sz="12" w:space="0" w:color="auto"/>
          </w:tblBorders>
        </w:tblPrEx>
        <w:trPr>
          <w:trHeight w:hRule="exact" w:val="113"/>
        </w:trPr>
        <w:tc>
          <w:tcPr>
            <w:tcW w:w="2407" w:type="dxa"/>
            <w:tcBorders>
              <w:top w:val="single" w:sz="12" w:space="0" w:color="auto"/>
            </w:tcBorders>
            <w:shd w:val="clear" w:color="auto" w:fill="auto"/>
            <w:vAlign w:val="bottom"/>
          </w:tcPr>
          <w:p w14:paraId="45050A91" w14:textId="77777777" w:rsidR="001264F0" w:rsidRPr="001264F0" w:rsidRDefault="001264F0" w:rsidP="001264F0">
            <w:pPr>
              <w:spacing w:before="80" w:after="80" w:line="200" w:lineRule="exact"/>
              <w:ind w:right="113"/>
              <w:rPr>
                <w:i/>
                <w:sz w:val="16"/>
              </w:rPr>
            </w:pPr>
          </w:p>
        </w:tc>
        <w:tc>
          <w:tcPr>
            <w:tcW w:w="2410" w:type="dxa"/>
            <w:tcBorders>
              <w:top w:val="single" w:sz="12" w:space="0" w:color="auto"/>
            </w:tcBorders>
            <w:shd w:val="clear" w:color="auto" w:fill="auto"/>
            <w:vAlign w:val="bottom"/>
          </w:tcPr>
          <w:p w14:paraId="6D7348DF" w14:textId="77777777" w:rsidR="001264F0" w:rsidRPr="001264F0" w:rsidRDefault="001264F0" w:rsidP="001264F0">
            <w:pPr>
              <w:spacing w:before="80" w:after="80" w:line="200" w:lineRule="exact"/>
              <w:ind w:right="113"/>
              <w:rPr>
                <w:i/>
                <w:sz w:val="16"/>
              </w:rPr>
            </w:pPr>
          </w:p>
        </w:tc>
        <w:tc>
          <w:tcPr>
            <w:tcW w:w="2410" w:type="dxa"/>
            <w:tcBorders>
              <w:top w:val="single" w:sz="12" w:space="0" w:color="auto"/>
            </w:tcBorders>
            <w:shd w:val="clear" w:color="auto" w:fill="auto"/>
            <w:vAlign w:val="bottom"/>
          </w:tcPr>
          <w:p w14:paraId="7ABF77F0" w14:textId="77777777" w:rsidR="001264F0" w:rsidRPr="001264F0" w:rsidRDefault="001264F0" w:rsidP="001264F0">
            <w:pPr>
              <w:spacing w:before="80" w:after="80" w:line="200" w:lineRule="exact"/>
              <w:ind w:right="113"/>
              <w:rPr>
                <w:i/>
                <w:sz w:val="16"/>
              </w:rPr>
            </w:pPr>
          </w:p>
        </w:tc>
        <w:tc>
          <w:tcPr>
            <w:tcW w:w="2410" w:type="dxa"/>
            <w:tcBorders>
              <w:top w:val="single" w:sz="12" w:space="0" w:color="auto"/>
            </w:tcBorders>
            <w:shd w:val="clear" w:color="auto" w:fill="auto"/>
            <w:vAlign w:val="bottom"/>
          </w:tcPr>
          <w:p w14:paraId="1E6925CE" w14:textId="77777777" w:rsidR="001264F0" w:rsidRPr="001264F0" w:rsidRDefault="001264F0" w:rsidP="001264F0">
            <w:pPr>
              <w:spacing w:before="80" w:after="80" w:line="200" w:lineRule="exact"/>
              <w:ind w:right="113"/>
              <w:rPr>
                <w:i/>
                <w:sz w:val="16"/>
              </w:rPr>
            </w:pPr>
          </w:p>
        </w:tc>
      </w:tr>
    </w:tbl>
    <w:p w14:paraId="0F0A53A2" w14:textId="77777777" w:rsidR="00A4011E" w:rsidRPr="001264F0" w:rsidRDefault="00A81300" w:rsidP="001264F0">
      <w:pPr>
        <w:pStyle w:val="H23G"/>
      </w:pPr>
      <w:r w:rsidRPr="001264F0">
        <w:tab/>
      </w:r>
      <w:r w:rsidR="0000435D" w:rsidRPr="001264F0">
        <w:tab/>
        <w:t>Country visits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3C3A75" w:rsidRPr="001264F0" w14:paraId="7DC65CF7" w14:textId="77777777" w:rsidTr="0000435D">
        <w:tc>
          <w:tcPr>
            <w:tcW w:w="3211" w:type="dxa"/>
            <w:tcBorders>
              <w:top w:val="single" w:sz="4" w:space="0" w:color="auto"/>
              <w:bottom w:val="single" w:sz="12" w:space="0" w:color="auto"/>
            </w:tcBorders>
            <w:shd w:val="clear" w:color="auto" w:fill="auto"/>
            <w:vAlign w:val="bottom"/>
          </w:tcPr>
          <w:p w14:paraId="1A371F62" w14:textId="77777777" w:rsidR="003C3A75" w:rsidRPr="00027CC0" w:rsidRDefault="0000435D" w:rsidP="001264F0">
            <w:pPr>
              <w:spacing w:before="40" w:after="120"/>
              <w:ind w:right="113"/>
              <w:rPr>
                <w:i/>
                <w:sz w:val="16"/>
              </w:rPr>
            </w:pPr>
            <w:r w:rsidRPr="00027CC0">
              <w:rPr>
                <w:i/>
                <w:sz w:val="16"/>
              </w:rPr>
              <w:t>Treaty body</w:t>
            </w:r>
          </w:p>
        </w:tc>
        <w:tc>
          <w:tcPr>
            <w:tcW w:w="3213" w:type="dxa"/>
            <w:tcBorders>
              <w:top w:val="single" w:sz="4" w:space="0" w:color="auto"/>
              <w:bottom w:val="single" w:sz="12" w:space="0" w:color="auto"/>
            </w:tcBorders>
            <w:shd w:val="clear" w:color="auto" w:fill="auto"/>
            <w:vAlign w:val="bottom"/>
          </w:tcPr>
          <w:p w14:paraId="4FBBA88D" w14:textId="77777777" w:rsidR="003C3A75" w:rsidRPr="00027CC0" w:rsidRDefault="0000435D" w:rsidP="001264F0">
            <w:pPr>
              <w:spacing w:before="40" w:after="120"/>
              <w:ind w:right="113"/>
              <w:rPr>
                <w:i/>
                <w:sz w:val="16"/>
              </w:rPr>
            </w:pPr>
            <w:r w:rsidRPr="00027CC0">
              <w:rPr>
                <w:i/>
                <w:sz w:val="16"/>
              </w:rPr>
              <w:t>Date</w:t>
            </w:r>
          </w:p>
        </w:tc>
        <w:tc>
          <w:tcPr>
            <w:tcW w:w="3213" w:type="dxa"/>
            <w:tcBorders>
              <w:top w:val="single" w:sz="4" w:space="0" w:color="auto"/>
              <w:bottom w:val="single" w:sz="12" w:space="0" w:color="auto"/>
            </w:tcBorders>
            <w:shd w:val="clear" w:color="auto" w:fill="auto"/>
            <w:vAlign w:val="bottom"/>
          </w:tcPr>
          <w:p w14:paraId="6D3DFAAB" w14:textId="77777777" w:rsidR="003C3A75" w:rsidRPr="00027CC0" w:rsidRDefault="0000435D" w:rsidP="001264F0">
            <w:pPr>
              <w:spacing w:before="40" w:after="120"/>
              <w:ind w:right="113"/>
              <w:rPr>
                <w:i/>
                <w:sz w:val="16"/>
              </w:rPr>
            </w:pPr>
            <w:r w:rsidRPr="00027CC0">
              <w:rPr>
                <w:i/>
                <w:sz w:val="16"/>
              </w:rPr>
              <w:t>Subject matter</w:t>
            </w:r>
          </w:p>
        </w:tc>
      </w:tr>
      <w:tr w:rsidR="003C3A75" w:rsidRPr="00B22B96" w14:paraId="77064F97" w14:textId="77777777" w:rsidTr="0000435D">
        <w:trPr>
          <w:trHeight w:hRule="exact" w:val="113"/>
        </w:trPr>
        <w:tc>
          <w:tcPr>
            <w:tcW w:w="3211" w:type="dxa"/>
            <w:tcBorders>
              <w:top w:val="single" w:sz="12" w:space="0" w:color="auto"/>
            </w:tcBorders>
            <w:shd w:val="clear" w:color="auto" w:fill="auto"/>
            <w:vAlign w:val="bottom"/>
          </w:tcPr>
          <w:p w14:paraId="3DE970D5" w14:textId="77777777" w:rsidR="003C3A75" w:rsidRPr="00B22B96" w:rsidRDefault="003C3A75" w:rsidP="00B22B96">
            <w:pPr>
              <w:spacing w:before="40" w:after="120"/>
              <w:ind w:right="113"/>
              <w:rPr>
                <w:sz w:val="16"/>
              </w:rPr>
            </w:pPr>
          </w:p>
        </w:tc>
        <w:tc>
          <w:tcPr>
            <w:tcW w:w="3213" w:type="dxa"/>
            <w:tcBorders>
              <w:top w:val="single" w:sz="12" w:space="0" w:color="auto"/>
            </w:tcBorders>
            <w:shd w:val="clear" w:color="auto" w:fill="auto"/>
            <w:vAlign w:val="bottom"/>
          </w:tcPr>
          <w:p w14:paraId="3F9A7405" w14:textId="77777777" w:rsidR="003C3A75" w:rsidRPr="00B22B96" w:rsidRDefault="003C3A75" w:rsidP="00B22B96">
            <w:pPr>
              <w:spacing w:before="40" w:after="120"/>
              <w:ind w:right="113"/>
              <w:rPr>
                <w:sz w:val="16"/>
              </w:rPr>
            </w:pPr>
          </w:p>
        </w:tc>
        <w:tc>
          <w:tcPr>
            <w:tcW w:w="3213" w:type="dxa"/>
            <w:tcBorders>
              <w:top w:val="single" w:sz="12" w:space="0" w:color="auto"/>
            </w:tcBorders>
            <w:shd w:val="clear" w:color="auto" w:fill="auto"/>
            <w:vAlign w:val="bottom"/>
          </w:tcPr>
          <w:p w14:paraId="2361B916" w14:textId="77777777" w:rsidR="003C3A75" w:rsidRPr="00B22B96" w:rsidRDefault="003C3A75" w:rsidP="00B22B96">
            <w:pPr>
              <w:spacing w:before="40" w:after="120"/>
              <w:ind w:right="113"/>
              <w:rPr>
                <w:sz w:val="16"/>
              </w:rPr>
            </w:pPr>
          </w:p>
        </w:tc>
      </w:tr>
      <w:tr w:rsidR="003C3A75" w:rsidRPr="003C3A75" w14:paraId="35F1F83E" w14:textId="77777777" w:rsidTr="0000435D">
        <w:tc>
          <w:tcPr>
            <w:tcW w:w="3211" w:type="dxa"/>
            <w:tcBorders>
              <w:bottom w:val="single" w:sz="12" w:space="0" w:color="auto"/>
            </w:tcBorders>
            <w:shd w:val="clear" w:color="auto" w:fill="auto"/>
          </w:tcPr>
          <w:p w14:paraId="48284273" w14:textId="77777777" w:rsidR="003C3A75" w:rsidRPr="003C3A75" w:rsidRDefault="0000435D" w:rsidP="003C3A75">
            <w:pPr>
              <w:spacing w:before="40" w:after="120"/>
              <w:ind w:right="113"/>
            </w:pPr>
            <w:r>
              <w:t>SPT</w:t>
            </w:r>
          </w:p>
        </w:tc>
        <w:tc>
          <w:tcPr>
            <w:tcW w:w="3213" w:type="dxa"/>
            <w:tcBorders>
              <w:bottom w:val="single" w:sz="12" w:space="0" w:color="auto"/>
            </w:tcBorders>
            <w:shd w:val="clear" w:color="auto" w:fill="auto"/>
          </w:tcPr>
          <w:p w14:paraId="4B8A1383" w14:textId="77777777" w:rsidR="003C3A75" w:rsidRPr="003C3A75" w:rsidRDefault="00027CC0" w:rsidP="003C3A75">
            <w:pPr>
              <w:spacing w:before="40" w:after="120"/>
              <w:ind w:right="113"/>
            </w:pPr>
            <w:r>
              <w:t>March 2018</w:t>
            </w:r>
          </w:p>
        </w:tc>
        <w:tc>
          <w:tcPr>
            <w:tcW w:w="3213" w:type="dxa"/>
            <w:tcBorders>
              <w:bottom w:val="single" w:sz="12" w:space="0" w:color="auto"/>
            </w:tcBorders>
            <w:shd w:val="clear" w:color="auto" w:fill="auto"/>
          </w:tcPr>
          <w:p w14:paraId="0B1B6B59" w14:textId="77777777" w:rsidR="003C3A75" w:rsidRPr="003C3A75" w:rsidRDefault="00027CC0" w:rsidP="003C3A75">
            <w:pPr>
              <w:spacing w:before="40" w:after="120"/>
              <w:ind w:right="113"/>
            </w:pPr>
            <w:r>
              <w:t>--</w:t>
            </w:r>
          </w:p>
        </w:tc>
      </w:tr>
    </w:tbl>
    <w:bookmarkEnd w:id="4"/>
    <w:p w14:paraId="1ECD443B" w14:textId="77777777" w:rsidR="00A02BFB" w:rsidRPr="0025642D" w:rsidRDefault="00A02BFB" w:rsidP="0025642D">
      <w:pPr>
        <w:pStyle w:val="H1G"/>
      </w:pPr>
      <w:r w:rsidRPr="0025642D">
        <w:tab/>
        <w:t>B.</w:t>
      </w:r>
      <w:r w:rsidRPr="0025642D">
        <w:tab/>
      </w:r>
      <w:r w:rsidR="00C3403A" w:rsidRPr="00C3403A">
        <w:t>Cooperation with special procedures</w:t>
      </w:r>
      <w:r w:rsidR="00C3403A" w:rsidRPr="00C3403A">
        <w:rPr>
          <w:rStyle w:val="EndnoteReference"/>
          <w:b w:val="0"/>
        </w:rPr>
        <w:endnoteReference w:id="27"/>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0344575F" w14:textId="77777777" w:rsidTr="00F05678">
        <w:tc>
          <w:tcPr>
            <w:tcW w:w="3211" w:type="dxa"/>
            <w:tcBorders>
              <w:top w:val="single" w:sz="4" w:space="0" w:color="auto"/>
              <w:bottom w:val="single" w:sz="12" w:space="0" w:color="auto"/>
            </w:tcBorders>
            <w:shd w:val="clear" w:color="auto" w:fill="auto"/>
            <w:vAlign w:val="bottom"/>
          </w:tcPr>
          <w:p w14:paraId="43BF5FE1"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FCE096A" w14:textId="77777777" w:rsidR="009E78E3" w:rsidRPr="00A81300" w:rsidRDefault="009E78E3" w:rsidP="00C500EF">
            <w:pPr>
              <w:spacing w:before="40" w:after="120"/>
              <w:ind w:right="113"/>
              <w:rPr>
                <w:i/>
                <w:sz w:val="16"/>
              </w:rPr>
            </w:pPr>
            <w:r w:rsidRPr="00A81300">
              <w:rPr>
                <w:i/>
                <w:sz w:val="16"/>
              </w:rPr>
              <w:t>Status during previous cycle</w:t>
            </w:r>
          </w:p>
        </w:tc>
        <w:tc>
          <w:tcPr>
            <w:tcW w:w="3400" w:type="dxa"/>
            <w:tcBorders>
              <w:top w:val="single" w:sz="4" w:space="0" w:color="auto"/>
              <w:bottom w:val="single" w:sz="12" w:space="0" w:color="auto"/>
            </w:tcBorders>
            <w:shd w:val="clear" w:color="auto" w:fill="auto"/>
            <w:vAlign w:val="bottom"/>
          </w:tcPr>
          <w:p w14:paraId="3E4BF6B5" w14:textId="77777777" w:rsidR="009E78E3" w:rsidRPr="00A81300" w:rsidRDefault="009E78E3" w:rsidP="00C500EF">
            <w:pPr>
              <w:spacing w:before="40" w:after="120"/>
              <w:ind w:right="113"/>
              <w:rPr>
                <w:i/>
                <w:sz w:val="16"/>
              </w:rPr>
            </w:pPr>
            <w:r w:rsidRPr="00A81300">
              <w:rPr>
                <w:i/>
                <w:sz w:val="16"/>
              </w:rPr>
              <w:t>Current status</w:t>
            </w:r>
          </w:p>
        </w:tc>
      </w:tr>
      <w:tr w:rsidR="009E78E3" w:rsidRPr="009E78E3" w14:paraId="38F0CBDA" w14:textId="77777777" w:rsidTr="00F05678">
        <w:trPr>
          <w:trHeight w:hRule="exact" w:val="113"/>
        </w:trPr>
        <w:tc>
          <w:tcPr>
            <w:tcW w:w="3211" w:type="dxa"/>
            <w:tcBorders>
              <w:top w:val="single" w:sz="12" w:space="0" w:color="auto"/>
            </w:tcBorders>
            <w:shd w:val="clear" w:color="auto" w:fill="auto"/>
            <w:vAlign w:val="bottom"/>
          </w:tcPr>
          <w:p w14:paraId="6FD89447"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62BD4D8C"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1354D80B" w14:textId="77777777" w:rsidR="009E78E3" w:rsidRPr="0028001D" w:rsidRDefault="009E78E3" w:rsidP="0028001D">
            <w:pPr>
              <w:spacing w:before="80" w:after="80" w:line="200" w:lineRule="exact"/>
              <w:ind w:right="113"/>
              <w:rPr>
                <w:i/>
                <w:sz w:val="16"/>
              </w:rPr>
            </w:pPr>
          </w:p>
        </w:tc>
      </w:tr>
      <w:tr w:rsidR="003E33AE" w:rsidRPr="009E78E3" w14:paraId="53B7E8CF" w14:textId="77777777" w:rsidTr="00F05678">
        <w:tc>
          <w:tcPr>
            <w:tcW w:w="3211" w:type="dxa"/>
            <w:shd w:val="clear" w:color="auto" w:fill="auto"/>
          </w:tcPr>
          <w:p w14:paraId="08C94A55"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2D355414" w14:textId="77777777" w:rsidR="003E33AE" w:rsidRPr="00C3403A" w:rsidRDefault="00C3403A" w:rsidP="0028001D">
            <w:pPr>
              <w:spacing w:before="40" w:after="120"/>
              <w:ind w:right="113"/>
            </w:pPr>
            <w:r w:rsidRPr="00C3403A">
              <w:t>Yes</w:t>
            </w:r>
          </w:p>
        </w:tc>
        <w:tc>
          <w:tcPr>
            <w:tcW w:w="3400" w:type="dxa"/>
            <w:shd w:val="clear" w:color="auto" w:fill="auto"/>
          </w:tcPr>
          <w:p w14:paraId="71E75BC1" w14:textId="77777777" w:rsidR="003E33AE" w:rsidRPr="00C3403A" w:rsidRDefault="00C3403A" w:rsidP="0028001D">
            <w:pPr>
              <w:spacing w:before="40" w:after="120"/>
              <w:ind w:right="113"/>
            </w:pPr>
            <w:r w:rsidRPr="00C3403A">
              <w:t>Yes</w:t>
            </w:r>
          </w:p>
        </w:tc>
      </w:tr>
      <w:tr w:rsidR="009E78E3" w:rsidRPr="009E78E3" w14:paraId="08C7521A" w14:textId="77777777" w:rsidTr="00F05678">
        <w:tc>
          <w:tcPr>
            <w:tcW w:w="3211" w:type="dxa"/>
            <w:shd w:val="clear" w:color="auto" w:fill="auto"/>
          </w:tcPr>
          <w:p w14:paraId="516B240A"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1652817B" w14:textId="77777777" w:rsidR="00C3403A" w:rsidRPr="00C3403A" w:rsidRDefault="00C3403A" w:rsidP="006D23FF">
            <w:pPr>
              <w:ind w:right="113"/>
            </w:pPr>
            <w:r w:rsidRPr="00C3403A">
              <w:t>Torture (21–27 March 2009)</w:t>
            </w:r>
          </w:p>
          <w:p w14:paraId="763E0A19" w14:textId="77777777" w:rsidR="00C3403A" w:rsidRPr="00C3403A" w:rsidRDefault="00C3403A" w:rsidP="006D23FF">
            <w:pPr>
              <w:ind w:right="113"/>
            </w:pPr>
            <w:r w:rsidRPr="00C3403A">
              <w:t>Trafficking (13–17 September 2010)</w:t>
            </w:r>
          </w:p>
          <w:p w14:paraId="451646AF" w14:textId="77777777" w:rsidR="00C3403A" w:rsidRPr="00C3403A" w:rsidRDefault="00C3403A" w:rsidP="006D23FF">
            <w:pPr>
              <w:ind w:right="113"/>
            </w:pPr>
            <w:r w:rsidRPr="00C3403A">
              <w:t>Water and sanitation</w:t>
            </w:r>
          </w:p>
          <w:p w14:paraId="02A28D1B" w14:textId="77777777" w:rsidR="00C3403A" w:rsidRPr="00C3403A" w:rsidRDefault="00C3403A" w:rsidP="006D23FF">
            <w:pPr>
              <w:ind w:right="113"/>
            </w:pPr>
            <w:r w:rsidRPr="00C3403A">
              <w:t>(13–17 February 2012)</w:t>
            </w:r>
          </w:p>
          <w:p w14:paraId="310BFD02" w14:textId="77777777" w:rsidR="00C3403A" w:rsidRPr="00C3403A" w:rsidRDefault="00C3403A" w:rsidP="006D23FF">
            <w:pPr>
              <w:ind w:right="113"/>
            </w:pPr>
            <w:r w:rsidRPr="00C3403A">
              <w:t>Right to truth (30 September–4</w:t>
            </w:r>
          </w:p>
          <w:p w14:paraId="33F5F20C" w14:textId="77777777" w:rsidR="00A850C2" w:rsidRPr="009E78E3" w:rsidRDefault="00C3403A" w:rsidP="006D23FF">
            <w:pPr>
              <w:ind w:right="113"/>
            </w:pPr>
            <w:r w:rsidRPr="00C3403A">
              <w:t>October 2013)</w:t>
            </w:r>
          </w:p>
        </w:tc>
        <w:tc>
          <w:tcPr>
            <w:tcW w:w="3400" w:type="dxa"/>
            <w:shd w:val="clear" w:color="auto" w:fill="auto"/>
          </w:tcPr>
          <w:p w14:paraId="16929E11" w14:textId="77777777" w:rsidR="00A850C2" w:rsidRDefault="006D23FF" w:rsidP="00730838">
            <w:pPr>
              <w:spacing w:before="40" w:after="120"/>
              <w:ind w:right="113"/>
            </w:pPr>
            <w:r w:rsidRPr="006D23FF">
              <w:t>SR on Environment (from 24 April 2017 to 28 April 2017)</w:t>
            </w:r>
          </w:p>
          <w:p w14:paraId="7D53894D" w14:textId="50C911B1" w:rsidR="00F05678" w:rsidRPr="009E78E3" w:rsidRDefault="00F05678" w:rsidP="00730838">
            <w:pPr>
              <w:spacing w:before="40" w:after="120"/>
              <w:ind w:right="113"/>
            </w:pPr>
            <w:r w:rsidRPr="00F05678">
              <w:t>IE on older persons (  from 19 November 2018 to 30 November 2018)</w:t>
            </w:r>
          </w:p>
        </w:tc>
      </w:tr>
      <w:tr w:rsidR="009E78E3" w:rsidRPr="009E78E3" w14:paraId="39207D3C" w14:textId="77777777" w:rsidTr="00F05678">
        <w:tc>
          <w:tcPr>
            <w:tcW w:w="3211" w:type="dxa"/>
            <w:shd w:val="clear" w:color="auto" w:fill="auto"/>
          </w:tcPr>
          <w:p w14:paraId="61A55E20"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2018D1AF" w14:textId="77777777" w:rsidR="00BA732B" w:rsidRPr="00A31ADE" w:rsidRDefault="00BA732B" w:rsidP="00A31ADE">
            <w:pPr>
              <w:spacing w:before="40" w:after="120"/>
              <w:ind w:right="113"/>
            </w:pPr>
          </w:p>
        </w:tc>
        <w:tc>
          <w:tcPr>
            <w:tcW w:w="3400" w:type="dxa"/>
            <w:shd w:val="clear" w:color="auto" w:fill="auto"/>
          </w:tcPr>
          <w:p w14:paraId="7330FB2A" w14:textId="67ED7A16" w:rsidR="00BA732B" w:rsidRPr="00A31ADE" w:rsidRDefault="00BA732B" w:rsidP="00A31ADE">
            <w:pPr>
              <w:spacing w:before="40" w:after="120"/>
              <w:rPr>
                <w:rFonts w:eastAsia="Calibri"/>
                <w:lang w:eastAsia="en-GB"/>
              </w:rPr>
            </w:pPr>
          </w:p>
        </w:tc>
      </w:tr>
      <w:tr w:rsidR="009E78E3" w:rsidRPr="009E78E3" w14:paraId="4357A7C9" w14:textId="77777777" w:rsidTr="00F05678">
        <w:tc>
          <w:tcPr>
            <w:tcW w:w="3211" w:type="dxa"/>
            <w:shd w:val="clear" w:color="auto" w:fill="auto"/>
          </w:tcPr>
          <w:p w14:paraId="2E712DC1"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46F51F7A" w14:textId="77777777" w:rsidR="003E6998" w:rsidRPr="00A31ADE" w:rsidRDefault="003E6998" w:rsidP="00A31ADE">
            <w:pPr>
              <w:spacing w:before="40" w:after="120"/>
              <w:ind w:right="113"/>
              <w:rPr>
                <w:highlight w:val="yellow"/>
              </w:rPr>
            </w:pPr>
          </w:p>
        </w:tc>
        <w:tc>
          <w:tcPr>
            <w:tcW w:w="3400" w:type="dxa"/>
            <w:shd w:val="clear" w:color="auto" w:fill="auto"/>
          </w:tcPr>
          <w:p w14:paraId="44C56768" w14:textId="77777777" w:rsidR="006D23FF" w:rsidRPr="006D23FF" w:rsidRDefault="006D23FF" w:rsidP="006D23FF">
            <w:pPr>
              <w:ind w:right="113"/>
            </w:pPr>
            <w:r w:rsidRPr="006D23FF">
              <w:t>SR on Privacy</w:t>
            </w:r>
          </w:p>
          <w:p w14:paraId="641CE3AF" w14:textId="77777777" w:rsidR="00BA732B" w:rsidRPr="00A31ADE" w:rsidRDefault="006D23FF" w:rsidP="006D23FF">
            <w:pPr>
              <w:ind w:right="113"/>
              <w:rPr>
                <w:highlight w:val="yellow"/>
              </w:rPr>
            </w:pPr>
            <w:r w:rsidRPr="006D23FF">
              <w:t>SR on Food</w:t>
            </w:r>
          </w:p>
        </w:tc>
      </w:tr>
      <w:tr w:rsidR="009D3FA1" w:rsidRPr="009D3FA1" w14:paraId="6C06BDE1" w14:textId="77777777" w:rsidTr="00F05678">
        <w:trPr>
          <w:trHeight w:hRule="exact" w:val="113"/>
        </w:trPr>
        <w:tc>
          <w:tcPr>
            <w:tcW w:w="3211" w:type="dxa"/>
            <w:tcBorders>
              <w:top w:val="single" w:sz="12" w:space="0" w:color="auto"/>
            </w:tcBorders>
            <w:shd w:val="clear" w:color="auto" w:fill="auto"/>
            <w:vAlign w:val="bottom"/>
          </w:tcPr>
          <w:p w14:paraId="14CCA37D"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09A8A13E"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253E8F28" w14:textId="77777777" w:rsidR="009D3FA1" w:rsidRPr="0028001D" w:rsidRDefault="009D3FA1" w:rsidP="0028001D">
            <w:pPr>
              <w:spacing w:before="80" w:after="80" w:line="200" w:lineRule="exact"/>
              <w:ind w:right="113"/>
              <w:rPr>
                <w:i/>
                <w:sz w:val="16"/>
              </w:rPr>
            </w:pPr>
          </w:p>
        </w:tc>
      </w:tr>
      <w:tr w:rsidR="009D3FA1" w:rsidRPr="009D3FA1" w14:paraId="4488F59E" w14:textId="77777777" w:rsidTr="00F05678">
        <w:tc>
          <w:tcPr>
            <w:tcW w:w="3211" w:type="dxa"/>
            <w:shd w:val="clear" w:color="auto" w:fill="auto"/>
          </w:tcPr>
          <w:p w14:paraId="59AF647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14:paraId="38ADE94C" w14:textId="4B1BCC08" w:rsidR="001550B8" w:rsidRPr="009D3FA1" w:rsidRDefault="00896CDD" w:rsidP="008607E2">
            <w:pPr>
              <w:spacing w:before="40" w:after="120"/>
              <w:ind w:right="113"/>
            </w:pPr>
            <w:r>
              <w:t xml:space="preserve">During the period under review </w:t>
            </w:r>
            <w:r w:rsidR="001550B8">
              <w:t>4</w:t>
            </w:r>
            <w:r w:rsidR="009D3FA1">
              <w:t xml:space="preserve"> communications were sent</w:t>
            </w:r>
            <w:r>
              <w:t>. The Government replied to</w:t>
            </w:r>
            <w:r w:rsidR="002B4657">
              <w:t xml:space="preserve"> </w:t>
            </w:r>
            <w:r w:rsidR="008607E2">
              <w:t>3</w:t>
            </w:r>
            <w:r w:rsidR="00D82670">
              <w:t xml:space="preserve"> communications</w:t>
            </w:r>
          </w:p>
        </w:tc>
        <w:tc>
          <w:tcPr>
            <w:tcW w:w="3400" w:type="dxa"/>
            <w:shd w:val="clear" w:color="auto" w:fill="auto"/>
          </w:tcPr>
          <w:p w14:paraId="02DBC7B4" w14:textId="77777777" w:rsidR="009D3FA1" w:rsidRPr="009D3FA1" w:rsidRDefault="009D3FA1" w:rsidP="0028001D">
            <w:pPr>
              <w:spacing w:before="40" w:after="120"/>
              <w:ind w:right="113"/>
            </w:pPr>
          </w:p>
        </w:tc>
      </w:tr>
      <w:tr w:rsidR="001550B8" w:rsidRPr="009D3FA1" w14:paraId="6238BC4D" w14:textId="77777777" w:rsidTr="00F05678">
        <w:tc>
          <w:tcPr>
            <w:tcW w:w="3211" w:type="dxa"/>
            <w:tcBorders>
              <w:bottom w:val="single" w:sz="12" w:space="0" w:color="auto"/>
            </w:tcBorders>
            <w:shd w:val="clear" w:color="auto" w:fill="auto"/>
          </w:tcPr>
          <w:p w14:paraId="55439534" w14:textId="77777777" w:rsidR="001550B8" w:rsidRPr="0028001D" w:rsidRDefault="001550B8" w:rsidP="0028001D">
            <w:pPr>
              <w:spacing w:before="40" w:after="120"/>
              <w:ind w:right="113"/>
              <w:rPr>
                <w:i/>
              </w:rPr>
            </w:pPr>
            <w:r w:rsidRPr="001550B8">
              <w:rPr>
                <w:i/>
              </w:rPr>
              <w:t>Follow-up reports and missions</w:t>
            </w:r>
          </w:p>
        </w:tc>
        <w:tc>
          <w:tcPr>
            <w:tcW w:w="3026" w:type="dxa"/>
            <w:tcBorders>
              <w:bottom w:val="single" w:sz="12" w:space="0" w:color="auto"/>
            </w:tcBorders>
            <w:shd w:val="clear" w:color="auto" w:fill="auto"/>
          </w:tcPr>
          <w:p w14:paraId="1CBFBE77" w14:textId="77777777" w:rsidR="001550B8" w:rsidRDefault="001550B8" w:rsidP="00A81300">
            <w:pPr>
              <w:spacing w:before="40" w:after="120"/>
              <w:ind w:right="113"/>
            </w:pPr>
            <w:r>
              <w:t>Summary executions</w:t>
            </w:r>
          </w:p>
        </w:tc>
        <w:tc>
          <w:tcPr>
            <w:tcW w:w="3400" w:type="dxa"/>
            <w:tcBorders>
              <w:bottom w:val="single" w:sz="12" w:space="0" w:color="auto"/>
            </w:tcBorders>
            <w:shd w:val="clear" w:color="auto" w:fill="auto"/>
          </w:tcPr>
          <w:p w14:paraId="02FA9527" w14:textId="77777777" w:rsidR="001550B8" w:rsidRPr="009D3FA1" w:rsidRDefault="001550B8" w:rsidP="0028001D">
            <w:pPr>
              <w:spacing w:before="40" w:after="120"/>
              <w:ind w:right="113"/>
            </w:pPr>
          </w:p>
        </w:tc>
      </w:tr>
    </w:tbl>
    <w:p w14:paraId="359CCC96" w14:textId="77777777" w:rsidR="00A02BFB" w:rsidRPr="009D3FA1" w:rsidRDefault="00A02BFB" w:rsidP="009D3FA1">
      <w:pPr>
        <w:pStyle w:val="H1G"/>
      </w:pPr>
      <w:r w:rsidRPr="009D3FA1">
        <w:tab/>
        <w:t>C.</w:t>
      </w:r>
      <w:r w:rsidRPr="009D3FA1">
        <w:tab/>
      </w:r>
      <w:r w:rsidR="001550B8" w:rsidRPr="001550B8">
        <w:t>Status of national human rights institutions</w:t>
      </w:r>
      <w:r w:rsidR="001550B8" w:rsidRPr="001550B8">
        <w:rPr>
          <w:rStyle w:val="EndnoteReference"/>
          <w:b w:val="0"/>
        </w:rPr>
        <w:endnoteReference w:id="28"/>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37C3C374" w14:textId="77777777" w:rsidTr="00332822">
        <w:tc>
          <w:tcPr>
            <w:tcW w:w="3211" w:type="dxa"/>
            <w:shd w:val="clear" w:color="auto" w:fill="auto"/>
            <w:vAlign w:val="bottom"/>
          </w:tcPr>
          <w:p w14:paraId="5B617593" w14:textId="77777777"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14:paraId="44E8757F" w14:textId="77777777"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14:paraId="24F074F6" w14:textId="77777777" w:rsidR="00A02BFB" w:rsidRPr="00BE58F1" w:rsidRDefault="00503C50" w:rsidP="0028001D">
            <w:pPr>
              <w:spacing w:before="40" w:after="120"/>
              <w:ind w:right="113"/>
              <w:rPr>
                <w:i/>
                <w:sz w:val="16"/>
              </w:rPr>
            </w:pPr>
            <w:r w:rsidRPr="00503C50">
              <w:rPr>
                <w:i/>
                <w:sz w:val="16"/>
              </w:rPr>
              <w:t>Status during present cycle</w:t>
            </w:r>
            <w:r w:rsidRPr="00503C50">
              <w:rPr>
                <w:rStyle w:val="EndnoteReference"/>
              </w:rPr>
              <w:endnoteReference w:id="29"/>
            </w:r>
          </w:p>
        </w:tc>
      </w:tr>
      <w:tr w:rsidR="00A02BFB" w:rsidRPr="00332822" w14:paraId="3861E7FF" w14:textId="77777777" w:rsidTr="001550B8">
        <w:trPr>
          <w:trHeight w:hRule="exact" w:val="693"/>
        </w:trPr>
        <w:tc>
          <w:tcPr>
            <w:tcW w:w="3211" w:type="dxa"/>
            <w:shd w:val="clear" w:color="auto" w:fill="auto"/>
            <w:vAlign w:val="bottom"/>
          </w:tcPr>
          <w:p w14:paraId="6C2E1AEB" w14:textId="77777777" w:rsidR="00A02BFB" w:rsidRPr="001550B8" w:rsidRDefault="001550B8" w:rsidP="0028001D">
            <w:pPr>
              <w:spacing w:before="80" w:after="80" w:line="200" w:lineRule="exact"/>
              <w:ind w:right="113"/>
            </w:pPr>
            <w:r w:rsidRPr="001550B8">
              <w:rPr>
                <w:lang w:val="fr-CH"/>
              </w:rPr>
              <w:t>Institución Nacional de Derechos Humanos y Defensoría del Pueblo</w:t>
            </w:r>
          </w:p>
        </w:tc>
        <w:tc>
          <w:tcPr>
            <w:tcW w:w="3213" w:type="dxa"/>
            <w:shd w:val="clear" w:color="auto" w:fill="auto"/>
            <w:vAlign w:val="bottom"/>
          </w:tcPr>
          <w:p w14:paraId="3FCBAB26" w14:textId="77777777" w:rsidR="00A02BFB" w:rsidRPr="00A81300" w:rsidRDefault="001550B8" w:rsidP="0028001D">
            <w:pPr>
              <w:spacing w:before="80" w:after="80" w:line="200" w:lineRule="exact"/>
              <w:ind w:right="113"/>
            </w:pPr>
            <w:r>
              <w:t>-</w:t>
            </w:r>
          </w:p>
        </w:tc>
        <w:tc>
          <w:tcPr>
            <w:tcW w:w="3213" w:type="dxa"/>
            <w:shd w:val="clear" w:color="auto" w:fill="auto"/>
            <w:vAlign w:val="bottom"/>
          </w:tcPr>
          <w:p w14:paraId="03719B5D" w14:textId="77777777" w:rsidR="00A02BFB" w:rsidRPr="00A81300" w:rsidRDefault="001550B8" w:rsidP="0028001D">
            <w:pPr>
              <w:spacing w:before="80" w:after="80" w:line="200" w:lineRule="exact"/>
              <w:ind w:right="113"/>
            </w:pPr>
            <w:r w:rsidRPr="001550B8">
              <w:rPr>
                <w:lang w:val="fr-CH"/>
              </w:rPr>
              <w:t>A status (May 2016)</w:t>
            </w:r>
          </w:p>
        </w:tc>
      </w:tr>
    </w:tbl>
    <w:p w14:paraId="1F0DF7BB" w14:textId="77777777" w:rsidR="008B7D95" w:rsidRPr="00A02BFB" w:rsidRDefault="008B7D95" w:rsidP="00B56740"/>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65A8" w14:textId="77777777" w:rsidR="00663D0B" w:rsidRDefault="00663D0B"/>
  </w:endnote>
  <w:endnote w:type="continuationSeparator" w:id="0">
    <w:p w14:paraId="32DDED7C" w14:textId="77777777" w:rsidR="00663D0B" w:rsidRDefault="00663D0B"/>
  </w:endnote>
  <w:endnote w:type="continuationNotice" w:id="1">
    <w:p w14:paraId="3948B69B" w14:textId="77777777" w:rsidR="00663D0B" w:rsidRDefault="00663D0B"/>
  </w:endnote>
  <w:endnote w:id="2">
    <w:p w14:paraId="411FC8EC" w14:textId="77777777" w:rsidR="00D82391" w:rsidRDefault="00D82391" w:rsidP="00D82391">
      <w:pPr>
        <w:pStyle w:val="H4G"/>
      </w:pPr>
      <w:r>
        <w:t>Notes</w:t>
      </w:r>
    </w:p>
    <w:p w14:paraId="7B6BE57D" w14:textId="77777777" w:rsidR="00D82391" w:rsidRPr="00174744" w:rsidRDefault="00D82391" w:rsidP="00D82391">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Uruguay </w:t>
      </w:r>
      <w:r w:rsidRPr="00806A55">
        <w:t>from the previous cycle (A/HRC/WG.6/</w:t>
      </w:r>
      <w:r>
        <w:t>18/URY</w:t>
      </w:r>
      <w:r w:rsidRPr="00806A55">
        <w:t>/2).</w:t>
      </w:r>
    </w:p>
  </w:endnote>
  <w:endnote w:id="3">
    <w:p w14:paraId="754FF1DB" w14:textId="77777777" w:rsidR="00D82391" w:rsidRDefault="00D82391" w:rsidP="00D82391">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16FE4BBB" w14:textId="77777777" w:rsidR="00D82391" w:rsidRPr="00174744" w:rsidRDefault="00D82391" w:rsidP="00D82391">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1550B8">
        <w:rPr>
          <w:szCs w:val="18"/>
        </w:rPr>
        <w:t>;</w:t>
      </w:r>
    </w:p>
    <w:p w14:paraId="34AC1170" w14:textId="77777777" w:rsidR="00D82391" w:rsidRPr="00174744" w:rsidRDefault="00D82391" w:rsidP="00D82391">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1550B8">
        <w:rPr>
          <w:szCs w:val="18"/>
        </w:rPr>
        <w:t>;</w:t>
      </w:r>
    </w:p>
    <w:p w14:paraId="4825BA9F" w14:textId="77777777" w:rsidR="00D82391" w:rsidRPr="00174744" w:rsidRDefault="00D82391" w:rsidP="00D82391">
      <w:pPr>
        <w:pStyle w:val="EndnoteText"/>
        <w:widowControl w:val="0"/>
        <w:ind w:left="3969" w:hanging="2269"/>
        <w:rPr>
          <w:szCs w:val="18"/>
        </w:rPr>
      </w:pPr>
      <w:r w:rsidRPr="00174744">
        <w:rPr>
          <w:szCs w:val="18"/>
        </w:rPr>
        <w:t>OP-ICESCR</w:t>
      </w:r>
      <w:r w:rsidRPr="00174744">
        <w:rPr>
          <w:szCs w:val="18"/>
        </w:rPr>
        <w:tab/>
        <w:t>Optional Protocol to ICESCR</w:t>
      </w:r>
      <w:r w:rsidR="001550B8">
        <w:rPr>
          <w:szCs w:val="18"/>
        </w:rPr>
        <w:t>;</w:t>
      </w:r>
    </w:p>
    <w:p w14:paraId="6A7543CB" w14:textId="77777777" w:rsidR="00D82391" w:rsidRPr="00174744" w:rsidRDefault="00D82391" w:rsidP="00D82391">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1550B8">
        <w:rPr>
          <w:szCs w:val="18"/>
        </w:rPr>
        <w:t>;</w:t>
      </w:r>
    </w:p>
    <w:p w14:paraId="2FB6C160" w14:textId="77777777" w:rsidR="00D82391" w:rsidRPr="00174744" w:rsidRDefault="00D82391" w:rsidP="00D82391">
      <w:pPr>
        <w:pStyle w:val="EndnoteText"/>
        <w:widowControl w:val="0"/>
        <w:ind w:left="3969" w:hanging="2268"/>
        <w:rPr>
          <w:szCs w:val="18"/>
        </w:rPr>
      </w:pPr>
      <w:r w:rsidRPr="00174744">
        <w:rPr>
          <w:szCs w:val="18"/>
        </w:rPr>
        <w:t>ICCPR-OP 1</w:t>
      </w:r>
      <w:r w:rsidRPr="00174744">
        <w:rPr>
          <w:szCs w:val="18"/>
        </w:rPr>
        <w:tab/>
        <w:t>Optional Protocol to ICCPR</w:t>
      </w:r>
      <w:r w:rsidR="001550B8">
        <w:rPr>
          <w:szCs w:val="18"/>
        </w:rPr>
        <w:t>;</w:t>
      </w:r>
    </w:p>
    <w:p w14:paraId="112558AB" w14:textId="77777777" w:rsidR="00D82391" w:rsidRPr="00174744" w:rsidRDefault="00D82391" w:rsidP="00D82391">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1550B8">
        <w:rPr>
          <w:szCs w:val="18"/>
        </w:rPr>
        <w:t>;</w:t>
      </w:r>
    </w:p>
    <w:p w14:paraId="60C754F6" w14:textId="77777777" w:rsidR="00D82391" w:rsidRPr="00174744" w:rsidRDefault="00D82391" w:rsidP="00D82391">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1550B8">
        <w:rPr>
          <w:szCs w:val="18"/>
        </w:rPr>
        <w:t>;</w:t>
      </w:r>
    </w:p>
    <w:p w14:paraId="5A134E16" w14:textId="77777777" w:rsidR="00D82391" w:rsidRPr="00174744" w:rsidRDefault="00D82391" w:rsidP="00D82391">
      <w:pPr>
        <w:pStyle w:val="EndnoteText"/>
        <w:widowControl w:val="0"/>
        <w:ind w:left="3969" w:hanging="2269"/>
        <w:rPr>
          <w:szCs w:val="18"/>
        </w:rPr>
      </w:pPr>
      <w:r w:rsidRPr="00174744">
        <w:rPr>
          <w:szCs w:val="18"/>
        </w:rPr>
        <w:t>OP-CEDAW</w:t>
      </w:r>
      <w:r w:rsidRPr="00174744">
        <w:rPr>
          <w:szCs w:val="18"/>
        </w:rPr>
        <w:tab/>
        <w:t>Optional Protocol to CEDAW</w:t>
      </w:r>
      <w:r w:rsidR="001550B8">
        <w:rPr>
          <w:szCs w:val="18"/>
        </w:rPr>
        <w:t>;</w:t>
      </w:r>
    </w:p>
    <w:p w14:paraId="31A79156" w14:textId="77777777" w:rsidR="00D82391" w:rsidRPr="00174744" w:rsidRDefault="00D82391" w:rsidP="00D82391">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1550B8">
        <w:rPr>
          <w:szCs w:val="18"/>
        </w:rPr>
        <w:t>;</w:t>
      </w:r>
    </w:p>
    <w:p w14:paraId="047F66F0" w14:textId="77777777" w:rsidR="00D82391" w:rsidRPr="00174744" w:rsidRDefault="00D82391" w:rsidP="00D82391">
      <w:pPr>
        <w:pStyle w:val="EndnoteText"/>
        <w:widowControl w:val="0"/>
        <w:ind w:left="3969" w:hanging="2269"/>
        <w:rPr>
          <w:szCs w:val="18"/>
        </w:rPr>
      </w:pPr>
      <w:r w:rsidRPr="00174744">
        <w:rPr>
          <w:szCs w:val="18"/>
        </w:rPr>
        <w:t>OP-CAT</w:t>
      </w:r>
      <w:r w:rsidRPr="00174744">
        <w:rPr>
          <w:szCs w:val="18"/>
        </w:rPr>
        <w:tab/>
        <w:t>Optional Protocol to CAT</w:t>
      </w:r>
      <w:r w:rsidR="001550B8">
        <w:rPr>
          <w:szCs w:val="18"/>
        </w:rPr>
        <w:t>;</w:t>
      </w:r>
    </w:p>
    <w:p w14:paraId="269CBEBC" w14:textId="77777777" w:rsidR="00D82391" w:rsidRPr="00174744" w:rsidRDefault="00D82391" w:rsidP="00D82391">
      <w:pPr>
        <w:pStyle w:val="EndnoteText"/>
        <w:widowControl w:val="0"/>
        <w:ind w:left="3969" w:hanging="2269"/>
        <w:rPr>
          <w:szCs w:val="18"/>
        </w:rPr>
      </w:pPr>
      <w:r w:rsidRPr="00174744">
        <w:rPr>
          <w:szCs w:val="18"/>
        </w:rPr>
        <w:t>CRC</w:t>
      </w:r>
      <w:r w:rsidRPr="00174744">
        <w:rPr>
          <w:szCs w:val="18"/>
        </w:rPr>
        <w:tab/>
        <w:t>Convention on the Rights of the Child</w:t>
      </w:r>
      <w:r w:rsidR="001550B8">
        <w:rPr>
          <w:szCs w:val="18"/>
        </w:rPr>
        <w:t>;</w:t>
      </w:r>
    </w:p>
    <w:p w14:paraId="664DF8F4" w14:textId="77777777" w:rsidR="00D82391" w:rsidRPr="00174744" w:rsidRDefault="00D82391" w:rsidP="00D82391">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1550B8">
        <w:rPr>
          <w:szCs w:val="18"/>
        </w:rPr>
        <w:t>;</w:t>
      </w:r>
    </w:p>
    <w:p w14:paraId="58548D7E" w14:textId="77777777" w:rsidR="00D82391" w:rsidRPr="00174744" w:rsidRDefault="00D82391" w:rsidP="00D82391">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1550B8">
        <w:rPr>
          <w:szCs w:val="18"/>
        </w:rPr>
        <w:t>;</w:t>
      </w:r>
    </w:p>
    <w:p w14:paraId="3EC50758" w14:textId="77777777" w:rsidR="00D82391" w:rsidRPr="00174744" w:rsidRDefault="00D82391" w:rsidP="00D82391">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1550B8">
        <w:rPr>
          <w:szCs w:val="18"/>
        </w:rPr>
        <w:t>;</w:t>
      </w:r>
    </w:p>
    <w:p w14:paraId="27B79C61" w14:textId="77777777" w:rsidR="00D82391" w:rsidRPr="00174744" w:rsidRDefault="00D82391" w:rsidP="00D82391">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1550B8">
        <w:rPr>
          <w:szCs w:val="18"/>
        </w:rPr>
        <w:t>;</w:t>
      </w:r>
    </w:p>
    <w:p w14:paraId="49F6EDCF" w14:textId="77777777" w:rsidR="00D82391" w:rsidRPr="00174744" w:rsidRDefault="00D82391" w:rsidP="00D82391">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1550B8">
        <w:rPr>
          <w:szCs w:val="18"/>
        </w:rPr>
        <w:t>;</w:t>
      </w:r>
    </w:p>
    <w:p w14:paraId="210DFD5C" w14:textId="77777777" w:rsidR="00D82391" w:rsidRPr="00174744" w:rsidRDefault="00D82391" w:rsidP="00D82391">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1550B8">
        <w:rPr>
          <w:szCs w:val="18"/>
        </w:rPr>
        <w:t>;</w:t>
      </w:r>
    </w:p>
    <w:p w14:paraId="30BD8020" w14:textId="77777777" w:rsidR="00D82391" w:rsidRPr="00AC3610" w:rsidRDefault="00D82391" w:rsidP="00D82391">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70E90CF6" w14:textId="77777777" w:rsidR="000568A8" w:rsidRPr="00B8554F" w:rsidRDefault="000568A8" w:rsidP="000568A8">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t xml:space="preserve">ICERD, para. 11; </w:t>
      </w:r>
      <w:r w:rsidRPr="00C81253">
        <w:t xml:space="preserve">ICRMW, art. </w:t>
      </w:r>
      <w:r w:rsidRPr="00B8554F">
        <w:t xml:space="preserve">76; ICPPED, art. 32; CAT, art. 21; OP-ICESCR, art. 10; and OP-CRC-IC, art. 12. </w:t>
      </w:r>
      <w:r w:rsidRPr="00B8554F">
        <w:rPr>
          <w:u w:val="single"/>
        </w:rPr>
        <w:t>Urgent action</w:t>
      </w:r>
      <w:r w:rsidRPr="00B8554F">
        <w:t>: ICPPED, art. 30.</w:t>
      </w:r>
    </w:p>
  </w:endnote>
  <w:endnote w:id="5">
    <w:p w14:paraId="37A32231" w14:textId="77777777" w:rsidR="000568A8" w:rsidRPr="00B8554F" w:rsidRDefault="000568A8" w:rsidP="000568A8">
      <w:pPr>
        <w:pStyle w:val="EndnoteText"/>
        <w:widowControl w:val="0"/>
        <w:rPr>
          <w:szCs w:val="18"/>
        </w:rPr>
      </w:pPr>
      <w:r w:rsidRPr="00B8554F">
        <w:rPr>
          <w:szCs w:val="18"/>
        </w:rPr>
        <w:tab/>
      </w:r>
      <w:r w:rsidRPr="00B8554F">
        <w:rPr>
          <w:rStyle w:val="EndnoteReference"/>
          <w:szCs w:val="18"/>
        </w:rPr>
        <w:endnoteRef/>
      </w:r>
      <w:r w:rsidRPr="00B8554F">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B8554F">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08639024" w14:textId="77777777" w:rsidR="000568A8" w:rsidRPr="00B8554F" w:rsidRDefault="000568A8" w:rsidP="000568A8">
      <w:pPr>
        <w:pStyle w:val="EndnoteText"/>
        <w:widowControl w:val="0"/>
        <w:rPr>
          <w:szCs w:val="18"/>
        </w:rPr>
      </w:pPr>
      <w:r w:rsidRPr="00B8554F">
        <w:rPr>
          <w:szCs w:val="18"/>
        </w:rPr>
        <w:tab/>
      </w:r>
      <w:r w:rsidRPr="00B8554F">
        <w:rPr>
          <w:rStyle w:val="EndnoteReference"/>
          <w:szCs w:val="18"/>
        </w:rPr>
        <w:endnoteRef/>
      </w:r>
      <w:r w:rsidRPr="00B8554F">
        <w:rPr>
          <w:szCs w:val="18"/>
        </w:rPr>
        <w:tab/>
        <w:t>1951 Convention relating to the Status of Refugees and its 1967 Protocol, 1954 Convention relating to the Status of Stateless Persons, and 1961 Convention on the Reduction of Statelessness.</w:t>
      </w:r>
    </w:p>
  </w:endnote>
  <w:endnote w:id="7">
    <w:p w14:paraId="6E9D5C7D" w14:textId="77777777" w:rsidR="000568A8" w:rsidRPr="00A82F81" w:rsidRDefault="000568A8" w:rsidP="000568A8">
      <w:pPr>
        <w:pStyle w:val="EndnoteText"/>
        <w:widowControl w:val="0"/>
        <w:tabs>
          <w:tab w:val="clear" w:pos="1021"/>
          <w:tab w:val="right" w:pos="1020"/>
        </w:tabs>
        <w:rPr>
          <w:szCs w:val="18"/>
          <w:lang w:val="en-US"/>
        </w:rPr>
      </w:pPr>
      <w:r w:rsidRPr="00B8554F">
        <w:rPr>
          <w:szCs w:val="18"/>
        </w:rPr>
        <w:tab/>
      </w:r>
      <w:r w:rsidRPr="00B8554F">
        <w:rPr>
          <w:rStyle w:val="EndnoteReference"/>
          <w:szCs w:val="18"/>
        </w:rPr>
        <w:endnoteRef/>
      </w:r>
      <w:r w:rsidRPr="00B8554F">
        <w:rPr>
          <w:szCs w:val="18"/>
        </w:rPr>
        <w:tab/>
      </w:r>
      <w:r w:rsidRPr="00B8554F">
        <w:rPr>
          <w:szCs w:val="18"/>
          <w:lang w:val="en-US"/>
        </w:rPr>
        <w:t xml:space="preserve">Protocol to Prevent, Suppress and Punish Trafficking in Persons, Especially Women and Children, </w:t>
      </w:r>
      <w:r w:rsidRPr="00A82F81">
        <w:rPr>
          <w:szCs w:val="18"/>
          <w:lang w:val="en-US"/>
        </w:rPr>
        <w:t>supplementing the United Nations Convention against Transnational Organized Crime.</w:t>
      </w:r>
    </w:p>
  </w:endnote>
  <w:endnote w:id="8">
    <w:p w14:paraId="25F21615" w14:textId="77777777" w:rsidR="000568A8" w:rsidRPr="00B8554F" w:rsidRDefault="000568A8" w:rsidP="000568A8">
      <w:pPr>
        <w:pStyle w:val="EndnoteText"/>
        <w:rPr>
          <w:szCs w:val="18"/>
        </w:rPr>
      </w:pPr>
      <w:r w:rsidRPr="00A82F81">
        <w:rPr>
          <w:szCs w:val="18"/>
        </w:rPr>
        <w:tab/>
      </w:r>
      <w:r w:rsidRPr="00A82F81">
        <w:rPr>
          <w:rStyle w:val="EndnoteReference"/>
          <w:szCs w:val="18"/>
        </w:rPr>
        <w:endnoteRef/>
      </w:r>
      <w:r w:rsidRPr="00A82F81">
        <w:rPr>
          <w:szCs w:val="18"/>
        </w:rPr>
        <w:tab/>
      </w:r>
      <w:r w:rsidRPr="00B8554F">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5345E20B" w14:textId="77777777" w:rsidR="000568A8" w:rsidRPr="001550B8" w:rsidRDefault="000568A8" w:rsidP="000568A8">
      <w:pPr>
        <w:pStyle w:val="EndnoteText"/>
        <w:rPr>
          <w:szCs w:val="18"/>
        </w:rPr>
      </w:pPr>
      <w:r w:rsidRPr="00A82F81">
        <w:rPr>
          <w:szCs w:val="18"/>
        </w:rPr>
        <w:tab/>
      </w:r>
      <w:r w:rsidRPr="00A82F81">
        <w:rPr>
          <w:rStyle w:val="EndnoteReference"/>
          <w:szCs w:val="18"/>
        </w:rPr>
        <w:endnoteRef/>
      </w:r>
      <w:r w:rsidRPr="00A82F81">
        <w:rPr>
          <w:szCs w:val="18"/>
        </w:rPr>
        <w:tab/>
      </w:r>
      <w:r w:rsidRPr="001550B8">
        <w:rPr>
          <w:szCs w:val="18"/>
        </w:rPr>
        <w:t xml:space="preserve">Domestic Workers </w:t>
      </w:r>
      <w:r w:rsidRPr="001550B8">
        <w:rPr>
          <w:szCs w:val="18"/>
          <w:lang w:val="en-US"/>
        </w:rPr>
        <w:t>Convention, 2011 (No. 189)</w:t>
      </w:r>
      <w:r w:rsidRPr="001550B8">
        <w:rPr>
          <w:szCs w:val="18"/>
        </w:rPr>
        <w:t>.</w:t>
      </w:r>
    </w:p>
  </w:endnote>
  <w:endnote w:id="10">
    <w:p w14:paraId="3AFDA599" w14:textId="77777777" w:rsidR="000568A8" w:rsidRPr="001550B8" w:rsidRDefault="001550B8" w:rsidP="000568A8">
      <w:pPr>
        <w:pStyle w:val="EndnoteText"/>
      </w:pPr>
      <w:r>
        <w:tab/>
      </w:r>
      <w:r w:rsidR="000568A8">
        <w:rPr>
          <w:rStyle w:val="EndnoteReference"/>
        </w:rPr>
        <w:endnoteRef/>
      </w:r>
      <w:r>
        <w:tab/>
      </w:r>
      <w:r w:rsidR="000568A8" w:rsidRPr="001550B8">
        <w:rPr>
          <w:szCs w:val="18"/>
        </w:rPr>
        <w:t>ILO</w:t>
      </w:r>
      <w:r w:rsidR="000568A8" w:rsidRPr="001550B8">
        <w:rPr>
          <w:szCs w:val="18"/>
          <w:lang w:val="en-US"/>
        </w:rPr>
        <w:t xml:space="preserve"> Indigenous and Tribal Peoples Convention, 1989 (No. 169)</w:t>
      </w:r>
    </w:p>
  </w:endnote>
  <w:endnote w:id="11">
    <w:p w14:paraId="2FC6C41C" w14:textId="77777777" w:rsidR="00632720" w:rsidRPr="00A82F81" w:rsidRDefault="00632720" w:rsidP="00632720">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775E44BA" w14:textId="77777777" w:rsidR="00632720" w:rsidRPr="00A82F81" w:rsidRDefault="00632720" w:rsidP="00632720">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1550B8">
        <w:rPr>
          <w:szCs w:val="18"/>
        </w:rPr>
        <w:t>;</w:t>
      </w:r>
    </w:p>
    <w:p w14:paraId="767F9C9C" w14:textId="77777777" w:rsidR="00632720" w:rsidRPr="00A82F81" w:rsidRDefault="00632720" w:rsidP="00632720">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1550B8">
        <w:rPr>
          <w:szCs w:val="18"/>
        </w:rPr>
        <w:t>;</w:t>
      </w:r>
    </w:p>
    <w:p w14:paraId="18A8156B" w14:textId="77777777" w:rsidR="00632720" w:rsidRPr="00A82F81" w:rsidRDefault="00632720" w:rsidP="00632720">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1550B8">
        <w:rPr>
          <w:szCs w:val="18"/>
        </w:rPr>
        <w:t>;</w:t>
      </w:r>
    </w:p>
    <w:p w14:paraId="034A7062" w14:textId="77777777" w:rsidR="00632720" w:rsidRPr="00A82F81" w:rsidRDefault="00632720" w:rsidP="00632720">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1550B8">
        <w:rPr>
          <w:szCs w:val="18"/>
        </w:rPr>
        <w:t>;</w:t>
      </w:r>
    </w:p>
    <w:p w14:paraId="59C61027" w14:textId="77777777" w:rsidR="00632720" w:rsidRPr="00A82F81" w:rsidRDefault="00632720" w:rsidP="00632720">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1550B8">
        <w:rPr>
          <w:szCs w:val="18"/>
        </w:rPr>
        <w:t>;</w:t>
      </w:r>
    </w:p>
    <w:p w14:paraId="1E669CFC" w14:textId="77777777" w:rsidR="00632720" w:rsidRPr="00A82F81" w:rsidRDefault="00632720" w:rsidP="00632720">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1550B8">
        <w:rPr>
          <w:szCs w:val="18"/>
        </w:rPr>
        <w:t>;</w:t>
      </w:r>
    </w:p>
    <w:p w14:paraId="61A140D8" w14:textId="77777777" w:rsidR="00632720" w:rsidRPr="00A82F81" w:rsidRDefault="00632720" w:rsidP="00632720">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1550B8">
        <w:rPr>
          <w:szCs w:val="18"/>
        </w:rPr>
        <w:t>;</w:t>
      </w:r>
    </w:p>
    <w:p w14:paraId="02417B62" w14:textId="77777777" w:rsidR="00632720" w:rsidRPr="00A82F81" w:rsidRDefault="00632720" w:rsidP="00632720">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1550B8">
        <w:rPr>
          <w:szCs w:val="18"/>
        </w:rPr>
        <w:t>;</w:t>
      </w:r>
    </w:p>
    <w:p w14:paraId="25271B12" w14:textId="77777777" w:rsidR="00632720" w:rsidRPr="00A82F81" w:rsidRDefault="00632720" w:rsidP="00632720">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1550B8">
        <w:rPr>
          <w:szCs w:val="18"/>
        </w:rPr>
        <w:t>;</w:t>
      </w:r>
    </w:p>
    <w:p w14:paraId="68464B6B" w14:textId="77777777" w:rsidR="00632720" w:rsidRPr="00A82F81" w:rsidRDefault="00632720" w:rsidP="00632720">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1550B8">
        <w:rPr>
          <w:szCs w:val="18"/>
        </w:rPr>
        <w:t>.</w:t>
      </w:r>
    </w:p>
  </w:endnote>
  <w:endnote w:id="12">
    <w:p w14:paraId="6BC83C75" w14:textId="77777777" w:rsidR="001264F0" w:rsidRPr="001A1BF5" w:rsidRDefault="001550B8" w:rsidP="001550B8">
      <w:pPr>
        <w:pStyle w:val="EndnoteText"/>
        <w:rPr>
          <w:szCs w:val="18"/>
        </w:rPr>
      </w:pPr>
      <w:r>
        <w:rPr>
          <w:szCs w:val="18"/>
        </w:rPr>
        <w:tab/>
      </w:r>
      <w:r w:rsidR="001264F0" w:rsidRPr="001A1BF5">
        <w:rPr>
          <w:rStyle w:val="EndnoteReference"/>
          <w:szCs w:val="18"/>
        </w:rPr>
        <w:endnoteRef/>
      </w:r>
      <w:r>
        <w:rPr>
          <w:szCs w:val="18"/>
        </w:rPr>
        <w:tab/>
      </w:r>
      <w:r w:rsidR="001264F0" w:rsidRPr="001A1BF5">
        <w:rPr>
          <w:bCs/>
          <w:szCs w:val="18"/>
        </w:rPr>
        <w:t>CERD/C/URY/CO/21-23, para. 42.</w:t>
      </w:r>
    </w:p>
  </w:endnote>
  <w:endnote w:id="13">
    <w:p w14:paraId="7BC4469E" w14:textId="77777777" w:rsidR="001264F0" w:rsidRPr="001A1BF5" w:rsidRDefault="001550B8" w:rsidP="001550B8">
      <w:pPr>
        <w:pStyle w:val="EndnoteText"/>
        <w:rPr>
          <w:szCs w:val="18"/>
        </w:rPr>
      </w:pPr>
      <w:r>
        <w:rPr>
          <w:szCs w:val="18"/>
        </w:rPr>
        <w:tab/>
      </w:r>
      <w:r w:rsidR="001264F0" w:rsidRPr="001A1BF5">
        <w:rPr>
          <w:rStyle w:val="EndnoteReference"/>
          <w:szCs w:val="18"/>
        </w:rPr>
        <w:endnoteRef/>
      </w:r>
      <w:r>
        <w:rPr>
          <w:szCs w:val="18"/>
        </w:rPr>
        <w:tab/>
      </w:r>
      <w:r w:rsidR="001264F0" w:rsidRPr="001A1BF5">
        <w:rPr>
          <w:szCs w:val="18"/>
          <w:lang w:val="en-US"/>
        </w:rPr>
        <w:t>CERD/C/URY/CO/21-23/Add.1</w:t>
      </w:r>
      <w:r>
        <w:rPr>
          <w:szCs w:val="18"/>
          <w:lang w:val="en-US"/>
        </w:rPr>
        <w:t>.</w:t>
      </w:r>
    </w:p>
  </w:endnote>
  <w:endnote w:id="14">
    <w:p w14:paraId="33D60DD1" w14:textId="77777777" w:rsidR="001264F0" w:rsidRPr="00274AF3" w:rsidRDefault="001550B8" w:rsidP="001264F0">
      <w:pPr>
        <w:pStyle w:val="EndnoteText"/>
      </w:pPr>
      <w:r>
        <w:tab/>
      </w:r>
      <w:r w:rsidR="001264F0">
        <w:rPr>
          <w:rStyle w:val="EndnoteReference"/>
        </w:rPr>
        <w:endnoteRef/>
      </w:r>
      <w:r>
        <w:tab/>
      </w:r>
      <w:r w:rsidR="001264F0" w:rsidRPr="001A1BF5">
        <w:rPr>
          <w:szCs w:val="18"/>
        </w:rPr>
        <w:t xml:space="preserve">Letter from </w:t>
      </w:r>
      <w:r w:rsidR="001264F0">
        <w:rPr>
          <w:szCs w:val="18"/>
        </w:rPr>
        <w:t>CERD</w:t>
      </w:r>
      <w:r w:rsidR="001264F0" w:rsidRPr="001A1BF5">
        <w:rPr>
          <w:szCs w:val="18"/>
        </w:rPr>
        <w:t xml:space="preserve"> to the Permanent Mission of Uruguay </w:t>
      </w:r>
      <w:r w:rsidR="001264F0" w:rsidRPr="001A1BF5">
        <w:rPr>
          <w:rStyle w:val="EndnoteTextChar"/>
          <w:szCs w:val="18"/>
        </w:rPr>
        <w:t>to the United Nations Office and other international organizations in Geneva</w:t>
      </w:r>
      <w:r w:rsidR="001264F0" w:rsidRPr="001A1BF5">
        <w:rPr>
          <w:szCs w:val="18"/>
        </w:rPr>
        <w:t xml:space="preserve">, dated </w:t>
      </w:r>
      <w:r w:rsidR="001264F0">
        <w:rPr>
          <w:szCs w:val="18"/>
        </w:rPr>
        <w:t>30</w:t>
      </w:r>
      <w:r w:rsidR="001264F0" w:rsidRPr="001A1BF5">
        <w:rPr>
          <w:szCs w:val="18"/>
        </w:rPr>
        <w:t xml:space="preserve"> </w:t>
      </w:r>
      <w:r w:rsidR="001264F0">
        <w:rPr>
          <w:szCs w:val="18"/>
        </w:rPr>
        <w:t xml:space="preserve">August </w:t>
      </w:r>
      <w:r w:rsidR="001264F0" w:rsidRPr="001A1BF5">
        <w:rPr>
          <w:szCs w:val="18"/>
        </w:rPr>
        <w:t>201</w:t>
      </w:r>
      <w:r w:rsidR="001264F0">
        <w:rPr>
          <w:szCs w:val="18"/>
        </w:rPr>
        <w:t>8</w:t>
      </w:r>
      <w:r w:rsidR="001264F0" w:rsidRPr="001A1BF5">
        <w:rPr>
          <w:szCs w:val="18"/>
        </w:rPr>
        <w:t xml:space="preserve">, available from </w:t>
      </w:r>
      <w:r w:rsidR="001264F0" w:rsidRPr="00274AF3">
        <w:t>https://tbinternet.ohchr.org/Treaties/CERD/Shared%20Documents/URY/INT_CERD_FUL_URY_32300_E.pdf</w:t>
      </w:r>
      <w:r w:rsidR="001264F0" w:rsidRPr="001A1BF5">
        <w:rPr>
          <w:szCs w:val="18"/>
        </w:rPr>
        <w:t xml:space="preserve"> (accessed on </w:t>
      </w:r>
      <w:r w:rsidR="001264F0">
        <w:rPr>
          <w:szCs w:val="18"/>
        </w:rPr>
        <w:t>3</w:t>
      </w:r>
      <w:r w:rsidR="001264F0" w:rsidRPr="001A1BF5">
        <w:rPr>
          <w:szCs w:val="18"/>
        </w:rPr>
        <w:t xml:space="preserve"> </w:t>
      </w:r>
      <w:r w:rsidR="001264F0">
        <w:rPr>
          <w:szCs w:val="18"/>
        </w:rPr>
        <w:t xml:space="preserve">October </w:t>
      </w:r>
      <w:r w:rsidR="001264F0" w:rsidRPr="001A1BF5">
        <w:rPr>
          <w:szCs w:val="18"/>
        </w:rPr>
        <w:t>2018).</w:t>
      </w:r>
    </w:p>
  </w:endnote>
  <w:endnote w:id="15">
    <w:p w14:paraId="35DCCC7D" w14:textId="77777777" w:rsidR="001264F0" w:rsidRPr="00C07E2D" w:rsidRDefault="001550B8" w:rsidP="001550B8">
      <w:pPr>
        <w:pStyle w:val="EndnoteText"/>
      </w:pPr>
      <w:r>
        <w:rPr>
          <w:lang w:val="es-ES"/>
        </w:rPr>
        <w:tab/>
      </w:r>
      <w:r w:rsidR="001264F0" w:rsidRPr="007C2710">
        <w:rPr>
          <w:rStyle w:val="EndnoteReference"/>
        </w:rPr>
        <w:endnoteRef/>
      </w:r>
      <w:r>
        <w:rPr>
          <w:lang w:val="es-ES"/>
        </w:rPr>
        <w:tab/>
      </w:r>
      <w:r w:rsidR="001264F0" w:rsidRPr="007C2710">
        <w:rPr>
          <w:bCs/>
          <w:szCs w:val="18"/>
          <w:lang w:val="es-ES"/>
        </w:rPr>
        <w:t xml:space="preserve">E/C.12/URY/CO/5, para. </w:t>
      </w:r>
      <w:r w:rsidR="001264F0" w:rsidRPr="00C07E2D">
        <w:rPr>
          <w:bCs/>
          <w:szCs w:val="18"/>
        </w:rPr>
        <w:t>64.</w:t>
      </w:r>
    </w:p>
  </w:endnote>
  <w:endnote w:id="16">
    <w:p w14:paraId="729DAEC6" w14:textId="77777777" w:rsidR="001264F0" w:rsidRPr="001A1BF5" w:rsidRDefault="001550B8" w:rsidP="001550B8">
      <w:pPr>
        <w:pStyle w:val="EndnoteText"/>
        <w:rPr>
          <w:szCs w:val="18"/>
        </w:rPr>
      </w:pPr>
      <w:r>
        <w:rPr>
          <w:szCs w:val="18"/>
        </w:rPr>
        <w:tab/>
      </w:r>
      <w:r w:rsidR="001264F0" w:rsidRPr="001A1BF5">
        <w:rPr>
          <w:rStyle w:val="EndnoteReference"/>
          <w:szCs w:val="18"/>
        </w:rPr>
        <w:endnoteRef/>
      </w:r>
      <w:r>
        <w:rPr>
          <w:szCs w:val="18"/>
        </w:rPr>
        <w:tab/>
      </w:r>
      <w:r w:rsidR="001264F0" w:rsidRPr="001A1BF5">
        <w:rPr>
          <w:bCs/>
          <w:szCs w:val="18"/>
          <w:lang w:eastAsia="en-GB"/>
        </w:rPr>
        <w:t>CCPR/C/URY/CO/5, para. 24.</w:t>
      </w:r>
    </w:p>
  </w:endnote>
  <w:endnote w:id="17">
    <w:p w14:paraId="2646DA31" w14:textId="77777777" w:rsidR="001264F0" w:rsidRPr="001A1BF5" w:rsidRDefault="001550B8" w:rsidP="001550B8">
      <w:pPr>
        <w:pStyle w:val="EndnoteText"/>
        <w:rPr>
          <w:szCs w:val="18"/>
        </w:rPr>
      </w:pPr>
      <w:r>
        <w:rPr>
          <w:szCs w:val="18"/>
        </w:rPr>
        <w:tab/>
      </w:r>
      <w:r w:rsidR="001264F0" w:rsidRPr="001A1BF5">
        <w:rPr>
          <w:rStyle w:val="EndnoteReference"/>
          <w:szCs w:val="18"/>
        </w:rPr>
        <w:endnoteRef/>
      </w:r>
      <w:r>
        <w:rPr>
          <w:szCs w:val="18"/>
        </w:rPr>
        <w:tab/>
      </w:r>
      <w:r w:rsidR="001264F0" w:rsidRPr="001A1BF5">
        <w:rPr>
          <w:szCs w:val="18"/>
          <w:lang w:val="en-US"/>
        </w:rPr>
        <w:t>CCPR/C/URY/CO/5/Add.1 and CCPR/C/URY/CO/5/ADD.2.</w:t>
      </w:r>
    </w:p>
  </w:endnote>
  <w:endnote w:id="18">
    <w:p w14:paraId="072D51D0" w14:textId="77777777" w:rsidR="001550B8" w:rsidRDefault="001550B8" w:rsidP="001550B8">
      <w:pPr>
        <w:pStyle w:val="EndnoteText"/>
        <w:widowControl w:val="0"/>
        <w:tabs>
          <w:tab w:val="clear" w:pos="1021"/>
          <w:tab w:val="right" w:pos="1020"/>
        </w:tabs>
      </w:pPr>
      <w:r>
        <w:tab/>
      </w:r>
      <w:r>
        <w:rPr>
          <w:rStyle w:val="EndnoteReference"/>
        </w:rPr>
        <w:endnoteRef/>
      </w:r>
      <w:r>
        <w:tab/>
      </w:r>
      <w:r w:rsidRPr="001550B8">
        <w:t xml:space="preserve">Letter from HR Committee to the Permanent Mission of Uruguay to the United Nations Office and other international organizations in Geneva, dated 20 November 2017, available from </w:t>
      </w:r>
      <w:hyperlink r:id="rId1" w:history="1">
        <w:r w:rsidRPr="001550B8">
          <w:rPr>
            <w:rStyle w:val="Hyperlink"/>
          </w:rPr>
          <w:t>http://tbinternet.ohchr.org/Treaties/CCPR/Shared%20Documents/URY/INT_CCPR_FUD_URY_29518_S.pdf</w:t>
        </w:r>
      </w:hyperlink>
      <w:r w:rsidRPr="001550B8">
        <w:t xml:space="preserve"> (accessed on 3 October 2018). See also Letters from HR Committee to the Permanent Mission of Uruguay to the United Nations Office and other international organizations in Geneva, dated 2 April 2015, 14 April 2015, 1 October 2015 and 16 August 2016, available from </w:t>
      </w:r>
      <w:hyperlink r:id="rId2" w:history="1">
        <w:r w:rsidRPr="001550B8">
          <w:rPr>
            <w:rStyle w:val="Hyperlink"/>
          </w:rPr>
          <w:t>http://tbinternet.ohchr.org/Treaties/CCPR/Shared%20Documents/URY/INT_CCPR_FUL_URY_20002_S.pdf</w:t>
        </w:r>
      </w:hyperlink>
      <w:r w:rsidRPr="001550B8">
        <w:t xml:space="preserve">; http://tbinternet.ohchr.org/Treaties/CCPR/Shared%20Documents/URY/INT_CCPR_FUL_URY_20158_E.pdf; </w:t>
      </w:r>
      <w:hyperlink r:id="rId3" w:history="1">
        <w:r w:rsidRPr="001550B8">
          <w:rPr>
            <w:rStyle w:val="Hyperlink"/>
          </w:rPr>
          <w:t>http://tbinternet.ohchr.org/Treaties/CCPR/Shared%20Documents/URY/INT_CCPR_FUL_URY_21847_S.pdf</w:t>
        </w:r>
      </w:hyperlink>
      <w:r w:rsidRPr="001550B8">
        <w:t>; and  http://tbinternet.ohchr.org/Treaties/CCPR/Shared%20Documents/URY/INT_CCPR_FUL_URY_24973_E.pdf (accessed on 3 October2018)</w:t>
      </w:r>
    </w:p>
  </w:endnote>
  <w:endnote w:id="19">
    <w:p w14:paraId="70A83B07" w14:textId="77777777" w:rsidR="001264F0" w:rsidRPr="001A1BF5" w:rsidRDefault="001550B8" w:rsidP="001550B8">
      <w:pPr>
        <w:pStyle w:val="EndnoteText"/>
        <w:rPr>
          <w:szCs w:val="18"/>
        </w:rPr>
      </w:pPr>
      <w:r>
        <w:rPr>
          <w:szCs w:val="18"/>
        </w:rPr>
        <w:tab/>
      </w:r>
      <w:r w:rsidR="001264F0" w:rsidRPr="001A1BF5">
        <w:rPr>
          <w:rStyle w:val="EndnoteReference"/>
          <w:szCs w:val="18"/>
        </w:rPr>
        <w:endnoteRef/>
      </w:r>
      <w:r>
        <w:rPr>
          <w:szCs w:val="18"/>
        </w:rPr>
        <w:tab/>
      </w:r>
      <w:r w:rsidR="001264F0" w:rsidRPr="001A1BF5">
        <w:rPr>
          <w:bCs/>
          <w:szCs w:val="18"/>
        </w:rPr>
        <w:t>CEDAW/C/URY/CO/8-9, para. 50.</w:t>
      </w:r>
    </w:p>
  </w:endnote>
  <w:endnote w:id="20">
    <w:p w14:paraId="00ED6AAA" w14:textId="77777777" w:rsidR="001264F0" w:rsidRPr="001A1BF5" w:rsidRDefault="001550B8" w:rsidP="001550B8">
      <w:pPr>
        <w:pStyle w:val="EndnoteText"/>
        <w:spacing w:line="240" w:lineRule="auto"/>
        <w:jc w:val="both"/>
        <w:rPr>
          <w:szCs w:val="18"/>
        </w:rPr>
      </w:pPr>
      <w:r>
        <w:rPr>
          <w:szCs w:val="18"/>
        </w:rPr>
        <w:tab/>
      </w:r>
      <w:r w:rsidR="001264F0" w:rsidRPr="001A1BF5">
        <w:rPr>
          <w:rStyle w:val="EndnoteReference"/>
          <w:szCs w:val="18"/>
        </w:rPr>
        <w:endnoteRef/>
      </w:r>
      <w:r>
        <w:rPr>
          <w:szCs w:val="18"/>
        </w:rPr>
        <w:tab/>
      </w:r>
      <w:r w:rsidR="001264F0" w:rsidRPr="001A1BF5">
        <w:rPr>
          <w:bCs/>
          <w:szCs w:val="18"/>
          <w:lang w:eastAsia="en-GB"/>
        </w:rPr>
        <w:t>CAT/C/URY/CO/3, para. 25.</w:t>
      </w:r>
    </w:p>
  </w:endnote>
  <w:endnote w:id="21">
    <w:p w14:paraId="2F21BD9F" w14:textId="77777777" w:rsidR="001264F0" w:rsidRPr="001A1BF5" w:rsidRDefault="001550B8" w:rsidP="001550B8">
      <w:pPr>
        <w:pStyle w:val="EndnoteText"/>
        <w:spacing w:line="240" w:lineRule="auto"/>
        <w:jc w:val="both"/>
        <w:rPr>
          <w:szCs w:val="18"/>
        </w:rPr>
      </w:pPr>
      <w:r>
        <w:rPr>
          <w:szCs w:val="18"/>
        </w:rPr>
        <w:tab/>
      </w:r>
      <w:r w:rsidR="001264F0" w:rsidRPr="001A1BF5">
        <w:rPr>
          <w:rStyle w:val="EndnoteReference"/>
          <w:szCs w:val="18"/>
        </w:rPr>
        <w:endnoteRef/>
      </w:r>
      <w:r>
        <w:rPr>
          <w:szCs w:val="18"/>
        </w:rPr>
        <w:tab/>
      </w:r>
      <w:r w:rsidR="001264F0" w:rsidRPr="001A1BF5">
        <w:rPr>
          <w:szCs w:val="18"/>
          <w:lang w:val="en-US"/>
        </w:rPr>
        <w:t>CAT/C/URY/CO/3/Add.1.</w:t>
      </w:r>
    </w:p>
  </w:endnote>
  <w:endnote w:id="22">
    <w:p w14:paraId="3C7449A4" w14:textId="77777777" w:rsidR="001550B8" w:rsidRDefault="001550B8" w:rsidP="001550B8">
      <w:pPr>
        <w:pStyle w:val="EndnoteText"/>
        <w:widowControl w:val="0"/>
        <w:tabs>
          <w:tab w:val="clear" w:pos="1021"/>
          <w:tab w:val="right" w:pos="1020"/>
        </w:tabs>
      </w:pPr>
      <w:r>
        <w:tab/>
      </w:r>
      <w:r>
        <w:rPr>
          <w:rStyle w:val="EndnoteReference"/>
        </w:rPr>
        <w:endnoteRef/>
      </w:r>
      <w:r>
        <w:tab/>
      </w:r>
      <w:r w:rsidRPr="001550B8">
        <w:t>Letter from CAT to the Permanent Mission of Uruguay to the United Nations Office and other international organizations in Geneva, dated 29 August 2016, available from http://tbinternet.ohchr.org/Treaties/CAT/Shared%20Documents/URY/INT_CAT_FUL_URY_25027_E.pdf (accessed on 3 October 2018).</w:t>
      </w:r>
    </w:p>
  </w:endnote>
  <w:endnote w:id="23">
    <w:p w14:paraId="5439E57E" w14:textId="77777777" w:rsidR="001264F0" w:rsidRPr="001A1BF5" w:rsidRDefault="001550B8" w:rsidP="001550B8">
      <w:pPr>
        <w:pStyle w:val="EndnoteText"/>
        <w:rPr>
          <w:szCs w:val="18"/>
        </w:rPr>
      </w:pPr>
      <w:r>
        <w:rPr>
          <w:szCs w:val="18"/>
        </w:rPr>
        <w:tab/>
      </w:r>
      <w:r w:rsidR="001264F0" w:rsidRPr="001A1BF5">
        <w:rPr>
          <w:rStyle w:val="EndnoteReference"/>
          <w:szCs w:val="18"/>
        </w:rPr>
        <w:endnoteRef/>
      </w:r>
      <w:r>
        <w:rPr>
          <w:szCs w:val="18"/>
        </w:rPr>
        <w:tab/>
      </w:r>
      <w:r w:rsidR="001264F0" w:rsidRPr="001A1BF5">
        <w:rPr>
          <w:bCs/>
          <w:szCs w:val="18"/>
        </w:rPr>
        <w:t>CRPD/C/URY/CO/1, para. 70.</w:t>
      </w:r>
    </w:p>
  </w:endnote>
  <w:endnote w:id="24">
    <w:p w14:paraId="4C25EAE4" w14:textId="77777777" w:rsidR="001264F0" w:rsidRPr="001A1BF5" w:rsidRDefault="001550B8" w:rsidP="001550B8">
      <w:pPr>
        <w:pStyle w:val="EndnoteText"/>
        <w:rPr>
          <w:szCs w:val="18"/>
        </w:rPr>
      </w:pPr>
      <w:r>
        <w:rPr>
          <w:szCs w:val="18"/>
        </w:rPr>
        <w:tab/>
      </w:r>
      <w:r w:rsidR="001264F0" w:rsidRPr="001A1BF5">
        <w:rPr>
          <w:rStyle w:val="EndnoteReference"/>
          <w:szCs w:val="18"/>
        </w:rPr>
        <w:endnoteRef/>
      </w:r>
      <w:r>
        <w:rPr>
          <w:szCs w:val="18"/>
        </w:rPr>
        <w:tab/>
      </w:r>
      <w:r w:rsidR="001264F0" w:rsidRPr="001A1BF5">
        <w:rPr>
          <w:szCs w:val="18"/>
        </w:rPr>
        <w:t>CRPD/C/URY/CO/1/Add.1.</w:t>
      </w:r>
    </w:p>
  </w:endnote>
  <w:endnote w:id="25">
    <w:p w14:paraId="65B0F7AE" w14:textId="77777777" w:rsidR="001264F0" w:rsidRPr="001A1BF5" w:rsidRDefault="001550B8" w:rsidP="001550B8">
      <w:pPr>
        <w:pStyle w:val="EndnoteText"/>
        <w:rPr>
          <w:szCs w:val="18"/>
        </w:rPr>
      </w:pPr>
      <w:r>
        <w:rPr>
          <w:szCs w:val="18"/>
        </w:rPr>
        <w:tab/>
      </w:r>
      <w:r w:rsidR="001264F0" w:rsidRPr="001A1BF5">
        <w:rPr>
          <w:rStyle w:val="EndnoteReference"/>
          <w:szCs w:val="18"/>
        </w:rPr>
        <w:endnoteRef/>
      </w:r>
      <w:r>
        <w:rPr>
          <w:szCs w:val="18"/>
        </w:rPr>
        <w:tab/>
      </w:r>
      <w:r w:rsidR="001264F0" w:rsidRPr="001A1BF5">
        <w:rPr>
          <w:bCs/>
          <w:szCs w:val="18"/>
          <w:lang w:eastAsia="en-GB"/>
        </w:rPr>
        <w:t>CED/C/URY/CO/1, para.41.</w:t>
      </w:r>
    </w:p>
  </w:endnote>
  <w:endnote w:id="26">
    <w:p w14:paraId="511AB9A8" w14:textId="77777777" w:rsidR="001264F0" w:rsidRPr="001A1BF5" w:rsidRDefault="001550B8" w:rsidP="001550B8">
      <w:pPr>
        <w:pStyle w:val="EndnoteText"/>
        <w:rPr>
          <w:szCs w:val="18"/>
        </w:rPr>
      </w:pPr>
      <w:r>
        <w:rPr>
          <w:szCs w:val="18"/>
        </w:rPr>
        <w:tab/>
      </w:r>
      <w:r w:rsidR="001264F0" w:rsidRPr="001A1BF5">
        <w:rPr>
          <w:rStyle w:val="EndnoteReference"/>
          <w:szCs w:val="18"/>
        </w:rPr>
        <w:endnoteRef/>
      </w:r>
      <w:r>
        <w:rPr>
          <w:szCs w:val="18"/>
        </w:rPr>
        <w:tab/>
      </w:r>
      <w:r w:rsidR="001264F0" w:rsidRPr="001A1BF5">
        <w:rPr>
          <w:szCs w:val="18"/>
          <w:lang w:val="en-US"/>
        </w:rPr>
        <w:t>CED/C/URY/CO/1/Add.1.</w:t>
      </w:r>
    </w:p>
  </w:endnote>
  <w:endnote w:id="27">
    <w:p w14:paraId="09514E02" w14:textId="77777777" w:rsidR="00C3403A" w:rsidRPr="00A82F81" w:rsidRDefault="00C3403A" w:rsidP="00C3403A">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8">
    <w:p w14:paraId="0F2A4C64" w14:textId="77777777" w:rsidR="001550B8" w:rsidRPr="00A82F81" w:rsidRDefault="001550B8" w:rsidP="001550B8">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9">
    <w:p w14:paraId="64C14B81" w14:textId="77777777" w:rsidR="00503C50" w:rsidRPr="00E170D4" w:rsidRDefault="00503C50" w:rsidP="00503C50">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Pr="002152AE">
        <w:rPr>
          <w:szCs w:val="18"/>
        </w:rPr>
        <w:t>https://nhri.ohchr.org/EN/Documents/Status%20Accreditation%20Chart%20%2821%20February%202018.pdf</w:t>
      </w:r>
    </w:p>
    <w:p w14:paraId="667A7006" w14:textId="77777777" w:rsidR="00503C50" w:rsidRPr="00C75174" w:rsidRDefault="00503C50" w:rsidP="00503C50">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3960" w14:textId="78C25FE8" w:rsidR="00674A7D" w:rsidRDefault="00674A7D">
    <w:pPr>
      <w:pStyle w:val="Footer"/>
      <w:jc w:val="right"/>
    </w:pPr>
    <w:r>
      <w:fldChar w:fldCharType="begin"/>
    </w:r>
    <w:r>
      <w:instrText xml:space="preserve"> PAGE   \* MERGEFORMAT </w:instrText>
    </w:r>
    <w:r>
      <w:fldChar w:fldCharType="separate"/>
    </w:r>
    <w:r w:rsidR="00341F20">
      <w:rPr>
        <w:noProof/>
      </w:rPr>
      <w:t>7</w:t>
    </w:r>
    <w:r>
      <w:rPr>
        <w:noProof/>
      </w:rPr>
      <w:fldChar w:fldCharType="end"/>
    </w:r>
  </w:p>
  <w:p w14:paraId="5BAFECC4"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23C6" w14:textId="42F65C47" w:rsidR="004D1140" w:rsidRDefault="00F35F9E" w:rsidP="00542574">
    <w:r>
      <w:rPr>
        <w:noProof/>
        <w:lang w:eastAsia="en-GB"/>
      </w:rPr>
      <w:drawing>
        <wp:anchor distT="0" distB="0" distL="114300" distR="114300" simplePos="0" relativeHeight="251657728" behindDoc="0" locked="1" layoutInCell="1" allowOverlap="1" wp14:anchorId="0BC5DF9A" wp14:editId="2504C495">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CAEC" w14:textId="77777777" w:rsidR="00663D0B" w:rsidRPr="000B175B" w:rsidRDefault="00663D0B" w:rsidP="000B175B">
      <w:pPr>
        <w:tabs>
          <w:tab w:val="right" w:pos="2155"/>
        </w:tabs>
        <w:spacing w:after="80"/>
        <w:ind w:left="680"/>
        <w:rPr>
          <w:u w:val="single"/>
        </w:rPr>
      </w:pPr>
      <w:r>
        <w:rPr>
          <w:u w:val="single"/>
        </w:rPr>
        <w:tab/>
      </w:r>
    </w:p>
  </w:footnote>
  <w:footnote w:type="continuationSeparator" w:id="0">
    <w:p w14:paraId="1334CC86" w14:textId="77777777" w:rsidR="00663D0B" w:rsidRPr="00FC68B7" w:rsidRDefault="00663D0B" w:rsidP="00FC68B7">
      <w:pPr>
        <w:tabs>
          <w:tab w:val="left" w:pos="2155"/>
        </w:tabs>
        <w:spacing w:after="80"/>
        <w:ind w:left="680"/>
        <w:rPr>
          <w:u w:val="single"/>
        </w:rPr>
      </w:pPr>
      <w:r>
        <w:rPr>
          <w:u w:val="single"/>
        </w:rPr>
        <w:tab/>
      </w:r>
    </w:p>
  </w:footnote>
  <w:footnote w:type="continuationNotice" w:id="1">
    <w:p w14:paraId="19B28210" w14:textId="77777777" w:rsidR="00663D0B" w:rsidRDefault="00663D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435D"/>
    <w:rsid w:val="00007F7F"/>
    <w:rsid w:val="00022DB5"/>
    <w:rsid w:val="0002432F"/>
    <w:rsid w:val="00027CC0"/>
    <w:rsid w:val="000344CE"/>
    <w:rsid w:val="000352FD"/>
    <w:rsid w:val="000403D1"/>
    <w:rsid w:val="000449AA"/>
    <w:rsid w:val="00050F6B"/>
    <w:rsid w:val="00052E8E"/>
    <w:rsid w:val="000568A8"/>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D0709"/>
    <w:rsid w:val="000D1851"/>
    <w:rsid w:val="000E0415"/>
    <w:rsid w:val="000F63EB"/>
    <w:rsid w:val="0010479D"/>
    <w:rsid w:val="001264F0"/>
    <w:rsid w:val="0013065A"/>
    <w:rsid w:val="0013136E"/>
    <w:rsid w:val="00132BC7"/>
    <w:rsid w:val="00144AF4"/>
    <w:rsid w:val="00146D32"/>
    <w:rsid w:val="001509BA"/>
    <w:rsid w:val="00151C6A"/>
    <w:rsid w:val="001550B8"/>
    <w:rsid w:val="00157983"/>
    <w:rsid w:val="001614E7"/>
    <w:rsid w:val="00181B7D"/>
    <w:rsid w:val="001B4B04"/>
    <w:rsid w:val="001C215C"/>
    <w:rsid w:val="001C6663"/>
    <w:rsid w:val="001C7895"/>
    <w:rsid w:val="001D26DF"/>
    <w:rsid w:val="001E2790"/>
    <w:rsid w:val="001E5256"/>
    <w:rsid w:val="0021130C"/>
    <w:rsid w:val="00211E0B"/>
    <w:rsid w:val="00211E72"/>
    <w:rsid w:val="00212C44"/>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657"/>
    <w:rsid w:val="002B4713"/>
    <w:rsid w:val="002C1E8B"/>
    <w:rsid w:val="002C21F0"/>
    <w:rsid w:val="002E0FB9"/>
    <w:rsid w:val="002E2FEF"/>
    <w:rsid w:val="002E5BE3"/>
    <w:rsid w:val="002E646B"/>
    <w:rsid w:val="002F2142"/>
    <w:rsid w:val="003015A8"/>
    <w:rsid w:val="003107FA"/>
    <w:rsid w:val="00317977"/>
    <w:rsid w:val="003229D8"/>
    <w:rsid w:val="00324383"/>
    <w:rsid w:val="003314D1"/>
    <w:rsid w:val="00332822"/>
    <w:rsid w:val="0033345D"/>
    <w:rsid w:val="00335A2F"/>
    <w:rsid w:val="00341937"/>
    <w:rsid w:val="00341F20"/>
    <w:rsid w:val="00365925"/>
    <w:rsid w:val="00365FFC"/>
    <w:rsid w:val="0037215F"/>
    <w:rsid w:val="00380822"/>
    <w:rsid w:val="0039277A"/>
    <w:rsid w:val="003972E0"/>
    <w:rsid w:val="003975ED"/>
    <w:rsid w:val="003A4E25"/>
    <w:rsid w:val="003C2CC4"/>
    <w:rsid w:val="003C3A75"/>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E55"/>
    <w:rsid w:val="00595BF5"/>
    <w:rsid w:val="005A22DB"/>
    <w:rsid w:val="005B3DB3"/>
    <w:rsid w:val="005B6E48"/>
    <w:rsid w:val="005E01AA"/>
    <w:rsid w:val="005E1712"/>
    <w:rsid w:val="005F6E73"/>
    <w:rsid w:val="0060015D"/>
    <w:rsid w:val="006116A3"/>
    <w:rsid w:val="00611FC4"/>
    <w:rsid w:val="006176FB"/>
    <w:rsid w:val="00626E6C"/>
    <w:rsid w:val="00632720"/>
    <w:rsid w:val="00640B26"/>
    <w:rsid w:val="006510B3"/>
    <w:rsid w:val="006549F8"/>
    <w:rsid w:val="00663D0B"/>
    <w:rsid w:val="00665922"/>
    <w:rsid w:val="00670741"/>
    <w:rsid w:val="00674A7D"/>
    <w:rsid w:val="00676C10"/>
    <w:rsid w:val="006808A9"/>
    <w:rsid w:val="00684396"/>
    <w:rsid w:val="00693755"/>
    <w:rsid w:val="00696740"/>
    <w:rsid w:val="00696BD6"/>
    <w:rsid w:val="006A6B9D"/>
    <w:rsid w:val="006A7392"/>
    <w:rsid w:val="006B3189"/>
    <w:rsid w:val="006B7D65"/>
    <w:rsid w:val="006D23FF"/>
    <w:rsid w:val="006D6DA6"/>
    <w:rsid w:val="006E564B"/>
    <w:rsid w:val="006F13F0"/>
    <w:rsid w:val="006F5035"/>
    <w:rsid w:val="007065EB"/>
    <w:rsid w:val="0072018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07E2"/>
    <w:rsid w:val="00861BC6"/>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4F88"/>
    <w:rsid w:val="00A05E0B"/>
    <w:rsid w:val="00A074DD"/>
    <w:rsid w:val="00A1427D"/>
    <w:rsid w:val="00A31ADE"/>
    <w:rsid w:val="00A3619D"/>
    <w:rsid w:val="00A4011E"/>
    <w:rsid w:val="00A4634F"/>
    <w:rsid w:val="00A51CF3"/>
    <w:rsid w:val="00A546F7"/>
    <w:rsid w:val="00A63DA6"/>
    <w:rsid w:val="00A63F87"/>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22B96"/>
    <w:rsid w:val="00B2327D"/>
    <w:rsid w:val="00B236D9"/>
    <w:rsid w:val="00B2718F"/>
    <w:rsid w:val="00B2730A"/>
    <w:rsid w:val="00B30179"/>
    <w:rsid w:val="00B3317B"/>
    <w:rsid w:val="00B334DC"/>
    <w:rsid w:val="00B3631A"/>
    <w:rsid w:val="00B53013"/>
    <w:rsid w:val="00B56740"/>
    <w:rsid w:val="00B65CCC"/>
    <w:rsid w:val="00B67F5E"/>
    <w:rsid w:val="00B73E65"/>
    <w:rsid w:val="00B75057"/>
    <w:rsid w:val="00B81E12"/>
    <w:rsid w:val="00B849AB"/>
    <w:rsid w:val="00B84EF0"/>
    <w:rsid w:val="00B87110"/>
    <w:rsid w:val="00B90627"/>
    <w:rsid w:val="00B97FA8"/>
    <w:rsid w:val="00BA732B"/>
    <w:rsid w:val="00BB2720"/>
    <w:rsid w:val="00BC1385"/>
    <w:rsid w:val="00BC25CA"/>
    <w:rsid w:val="00BC74E9"/>
    <w:rsid w:val="00BE58F1"/>
    <w:rsid w:val="00BE618E"/>
    <w:rsid w:val="00C24693"/>
    <w:rsid w:val="00C2509F"/>
    <w:rsid w:val="00C32D5E"/>
    <w:rsid w:val="00C3403A"/>
    <w:rsid w:val="00C3427B"/>
    <w:rsid w:val="00C35F0B"/>
    <w:rsid w:val="00C36DCD"/>
    <w:rsid w:val="00C463DD"/>
    <w:rsid w:val="00C500EF"/>
    <w:rsid w:val="00C624B5"/>
    <w:rsid w:val="00C64458"/>
    <w:rsid w:val="00C669C5"/>
    <w:rsid w:val="00C73021"/>
    <w:rsid w:val="00C745C3"/>
    <w:rsid w:val="00C81253"/>
    <w:rsid w:val="00C9264F"/>
    <w:rsid w:val="00C947C6"/>
    <w:rsid w:val="00CA2A58"/>
    <w:rsid w:val="00CA2E07"/>
    <w:rsid w:val="00CA6DE7"/>
    <w:rsid w:val="00CB3F13"/>
    <w:rsid w:val="00CB4EE9"/>
    <w:rsid w:val="00CC03CC"/>
    <w:rsid w:val="00CC0B55"/>
    <w:rsid w:val="00CD6995"/>
    <w:rsid w:val="00CE4A8F"/>
    <w:rsid w:val="00CF0214"/>
    <w:rsid w:val="00CF586F"/>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674EE"/>
    <w:rsid w:val="00D76BE5"/>
    <w:rsid w:val="00D8128F"/>
    <w:rsid w:val="00D82391"/>
    <w:rsid w:val="00D82670"/>
    <w:rsid w:val="00D91837"/>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7A2A"/>
    <w:rsid w:val="00EE7D5F"/>
    <w:rsid w:val="00EF1D7F"/>
    <w:rsid w:val="00EF2FCC"/>
    <w:rsid w:val="00EF5BDB"/>
    <w:rsid w:val="00F00528"/>
    <w:rsid w:val="00F05678"/>
    <w:rsid w:val="00F07FD9"/>
    <w:rsid w:val="00F21C38"/>
    <w:rsid w:val="00F238A8"/>
    <w:rsid w:val="00F23933"/>
    <w:rsid w:val="00F24119"/>
    <w:rsid w:val="00F30B7B"/>
    <w:rsid w:val="00F35F9E"/>
    <w:rsid w:val="00F40E75"/>
    <w:rsid w:val="00F42CD9"/>
    <w:rsid w:val="00F52936"/>
    <w:rsid w:val="00F66B80"/>
    <w:rsid w:val="00F677CB"/>
    <w:rsid w:val="00F72113"/>
    <w:rsid w:val="00F723A2"/>
    <w:rsid w:val="00F75F2D"/>
    <w:rsid w:val="00F76CA4"/>
    <w:rsid w:val="00F76DA4"/>
    <w:rsid w:val="00F812EC"/>
    <w:rsid w:val="00F83992"/>
    <w:rsid w:val="00F927F0"/>
    <w:rsid w:val="00FA4B49"/>
    <w:rsid w:val="00FA7DF3"/>
    <w:rsid w:val="00FC68B7"/>
    <w:rsid w:val="00FD242A"/>
    <w:rsid w:val="00FD268F"/>
    <w:rsid w:val="00FD2BFB"/>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FB668"/>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tbinternet.ohchr.org/Treaties/CCPR/Shared%20Documents/URY/INT_CCPR_FUL_URY_21847_S.pdf" TargetMode="External"/><Relationship Id="rId2" Type="http://schemas.openxmlformats.org/officeDocument/2006/relationships/hyperlink" Target="http://tbinternet.ohchr.org/Treaties/CCPR/Shared%20Documents/URY/INT_CCPR_FUL_URY_20002_S.pdf" TargetMode="External"/><Relationship Id="rId1" Type="http://schemas.openxmlformats.org/officeDocument/2006/relationships/hyperlink" Target="http://tbinternet.ohchr.org/Treaties/CCPR/Shared%20Documents/URY/INT_CCPR_FUD_URY_29518_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6FA4DD-C48D-45E2-9361-24464F4D9614}">
  <ds:schemaRefs>
    <ds:schemaRef ds:uri="http://schemas.openxmlformats.org/officeDocument/2006/bibliography"/>
  </ds:schemaRefs>
</ds:datastoreItem>
</file>

<file path=customXml/itemProps2.xml><?xml version="1.0" encoding="utf-8"?>
<ds:datastoreItem xmlns:ds="http://schemas.openxmlformats.org/officeDocument/2006/customXml" ds:itemID="{B9F0BA53-5D3B-4CF1-A1BA-ED8240884866}"/>
</file>

<file path=customXml/itemProps3.xml><?xml version="1.0" encoding="utf-8"?>
<ds:datastoreItem xmlns:ds="http://schemas.openxmlformats.org/officeDocument/2006/customXml" ds:itemID="{C94F70D2-10B3-4D66-85F4-5E257239C1F4}"/>
</file>

<file path=customXml/itemProps4.xml><?xml version="1.0" encoding="utf-8"?>
<ds:datastoreItem xmlns:ds="http://schemas.openxmlformats.org/officeDocument/2006/customXml" ds:itemID="{E718D56A-D6E7-4BDC-828B-A8B9FCBD2F13}"/>
</file>

<file path=docProps/app.xml><?xml version="1.0" encoding="utf-8"?>
<Properties xmlns="http://schemas.openxmlformats.org/officeDocument/2006/extended-properties" xmlns:vt="http://schemas.openxmlformats.org/officeDocument/2006/docPropsVTypes">
  <Template>A_E.dotm</Template>
  <TotalTime>0</TotalTime>
  <Pages>7</Pages>
  <Words>699</Words>
  <Characters>3987</Characters>
  <Application>Microsoft Office Word</Application>
  <DocSecurity>4</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2018-12-18T12:57:00Z</dcterms:created>
  <dcterms:modified xsi:type="dcterms:W3CDTF">2018-12-18T12:57:00Z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