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2D0E" w14:textId="77777777" w:rsidR="00A02BFB" w:rsidRPr="00435E0F" w:rsidRDefault="005512BA" w:rsidP="005512BA">
      <w:pPr>
        <w:pStyle w:val="HChG"/>
      </w:pPr>
      <w:r>
        <w:tab/>
      </w:r>
      <w:r>
        <w:tab/>
      </w:r>
      <w:r w:rsidRPr="00435E0F">
        <w:t xml:space="preserve">Tables for UN </w:t>
      </w:r>
      <w:r w:rsidR="00A02BFB" w:rsidRPr="00435E0F">
        <w:t xml:space="preserve">Compilation on </w:t>
      </w:r>
      <w:r w:rsidR="00A02C6E">
        <w:t>New Zealand</w:t>
      </w:r>
    </w:p>
    <w:p w14:paraId="60243D2A" w14:textId="77777777" w:rsidR="00A02BFB" w:rsidRPr="00A02BFB" w:rsidRDefault="005512BA" w:rsidP="005512BA">
      <w:pPr>
        <w:pStyle w:val="HChG"/>
      </w:pPr>
      <w:r w:rsidRPr="00435E0F">
        <w:tab/>
      </w:r>
      <w:r w:rsidR="00A02BFB" w:rsidRPr="00A02BFB">
        <w:t>I.</w:t>
      </w:r>
      <w:r w:rsidR="00A02BFB" w:rsidRPr="00A02BFB">
        <w:tab/>
      </w:r>
      <w:r w:rsidR="00A02C6E" w:rsidRPr="00A02C6E">
        <w:t>Scope of international obligations</w:t>
      </w:r>
      <w:r w:rsidR="00A02C6E" w:rsidRPr="004C2795">
        <w:rPr>
          <w:rStyle w:val="EndnoteReference"/>
          <w:b w:val="0"/>
        </w:rPr>
        <w:endnoteReference w:id="2"/>
      </w:r>
    </w:p>
    <w:p w14:paraId="694B4E3F" w14:textId="77777777" w:rsidR="00A02BFB" w:rsidRPr="00A02BFB" w:rsidRDefault="00A02BFB" w:rsidP="005512BA">
      <w:pPr>
        <w:pStyle w:val="H1G"/>
      </w:pPr>
      <w:r w:rsidRPr="00A02BFB">
        <w:tab/>
      </w:r>
      <w:r>
        <w:t>A</w:t>
      </w:r>
      <w:r w:rsidRPr="00A02BFB">
        <w:t>.</w:t>
      </w:r>
      <w:r w:rsidRPr="00A02BFB">
        <w:tab/>
      </w:r>
      <w:bookmarkStart w:id="0" w:name="Table_Int_HR_Treaties"/>
      <w:r w:rsidR="00A02C6E" w:rsidRPr="00A02C6E">
        <w:t>International human rights treaties</w:t>
      </w:r>
      <w:bookmarkEnd w:id="0"/>
      <w:r w:rsidR="00A02C6E" w:rsidRPr="004C279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243823F7" w14:textId="77777777" w:rsidTr="0028001D">
        <w:tc>
          <w:tcPr>
            <w:tcW w:w="2410" w:type="dxa"/>
            <w:tcBorders>
              <w:top w:val="single" w:sz="4" w:space="0" w:color="auto"/>
              <w:bottom w:val="single" w:sz="12" w:space="0" w:color="auto"/>
            </w:tcBorders>
            <w:shd w:val="clear" w:color="auto" w:fill="auto"/>
            <w:vAlign w:val="bottom"/>
          </w:tcPr>
          <w:p w14:paraId="0905A680"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8D12749"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ADCEA7E"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81CCED9"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13E6C01B" w14:textId="77777777" w:rsidTr="0028001D">
        <w:trPr>
          <w:trHeight w:hRule="exact" w:val="113"/>
        </w:trPr>
        <w:tc>
          <w:tcPr>
            <w:tcW w:w="2410" w:type="dxa"/>
            <w:tcBorders>
              <w:top w:val="single" w:sz="12" w:space="0" w:color="auto"/>
            </w:tcBorders>
            <w:shd w:val="clear" w:color="auto" w:fill="auto"/>
            <w:vAlign w:val="bottom"/>
          </w:tcPr>
          <w:p w14:paraId="18C87900"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DD6A64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0EB6C5BF"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14CCE7D6" w14:textId="77777777" w:rsidR="00A02BFB" w:rsidRPr="0028001D" w:rsidRDefault="00A02BFB" w:rsidP="0028001D">
            <w:pPr>
              <w:spacing w:before="80" w:after="80" w:line="200" w:lineRule="exact"/>
              <w:ind w:right="113"/>
              <w:rPr>
                <w:i/>
                <w:sz w:val="16"/>
              </w:rPr>
            </w:pPr>
          </w:p>
        </w:tc>
      </w:tr>
      <w:tr w:rsidR="00A02BFB" w:rsidRPr="00A02BFB" w14:paraId="0D664B24" w14:textId="77777777" w:rsidTr="0028001D">
        <w:tc>
          <w:tcPr>
            <w:tcW w:w="2410" w:type="dxa"/>
            <w:shd w:val="clear" w:color="auto" w:fill="auto"/>
          </w:tcPr>
          <w:p w14:paraId="16648A9A"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2A25F1AA" w14:textId="77777777" w:rsidR="00A02C6E" w:rsidRPr="0082417C" w:rsidRDefault="00A02C6E" w:rsidP="00A02C6E">
            <w:pPr>
              <w:spacing w:before="40" w:after="120"/>
              <w:ind w:right="113"/>
            </w:pPr>
            <w:r w:rsidRPr="0082417C">
              <w:t>ICERD (1972)</w:t>
            </w:r>
          </w:p>
          <w:p w14:paraId="0CB4D7AF" w14:textId="77777777" w:rsidR="00A02C6E" w:rsidRPr="0082417C" w:rsidRDefault="00A02C6E" w:rsidP="00A02C6E">
            <w:pPr>
              <w:spacing w:before="40" w:after="120"/>
              <w:ind w:right="113"/>
            </w:pPr>
            <w:r w:rsidRPr="0082417C">
              <w:t>ICESCR (1978)</w:t>
            </w:r>
          </w:p>
          <w:p w14:paraId="10C30EA6" w14:textId="77777777" w:rsidR="00A02C6E" w:rsidRPr="0082417C" w:rsidRDefault="00A02C6E" w:rsidP="00A02C6E">
            <w:pPr>
              <w:spacing w:before="40" w:after="120"/>
              <w:ind w:right="113"/>
            </w:pPr>
            <w:r w:rsidRPr="0082417C">
              <w:t>ICCPR (1978)</w:t>
            </w:r>
          </w:p>
          <w:p w14:paraId="2615A104" w14:textId="77777777" w:rsidR="00A02C6E" w:rsidRPr="0082417C" w:rsidRDefault="00A02C6E" w:rsidP="00A02C6E">
            <w:pPr>
              <w:spacing w:before="40" w:after="120"/>
              <w:ind w:right="113"/>
            </w:pPr>
            <w:r w:rsidRPr="0082417C">
              <w:t>ICCPR-OP 2 (1990)</w:t>
            </w:r>
          </w:p>
          <w:p w14:paraId="26CEDE76" w14:textId="77777777" w:rsidR="00A02C6E" w:rsidRPr="0082417C" w:rsidRDefault="00A02C6E" w:rsidP="00A02C6E">
            <w:pPr>
              <w:spacing w:before="40" w:after="120"/>
              <w:ind w:right="113"/>
            </w:pPr>
            <w:r w:rsidRPr="0082417C">
              <w:t>CEDAW (1985)</w:t>
            </w:r>
          </w:p>
          <w:p w14:paraId="69391DB2" w14:textId="77777777" w:rsidR="00A02C6E" w:rsidRPr="0082417C" w:rsidRDefault="00A02C6E" w:rsidP="00A02C6E">
            <w:pPr>
              <w:spacing w:before="40" w:after="120"/>
              <w:ind w:right="113"/>
            </w:pPr>
            <w:r w:rsidRPr="0082417C">
              <w:t>CAT (1989)</w:t>
            </w:r>
          </w:p>
          <w:p w14:paraId="4F3524C8" w14:textId="43ED8387" w:rsidR="00A02C6E" w:rsidRPr="0082417C" w:rsidRDefault="00A02C6E" w:rsidP="00A02C6E">
            <w:pPr>
              <w:spacing w:before="40" w:after="120"/>
              <w:ind w:right="113"/>
            </w:pPr>
            <w:r w:rsidRPr="0082417C">
              <w:t xml:space="preserve">OP-CAT (2007, </w:t>
            </w:r>
            <w:r w:rsidR="00F8027B" w:rsidRPr="0082417C">
              <w:t>ratification not extended to Tokelau unless and until a Declaration to this effect is lodged by the Government of New Zealand</w:t>
            </w:r>
            <w:r w:rsidRPr="0082417C">
              <w:t>)</w:t>
            </w:r>
          </w:p>
          <w:p w14:paraId="44D0F4CE" w14:textId="77777777" w:rsidR="00521F07" w:rsidRPr="0082417C" w:rsidRDefault="00A02C6E" w:rsidP="00A02C6E">
            <w:pPr>
              <w:spacing w:before="40" w:after="120"/>
              <w:ind w:right="113"/>
            </w:pPr>
            <w:r w:rsidRPr="0082417C">
              <w:t>CRC (1993, ratification extended to Tokelau only upon notification)</w:t>
            </w:r>
          </w:p>
          <w:p w14:paraId="1F4C6F1C" w14:textId="49BD0186" w:rsidR="00A02C6E" w:rsidRPr="0082417C" w:rsidRDefault="00A02C6E" w:rsidP="00A02C6E">
            <w:pPr>
              <w:spacing w:before="40" w:after="120"/>
              <w:ind w:right="113"/>
            </w:pPr>
            <w:r w:rsidRPr="0082417C">
              <w:t xml:space="preserve">OP-CRC-AC (2001, ratification </w:t>
            </w:r>
            <w:r w:rsidR="00F8027B" w:rsidRPr="0082417C">
              <w:t xml:space="preserve">not </w:t>
            </w:r>
            <w:r w:rsidRPr="0082417C">
              <w:t xml:space="preserve">extended to Tokelau </w:t>
            </w:r>
            <w:r w:rsidR="00F8027B" w:rsidRPr="0082417C">
              <w:t>unless and until a Declaration to this effect is lodged by the Government of New Zealand</w:t>
            </w:r>
            <w:r w:rsidRPr="0082417C">
              <w:t>)</w:t>
            </w:r>
          </w:p>
          <w:p w14:paraId="524F4AB4" w14:textId="72F0612C" w:rsidR="00A02C6E" w:rsidRPr="0082417C" w:rsidRDefault="00A02C6E" w:rsidP="00A02C6E">
            <w:pPr>
              <w:spacing w:before="40" w:after="120"/>
              <w:ind w:right="113"/>
            </w:pPr>
            <w:r w:rsidRPr="0082417C">
              <w:t xml:space="preserve">OP-CRC-SC (2011, ratification </w:t>
            </w:r>
            <w:r w:rsidR="00F8027B" w:rsidRPr="0082417C">
              <w:t xml:space="preserve">not </w:t>
            </w:r>
            <w:r w:rsidRPr="0082417C">
              <w:t xml:space="preserve">extended to Tokelau </w:t>
            </w:r>
            <w:r w:rsidR="00F8027B" w:rsidRPr="0082417C">
              <w:t>unless and until a Declaration to this effect is lodged by the Government of New Zealand</w:t>
            </w:r>
            <w:r w:rsidRPr="0082417C">
              <w:t>)</w:t>
            </w:r>
          </w:p>
          <w:p w14:paraId="46F1CACF" w14:textId="0ACCB99E" w:rsidR="00A02C6E" w:rsidRPr="0082417C" w:rsidRDefault="00A02C6E" w:rsidP="00A02C6E">
            <w:pPr>
              <w:spacing w:before="40" w:after="120"/>
              <w:ind w:right="113"/>
            </w:pPr>
            <w:r w:rsidRPr="0082417C">
              <w:t xml:space="preserve">CRPD (2008, ratification </w:t>
            </w:r>
            <w:r w:rsidR="00F8027B" w:rsidRPr="0082417C">
              <w:t xml:space="preserve">not </w:t>
            </w:r>
            <w:r w:rsidRPr="0082417C">
              <w:t xml:space="preserve">extended to Tokelau </w:t>
            </w:r>
            <w:r w:rsidR="00F8027B" w:rsidRPr="0082417C">
              <w:t>unless and until a Declaration to this effect is lodged by the Government of New Zealand</w:t>
            </w:r>
            <w:r w:rsidRPr="0082417C">
              <w:t>)</w:t>
            </w:r>
          </w:p>
        </w:tc>
        <w:tc>
          <w:tcPr>
            <w:tcW w:w="2409" w:type="dxa"/>
            <w:shd w:val="clear" w:color="auto" w:fill="auto"/>
          </w:tcPr>
          <w:p w14:paraId="44FE44DC" w14:textId="77777777" w:rsidR="00A02BFB" w:rsidRPr="00A02BFB" w:rsidRDefault="00A02C6E" w:rsidP="002E5BE3">
            <w:pPr>
              <w:spacing w:before="40" w:after="120"/>
              <w:ind w:right="113"/>
            </w:pPr>
            <w:r>
              <w:t>--</w:t>
            </w:r>
          </w:p>
        </w:tc>
        <w:tc>
          <w:tcPr>
            <w:tcW w:w="2410" w:type="dxa"/>
            <w:shd w:val="clear" w:color="auto" w:fill="auto"/>
          </w:tcPr>
          <w:p w14:paraId="69A487B5" w14:textId="77777777" w:rsidR="00A02C6E" w:rsidRPr="00A02C6E" w:rsidRDefault="00A02C6E" w:rsidP="00A02C6E">
            <w:pPr>
              <w:spacing w:before="40" w:after="120"/>
              <w:ind w:right="113"/>
            </w:pPr>
            <w:r w:rsidRPr="00A02C6E">
              <w:t>ICRMW</w:t>
            </w:r>
          </w:p>
          <w:p w14:paraId="67F71826" w14:textId="77777777" w:rsidR="00A02BFB" w:rsidRPr="00A02BFB" w:rsidRDefault="00A02C6E" w:rsidP="00A02C6E">
            <w:pPr>
              <w:spacing w:before="40" w:after="120"/>
              <w:ind w:right="113"/>
            </w:pPr>
            <w:r w:rsidRPr="00A02C6E">
              <w:t>ICPPED</w:t>
            </w:r>
          </w:p>
        </w:tc>
      </w:tr>
      <w:tr w:rsidR="00A02BFB" w:rsidRPr="00A02BFB" w14:paraId="5017F3F1" w14:textId="77777777" w:rsidTr="0028001D">
        <w:tc>
          <w:tcPr>
            <w:tcW w:w="2410" w:type="dxa"/>
            <w:tcBorders>
              <w:bottom w:val="single" w:sz="12" w:space="0" w:color="auto"/>
            </w:tcBorders>
            <w:shd w:val="clear" w:color="auto" w:fill="auto"/>
          </w:tcPr>
          <w:p w14:paraId="285D55AF" w14:textId="77777777" w:rsidR="00A02BFB" w:rsidRPr="00A02BFB" w:rsidRDefault="00A02C6E" w:rsidP="0028001D">
            <w:pPr>
              <w:spacing w:before="40" w:after="120"/>
              <w:ind w:right="113"/>
            </w:pPr>
            <w:r w:rsidRPr="00A02C6E">
              <w:rPr>
                <w:i/>
              </w:rPr>
              <w:t xml:space="preserve">Complaints procedures, inquiries and </w:t>
            </w:r>
            <w:r w:rsidRPr="00A02C6E">
              <w:rPr>
                <w:i/>
              </w:rPr>
              <w:br/>
              <w:t>urgent action</w:t>
            </w:r>
            <w:r w:rsidRPr="00A02C6E">
              <w:rPr>
                <w:i/>
                <w:vertAlign w:val="superscript"/>
              </w:rPr>
              <w:endnoteReference w:id="4"/>
            </w:r>
          </w:p>
        </w:tc>
        <w:tc>
          <w:tcPr>
            <w:tcW w:w="2408" w:type="dxa"/>
            <w:tcBorders>
              <w:bottom w:val="single" w:sz="12" w:space="0" w:color="auto"/>
            </w:tcBorders>
            <w:shd w:val="clear" w:color="auto" w:fill="auto"/>
          </w:tcPr>
          <w:p w14:paraId="1FACD77E" w14:textId="77777777" w:rsidR="00A02C6E" w:rsidRPr="0082417C" w:rsidRDefault="00A02C6E" w:rsidP="00A02C6E">
            <w:pPr>
              <w:spacing w:before="40" w:after="120"/>
              <w:ind w:right="113"/>
            </w:pPr>
            <w:r w:rsidRPr="0082417C">
              <w:t>ICCPR, art. 41 (1978)</w:t>
            </w:r>
          </w:p>
          <w:p w14:paraId="44D3CA19" w14:textId="77777777" w:rsidR="00A02C6E" w:rsidRPr="0082417C" w:rsidRDefault="00A02C6E" w:rsidP="00A02C6E">
            <w:pPr>
              <w:spacing w:before="40" w:after="120"/>
              <w:ind w:right="113"/>
            </w:pPr>
            <w:r w:rsidRPr="0082417C">
              <w:t>ICCPR-OP 1 (1989)</w:t>
            </w:r>
          </w:p>
          <w:p w14:paraId="0BFD0C4F" w14:textId="77777777" w:rsidR="00A02C6E" w:rsidRPr="0082417C" w:rsidRDefault="00A02C6E" w:rsidP="00E504A0">
            <w:pPr>
              <w:spacing w:before="120" w:after="120"/>
              <w:ind w:right="113"/>
            </w:pPr>
            <w:r w:rsidRPr="0082417C">
              <w:lastRenderedPageBreak/>
              <w:t>OP-CEDAW, art. 8 (2000, non-application to Tokelau)</w:t>
            </w:r>
          </w:p>
          <w:p w14:paraId="05CDE368" w14:textId="77777777" w:rsidR="00A02BFB" w:rsidRPr="0082417C" w:rsidRDefault="00A02C6E" w:rsidP="00E504A0">
            <w:pPr>
              <w:spacing w:before="120"/>
              <w:ind w:right="113"/>
            </w:pPr>
            <w:r w:rsidRPr="0082417C">
              <w:t>CAT, arts. 20, 21 and 22 (1989)</w:t>
            </w:r>
          </w:p>
        </w:tc>
        <w:tc>
          <w:tcPr>
            <w:tcW w:w="2409" w:type="dxa"/>
            <w:tcBorders>
              <w:bottom w:val="single" w:sz="12" w:space="0" w:color="auto"/>
            </w:tcBorders>
            <w:shd w:val="clear" w:color="auto" w:fill="auto"/>
          </w:tcPr>
          <w:p w14:paraId="162EDCC6" w14:textId="5D4133FB" w:rsidR="0082417C" w:rsidRDefault="00A02C6E" w:rsidP="00F9718C">
            <w:pPr>
              <w:suppressAutoHyphens w:val="0"/>
              <w:autoSpaceDE w:val="0"/>
              <w:autoSpaceDN w:val="0"/>
              <w:adjustRightInd w:val="0"/>
              <w:spacing w:line="240" w:lineRule="auto"/>
              <w:rPr>
                <w:lang w:eastAsia="en-GB"/>
              </w:rPr>
            </w:pPr>
            <w:r w:rsidRPr="00A02C6E">
              <w:lastRenderedPageBreak/>
              <w:t xml:space="preserve">OP-CRPD, art. 6 (2016, ratification </w:t>
            </w:r>
            <w:r w:rsidR="002E58CB">
              <w:t xml:space="preserve">not </w:t>
            </w:r>
            <w:r w:rsidRPr="00A02C6E">
              <w:t xml:space="preserve">extended to Tokelau </w:t>
            </w:r>
            <w:r w:rsidR="002E58CB" w:rsidRPr="00BA55BC">
              <w:rPr>
                <w:lang w:eastAsia="en-GB"/>
              </w:rPr>
              <w:t xml:space="preserve">unless and until a </w:t>
            </w:r>
            <w:r w:rsidR="002E58CB" w:rsidRPr="00BA55BC">
              <w:rPr>
                <w:lang w:eastAsia="en-GB"/>
              </w:rPr>
              <w:lastRenderedPageBreak/>
              <w:t>Declaration to this effect is lodged by the</w:t>
            </w:r>
          </w:p>
          <w:p w14:paraId="4699C2CE" w14:textId="4B1C4278" w:rsidR="00A02BFB" w:rsidRPr="00A02BFB" w:rsidRDefault="002E58CB" w:rsidP="00F9718C">
            <w:pPr>
              <w:spacing w:before="120" w:after="120"/>
              <w:ind w:right="113"/>
            </w:pPr>
            <w:r w:rsidRPr="00BA55BC">
              <w:rPr>
                <w:lang w:eastAsia="en-GB"/>
              </w:rPr>
              <w:t>Government of New Zealand</w:t>
            </w:r>
            <w:r w:rsidR="00A02C6E" w:rsidRPr="00A02C6E">
              <w:t>)</w:t>
            </w:r>
          </w:p>
        </w:tc>
        <w:tc>
          <w:tcPr>
            <w:tcW w:w="2410" w:type="dxa"/>
            <w:tcBorders>
              <w:bottom w:val="single" w:sz="12" w:space="0" w:color="auto"/>
            </w:tcBorders>
            <w:shd w:val="clear" w:color="auto" w:fill="auto"/>
          </w:tcPr>
          <w:p w14:paraId="13D33141" w14:textId="77777777" w:rsidR="00A02C6E" w:rsidRPr="00A02C6E" w:rsidRDefault="00A02C6E" w:rsidP="00A02C6E">
            <w:pPr>
              <w:spacing w:before="40" w:after="120"/>
              <w:ind w:right="113"/>
            </w:pPr>
            <w:r w:rsidRPr="00A02C6E">
              <w:lastRenderedPageBreak/>
              <w:t>ICERD, art. 14</w:t>
            </w:r>
          </w:p>
          <w:p w14:paraId="28154AFA" w14:textId="77777777" w:rsidR="00A02C6E" w:rsidRPr="00A02C6E" w:rsidRDefault="00A02C6E" w:rsidP="00A02C6E">
            <w:pPr>
              <w:spacing w:before="40" w:after="120"/>
              <w:ind w:right="113"/>
            </w:pPr>
            <w:r w:rsidRPr="00A02C6E">
              <w:t>OP-ICESCR</w:t>
            </w:r>
          </w:p>
          <w:p w14:paraId="53EA33C8" w14:textId="77777777" w:rsidR="00A02C6E" w:rsidRPr="00A02C6E" w:rsidRDefault="00A02C6E" w:rsidP="00A02C6E">
            <w:pPr>
              <w:spacing w:before="40" w:after="120"/>
              <w:ind w:right="113"/>
            </w:pPr>
            <w:r w:rsidRPr="00A02C6E">
              <w:lastRenderedPageBreak/>
              <w:t>OP-CRC-IC</w:t>
            </w:r>
          </w:p>
          <w:p w14:paraId="5AD16D20" w14:textId="77777777" w:rsidR="00A02C6E" w:rsidRPr="00A02C6E" w:rsidRDefault="00A02C6E" w:rsidP="00A02C6E">
            <w:pPr>
              <w:spacing w:before="40" w:after="120"/>
              <w:ind w:right="113"/>
            </w:pPr>
            <w:r w:rsidRPr="00A02C6E">
              <w:t>ICRMW</w:t>
            </w:r>
          </w:p>
          <w:p w14:paraId="2F544CED" w14:textId="77777777" w:rsidR="00A02BFB" w:rsidRPr="00A02BFB" w:rsidRDefault="00A02C6E" w:rsidP="00A02C6E">
            <w:pPr>
              <w:spacing w:before="40" w:after="120"/>
              <w:ind w:right="113"/>
            </w:pPr>
            <w:r w:rsidRPr="00A02C6E">
              <w:t>ICPPED</w:t>
            </w:r>
          </w:p>
        </w:tc>
      </w:tr>
    </w:tbl>
    <w:p w14:paraId="41F64835"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C716454" w14:textId="77777777" w:rsidTr="0028001D">
        <w:tc>
          <w:tcPr>
            <w:tcW w:w="2409" w:type="dxa"/>
            <w:tcBorders>
              <w:top w:val="single" w:sz="4" w:space="0" w:color="auto"/>
              <w:bottom w:val="single" w:sz="12" w:space="0" w:color="auto"/>
            </w:tcBorders>
            <w:shd w:val="clear" w:color="auto" w:fill="auto"/>
          </w:tcPr>
          <w:p w14:paraId="203CE30F"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5ADF8D11"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339E1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5045AFAD"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3E8259BB" w14:textId="77777777" w:rsidTr="00C9264F">
        <w:trPr>
          <w:trHeight w:hRule="exact" w:val="113"/>
        </w:trPr>
        <w:tc>
          <w:tcPr>
            <w:tcW w:w="2409" w:type="dxa"/>
            <w:tcBorders>
              <w:top w:val="single" w:sz="12" w:space="0" w:color="auto"/>
            </w:tcBorders>
            <w:shd w:val="clear" w:color="auto" w:fill="auto"/>
          </w:tcPr>
          <w:p w14:paraId="4522B43F"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5F69A489"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2D9F8D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2F2BCDC9" w14:textId="77777777" w:rsidR="00A02BFB" w:rsidRPr="0028001D" w:rsidRDefault="00A02BFB" w:rsidP="0028001D">
            <w:pPr>
              <w:spacing w:before="80" w:after="80" w:line="200" w:lineRule="exact"/>
              <w:ind w:right="113"/>
              <w:rPr>
                <w:i/>
                <w:sz w:val="16"/>
              </w:rPr>
            </w:pPr>
          </w:p>
        </w:tc>
      </w:tr>
      <w:tr w:rsidR="00517888" w:rsidRPr="00A02BFB" w14:paraId="36A4C5E1" w14:textId="77777777" w:rsidTr="00C9264F">
        <w:tc>
          <w:tcPr>
            <w:tcW w:w="2409" w:type="dxa"/>
            <w:shd w:val="clear" w:color="auto" w:fill="auto"/>
          </w:tcPr>
          <w:p w14:paraId="29B9403D" w14:textId="77777777" w:rsidR="00517888" w:rsidRPr="00A02BFB" w:rsidRDefault="00517888" w:rsidP="0028001D">
            <w:pPr>
              <w:spacing w:before="40" w:after="120"/>
              <w:ind w:right="113"/>
            </w:pPr>
          </w:p>
        </w:tc>
        <w:tc>
          <w:tcPr>
            <w:tcW w:w="2409" w:type="dxa"/>
            <w:shd w:val="clear" w:color="auto" w:fill="auto"/>
          </w:tcPr>
          <w:p w14:paraId="42E22DD1" w14:textId="77777777" w:rsidR="00517888" w:rsidRPr="004A38BF" w:rsidRDefault="00A02C6E" w:rsidP="0028001D">
            <w:pPr>
              <w:spacing w:before="40" w:after="120"/>
              <w:ind w:right="113"/>
            </w:pPr>
            <w:r w:rsidRPr="00A02C6E">
              <w:t>ICESCR (Reservation, art. 8, 1978 / Withdrawal of reservation, art. 10(2) except in Tokelau, 2003)</w:t>
            </w:r>
          </w:p>
        </w:tc>
        <w:tc>
          <w:tcPr>
            <w:tcW w:w="2409" w:type="dxa"/>
            <w:shd w:val="clear" w:color="auto" w:fill="auto"/>
          </w:tcPr>
          <w:p w14:paraId="7A04739A" w14:textId="77777777" w:rsidR="00517888" w:rsidRDefault="00A02C6E" w:rsidP="0028001D">
            <w:pPr>
              <w:spacing w:before="40" w:after="120"/>
              <w:ind w:right="113"/>
            </w:pPr>
            <w:r>
              <w:t>--</w:t>
            </w:r>
            <w:bookmarkStart w:id="1" w:name="_GoBack"/>
            <w:bookmarkEnd w:id="1"/>
          </w:p>
        </w:tc>
        <w:tc>
          <w:tcPr>
            <w:tcW w:w="2410" w:type="dxa"/>
            <w:shd w:val="clear" w:color="auto" w:fill="auto"/>
          </w:tcPr>
          <w:p w14:paraId="17D3E27E" w14:textId="77777777" w:rsidR="00517888" w:rsidRPr="004A38BF" w:rsidRDefault="00A02C6E" w:rsidP="0028001D">
            <w:pPr>
              <w:spacing w:before="40" w:after="120"/>
              <w:ind w:right="113"/>
            </w:pPr>
            <w:r w:rsidRPr="00A02C6E">
              <w:t>ICESCR (Reservation, art. 8 / Reservation, art. 10(2) only in Tokelau)</w:t>
            </w:r>
          </w:p>
        </w:tc>
      </w:tr>
      <w:tr w:rsidR="00517888" w:rsidRPr="00A02BFB" w14:paraId="2AA82100" w14:textId="77777777" w:rsidTr="00C9264F">
        <w:tc>
          <w:tcPr>
            <w:tcW w:w="2409" w:type="dxa"/>
            <w:shd w:val="clear" w:color="auto" w:fill="auto"/>
          </w:tcPr>
          <w:p w14:paraId="6A4814DD" w14:textId="77777777" w:rsidR="00517888" w:rsidRPr="00A02BFB" w:rsidRDefault="00517888" w:rsidP="0028001D">
            <w:pPr>
              <w:spacing w:before="40" w:after="120"/>
              <w:ind w:right="113"/>
            </w:pPr>
          </w:p>
        </w:tc>
        <w:tc>
          <w:tcPr>
            <w:tcW w:w="2409" w:type="dxa"/>
            <w:shd w:val="clear" w:color="auto" w:fill="auto"/>
          </w:tcPr>
          <w:p w14:paraId="6A55511A" w14:textId="77777777" w:rsidR="00517888" w:rsidRPr="000734C0" w:rsidRDefault="00A02C6E" w:rsidP="0028001D">
            <w:pPr>
              <w:spacing w:before="40" w:after="120"/>
              <w:ind w:right="113"/>
            </w:pPr>
            <w:r w:rsidRPr="00A02C6E">
              <w:t>ICCPR (Reservations, arts. 10(2)(b), 10(3), 14(6), 20 and 22, 1978)</w:t>
            </w:r>
          </w:p>
        </w:tc>
        <w:tc>
          <w:tcPr>
            <w:tcW w:w="2409" w:type="dxa"/>
            <w:shd w:val="clear" w:color="auto" w:fill="auto"/>
          </w:tcPr>
          <w:p w14:paraId="66154515" w14:textId="77777777" w:rsidR="00517888" w:rsidRDefault="00A02C6E" w:rsidP="0028001D">
            <w:pPr>
              <w:spacing w:before="40" w:after="120"/>
              <w:ind w:right="113"/>
            </w:pPr>
            <w:r>
              <w:t>--</w:t>
            </w:r>
          </w:p>
        </w:tc>
        <w:tc>
          <w:tcPr>
            <w:tcW w:w="2410" w:type="dxa"/>
            <w:shd w:val="clear" w:color="auto" w:fill="auto"/>
          </w:tcPr>
          <w:p w14:paraId="59083362" w14:textId="77777777" w:rsidR="00517888" w:rsidRPr="000734C0" w:rsidRDefault="00A02C6E" w:rsidP="0028001D">
            <w:pPr>
              <w:spacing w:before="40" w:after="120"/>
              <w:ind w:right="113"/>
            </w:pPr>
            <w:r w:rsidRPr="00A02C6E">
              <w:t>ICCPR (Reservations, arts. 10(2)(b), 10(3), 14(6), 20 and 22)</w:t>
            </w:r>
          </w:p>
        </w:tc>
      </w:tr>
      <w:tr w:rsidR="00A02C6E" w:rsidRPr="00A02BFB" w14:paraId="251BEBF1" w14:textId="77777777" w:rsidTr="00C9264F">
        <w:tc>
          <w:tcPr>
            <w:tcW w:w="2409" w:type="dxa"/>
            <w:shd w:val="clear" w:color="auto" w:fill="auto"/>
          </w:tcPr>
          <w:p w14:paraId="0F06D425" w14:textId="77777777" w:rsidR="00A02C6E" w:rsidRPr="00A02BFB" w:rsidRDefault="00A02C6E" w:rsidP="0028001D">
            <w:pPr>
              <w:spacing w:before="40" w:after="120"/>
              <w:ind w:right="113"/>
            </w:pPr>
          </w:p>
        </w:tc>
        <w:tc>
          <w:tcPr>
            <w:tcW w:w="2409" w:type="dxa"/>
            <w:shd w:val="clear" w:color="auto" w:fill="auto"/>
          </w:tcPr>
          <w:p w14:paraId="14054C70" w14:textId="6B3D3C01" w:rsidR="00A02C6E" w:rsidRPr="00A02C6E" w:rsidRDefault="00A02C6E" w:rsidP="0028001D">
            <w:pPr>
              <w:spacing w:before="40" w:after="120"/>
              <w:ind w:right="113"/>
            </w:pPr>
            <w:r w:rsidRPr="00A02C6E">
              <w:t>CEDAW</w:t>
            </w:r>
            <w:r w:rsidR="000734C0">
              <w:t xml:space="preserve"> </w:t>
            </w:r>
            <w:r w:rsidR="000734C0" w:rsidRPr="00BA55BC">
              <w:t>(Withdrawal of general reservations, 1989 and 2007 / Withdrawal of reservation, art. 11(2)(b), except for Tokelau, 2003)</w:t>
            </w:r>
          </w:p>
        </w:tc>
        <w:tc>
          <w:tcPr>
            <w:tcW w:w="2409" w:type="dxa"/>
            <w:shd w:val="clear" w:color="auto" w:fill="auto"/>
          </w:tcPr>
          <w:p w14:paraId="2A52129F" w14:textId="77777777" w:rsidR="00A02C6E" w:rsidRDefault="00A02C6E" w:rsidP="0028001D">
            <w:pPr>
              <w:spacing w:before="40" w:after="120"/>
              <w:ind w:right="113"/>
            </w:pPr>
            <w:r>
              <w:t>--</w:t>
            </w:r>
          </w:p>
        </w:tc>
        <w:tc>
          <w:tcPr>
            <w:tcW w:w="2410" w:type="dxa"/>
            <w:shd w:val="clear" w:color="auto" w:fill="auto"/>
          </w:tcPr>
          <w:p w14:paraId="29A11E80" w14:textId="77777777" w:rsidR="00A02C6E" w:rsidRPr="00A02C6E" w:rsidRDefault="00A02C6E" w:rsidP="0028001D">
            <w:pPr>
              <w:spacing w:before="40" w:after="120"/>
              <w:ind w:right="113"/>
            </w:pPr>
            <w:r w:rsidRPr="00A02C6E">
              <w:t>CEDAW (Reservation, art. 11(2)(b) only in Tokelau)</w:t>
            </w:r>
          </w:p>
        </w:tc>
      </w:tr>
      <w:tr w:rsidR="00A02C6E" w:rsidRPr="00A02BFB" w14:paraId="4499229E" w14:textId="77777777" w:rsidTr="00C9264F">
        <w:tc>
          <w:tcPr>
            <w:tcW w:w="2409" w:type="dxa"/>
            <w:shd w:val="clear" w:color="auto" w:fill="auto"/>
          </w:tcPr>
          <w:p w14:paraId="3B37556B" w14:textId="77777777" w:rsidR="00A02C6E" w:rsidRPr="00A02BFB" w:rsidRDefault="00A02C6E" w:rsidP="0028001D">
            <w:pPr>
              <w:spacing w:before="40" w:after="120"/>
              <w:ind w:right="113"/>
            </w:pPr>
          </w:p>
        </w:tc>
        <w:tc>
          <w:tcPr>
            <w:tcW w:w="2409" w:type="dxa"/>
            <w:shd w:val="clear" w:color="auto" w:fill="auto"/>
          </w:tcPr>
          <w:p w14:paraId="54D4ADAE" w14:textId="22866C7A" w:rsidR="00A02C6E" w:rsidRPr="00A02C6E" w:rsidRDefault="00A02C6E" w:rsidP="0028001D">
            <w:pPr>
              <w:spacing w:before="40" w:after="120"/>
              <w:ind w:right="113"/>
            </w:pPr>
          </w:p>
        </w:tc>
        <w:tc>
          <w:tcPr>
            <w:tcW w:w="2409" w:type="dxa"/>
            <w:shd w:val="clear" w:color="auto" w:fill="auto"/>
          </w:tcPr>
          <w:p w14:paraId="7E17D4CF" w14:textId="19FC3AA3" w:rsidR="00A02C6E" w:rsidRDefault="00A02C6E" w:rsidP="0028001D">
            <w:pPr>
              <w:spacing w:before="40" w:after="120"/>
              <w:ind w:right="113"/>
            </w:pPr>
          </w:p>
        </w:tc>
        <w:tc>
          <w:tcPr>
            <w:tcW w:w="2410" w:type="dxa"/>
            <w:shd w:val="clear" w:color="auto" w:fill="auto"/>
          </w:tcPr>
          <w:p w14:paraId="734BF8EA" w14:textId="5FED3EA3" w:rsidR="00A02C6E" w:rsidRPr="00A02C6E" w:rsidRDefault="00A02C6E" w:rsidP="0028001D">
            <w:pPr>
              <w:spacing w:before="40" w:after="120"/>
              <w:ind w:right="113"/>
            </w:pPr>
          </w:p>
        </w:tc>
      </w:tr>
      <w:tr w:rsidR="00A02C6E" w:rsidRPr="00A02BFB" w14:paraId="35989B9A" w14:textId="77777777" w:rsidTr="00C9264F">
        <w:tc>
          <w:tcPr>
            <w:tcW w:w="2409" w:type="dxa"/>
            <w:shd w:val="clear" w:color="auto" w:fill="auto"/>
          </w:tcPr>
          <w:p w14:paraId="41D1D9BF" w14:textId="77777777" w:rsidR="00A02C6E" w:rsidRPr="00A02BFB" w:rsidRDefault="00A02C6E" w:rsidP="0028001D">
            <w:pPr>
              <w:spacing w:before="40" w:after="120"/>
              <w:ind w:right="113"/>
            </w:pPr>
          </w:p>
        </w:tc>
        <w:tc>
          <w:tcPr>
            <w:tcW w:w="2409" w:type="dxa"/>
            <w:shd w:val="clear" w:color="auto" w:fill="auto"/>
          </w:tcPr>
          <w:p w14:paraId="2A9B3FC4" w14:textId="77777777" w:rsidR="00A02C6E" w:rsidRPr="00A02C6E" w:rsidRDefault="00A02C6E" w:rsidP="0028001D">
            <w:pPr>
              <w:spacing w:before="40" w:after="120"/>
              <w:ind w:right="113"/>
            </w:pPr>
            <w:r w:rsidRPr="00A02C6E">
              <w:t>CAT (Reservation, art. 14, 1989)</w:t>
            </w:r>
          </w:p>
        </w:tc>
        <w:tc>
          <w:tcPr>
            <w:tcW w:w="2409" w:type="dxa"/>
            <w:shd w:val="clear" w:color="auto" w:fill="auto"/>
          </w:tcPr>
          <w:p w14:paraId="20EA11B4" w14:textId="77777777" w:rsidR="00A02C6E" w:rsidRDefault="00A02C6E" w:rsidP="0028001D">
            <w:pPr>
              <w:spacing w:before="40" w:after="120"/>
              <w:ind w:right="113"/>
            </w:pPr>
            <w:r>
              <w:t>--</w:t>
            </w:r>
          </w:p>
        </w:tc>
        <w:tc>
          <w:tcPr>
            <w:tcW w:w="2410" w:type="dxa"/>
            <w:shd w:val="clear" w:color="auto" w:fill="auto"/>
          </w:tcPr>
          <w:p w14:paraId="4EB5F584" w14:textId="77777777" w:rsidR="00A02C6E" w:rsidRPr="00A02C6E" w:rsidRDefault="00A02C6E" w:rsidP="0028001D">
            <w:pPr>
              <w:spacing w:before="40" w:after="120"/>
              <w:ind w:right="113"/>
            </w:pPr>
            <w:r w:rsidRPr="00A02C6E">
              <w:t>CAT (Reservation, art. 14)</w:t>
            </w:r>
          </w:p>
        </w:tc>
      </w:tr>
      <w:tr w:rsidR="00A02C6E" w:rsidRPr="00A02BFB" w14:paraId="1DD8A7EC" w14:textId="77777777" w:rsidTr="00C9264F">
        <w:tc>
          <w:tcPr>
            <w:tcW w:w="2409" w:type="dxa"/>
            <w:shd w:val="clear" w:color="auto" w:fill="auto"/>
          </w:tcPr>
          <w:p w14:paraId="3A9623D5" w14:textId="77777777" w:rsidR="00A02C6E" w:rsidRPr="00A02BFB" w:rsidRDefault="00A02C6E" w:rsidP="0028001D">
            <w:pPr>
              <w:spacing w:before="40" w:after="120"/>
              <w:ind w:right="113"/>
            </w:pPr>
          </w:p>
        </w:tc>
        <w:tc>
          <w:tcPr>
            <w:tcW w:w="2409" w:type="dxa"/>
            <w:shd w:val="clear" w:color="auto" w:fill="auto"/>
          </w:tcPr>
          <w:p w14:paraId="2CE987C2" w14:textId="2B88DD8A" w:rsidR="00A02C6E" w:rsidRPr="00A02C6E" w:rsidRDefault="00A02C6E" w:rsidP="0028001D">
            <w:pPr>
              <w:spacing w:before="40" w:after="120"/>
              <w:ind w:right="113"/>
            </w:pPr>
          </w:p>
        </w:tc>
        <w:tc>
          <w:tcPr>
            <w:tcW w:w="2409" w:type="dxa"/>
            <w:shd w:val="clear" w:color="auto" w:fill="auto"/>
          </w:tcPr>
          <w:p w14:paraId="1609EE1A" w14:textId="3CA7C74E" w:rsidR="00A02C6E" w:rsidRDefault="00A02C6E" w:rsidP="0028001D">
            <w:pPr>
              <w:spacing w:before="40" w:after="120"/>
              <w:ind w:right="113"/>
            </w:pPr>
          </w:p>
        </w:tc>
        <w:tc>
          <w:tcPr>
            <w:tcW w:w="2410" w:type="dxa"/>
            <w:shd w:val="clear" w:color="auto" w:fill="auto"/>
          </w:tcPr>
          <w:p w14:paraId="16002002" w14:textId="0B95E2D1" w:rsidR="00A02C6E" w:rsidRPr="00A02C6E" w:rsidRDefault="00A02C6E" w:rsidP="0028001D">
            <w:pPr>
              <w:spacing w:before="40" w:after="120"/>
              <w:ind w:right="113"/>
            </w:pPr>
          </w:p>
        </w:tc>
      </w:tr>
      <w:tr w:rsidR="00A02C6E" w:rsidRPr="00A02BFB" w14:paraId="4D0B60A8" w14:textId="77777777" w:rsidTr="00C9264F">
        <w:tc>
          <w:tcPr>
            <w:tcW w:w="2409" w:type="dxa"/>
            <w:shd w:val="clear" w:color="auto" w:fill="auto"/>
          </w:tcPr>
          <w:p w14:paraId="1BAECF3F" w14:textId="77777777" w:rsidR="00A02C6E" w:rsidRPr="00A02BFB" w:rsidRDefault="00A02C6E" w:rsidP="0028001D">
            <w:pPr>
              <w:spacing w:before="40" w:after="120"/>
              <w:ind w:right="113"/>
            </w:pPr>
          </w:p>
        </w:tc>
        <w:tc>
          <w:tcPr>
            <w:tcW w:w="2409" w:type="dxa"/>
            <w:shd w:val="clear" w:color="auto" w:fill="auto"/>
          </w:tcPr>
          <w:p w14:paraId="1C515471" w14:textId="102B197C" w:rsidR="00A02C6E" w:rsidRPr="00A02C6E" w:rsidRDefault="00A02C6E" w:rsidP="000734C0">
            <w:pPr>
              <w:spacing w:before="40" w:after="120"/>
              <w:ind w:right="113"/>
            </w:pPr>
            <w:r w:rsidRPr="00A02C6E">
              <w:t>CRC (General reservation and reservations, arts. 32(1)</w:t>
            </w:r>
            <w:r w:rsidR="000734C0">
              <w:t>(2)</w:t>
            </w:r>
            <w:r w:rsidRPr="00A02C6E">
              <w:t xml:space="preserve"> and 37(c), 1993)</w:t>
            </w:r>
          </w:p>
        </w:tc>
        <w:tc>
          <w:tcPr>
            <w:tcW w:w="2409" w:type="dxa"/>
            <w:shd w:val="clear" w:color="auto" w:fill="auto"/>
          </w:tcPr>
          <w:p w14:paraId="7721417F" w14:textId="77777777" w:rsidR="00A02C6E" w:rsidRDefault="00A02C6E" w:rsidP="0028001D">
            <w:pPr>
              <w:spacing w:before="40" w:after="120"/>
              <w:ind w:right="113"/>
            </w:pPr>
            <w:r>
              <w:t>--</w:t>
            </w:r>
          </w:p>
        </w:tc>
        <w:tc>
          <w:tcPr>
            <w:tcW w:w="2410" w:type="dxa"/>
            <w:shd w:val="clear" w:color="auto" w:fill="auto"/>
          </w:tcPr>
          <w:p w14:paraId="51DAAC28" w14:textId="46FD9262" w:rsidR="00A02C6E" w:rsidRPr="00A02C6E" w:rsidRDefault="00A02C6E" w:rsidP="000734C0">
            <w:pPr>
              <w:spacing w:before="40" w:after="120"/>
              <w:ind w:right="113"/>
            </w:pPr>
            <w:r w:rsidRPr="00A02C6E">
              <w:t>CRC (General reservation and reservations, arts. 32(1)</w:t>
            </w:r>
            <w:r w:rsidR="000734C0">
              <w:t>(2)</w:t>
            </w:r>
            <w:r w:rsidRPr="00A02C6E">
              <w:t xml:space="preserve"> and 37(c))</w:t>
            </w:r>
          </w:p>
        </w:tc>
      </w:tr>
      <w:tr w:rsidR="00A02C6E" w:rsidRPr="00A02BFB" w14:paraId="5BE3B19C" w14:textId="77777777" w:rsidTr="00C9264F">
        <w:tc>
          <w:tcPr>
            <w:tcW w:w="2409" w:type="dxa"/>
            <w:shd w:val="clear" w:color="auto" w:fill="auto"/>
          </w:tcPr>
          <w:p w14:paraId="4887FCF9" w14:textId="77777777" w:rsidR="00A02C6E" w:rsidRPr="00A02BFB" w:rsidRDefault="00A02C6E" w:rsidP="0028001D">
            <w:pPr>
              <w:spacing w:before="40" w:after="120"/>
              <w:ind w:right="113"/>
            </w:pPr>
          </w:p>
        </w:tc>
        <w:tc>
          <w:tcPr>
            <w:tcW w:w="2409" w:type="dxa"/>
            <w:shd w:val="clear" w:color="auto" w:fill="auto"/>
          </w:tcPr>
          <w:p w14:paraId="2400C489" w14:textId="08E59099" w:rsidR="00A02C6E" w:rsidRPr="00A02C6E" w:rsidRDefault="00A02C6E" w:rsidP="000734C0">
            <w:pPr>
              <w:spacing w:before="40" w:after="120"/>
              <w:ind w:right="113"/>
            </w:pPr>
            <w:r w:rsidRPr="00A02C6E">
              <w:t>OP-CRC-AC (Declaration, art. 3.2, minimum age of recruitment 17 years, 2001)</w:t>
            </w:r>
          </w:p>
        </w:tc>
        <w:tc>
          <w:tcPr>
            <w:tcW w:w="2409" w:type="dxa"/>
            <w:shd w:val="clear" w:color="auto" w:fill="auto"/>
          </w:tcPr>
          <w:p w14:paraId="4C807AB5" w14:textId="77777777" w:rsidR="00A02C6E" w:rsidRDefault="00A02C6E" w:rsidP="0028001D">
            <w:pPr>
              <w:spacing w:before="40" w:after="120"/>
              <w:ind w:right="113"/>
            </w:pPr>
            <w:r>
              <w:t>--</w:t>
            </w:r>
          </w:p>
        </w:tc>
        <w:tc>
          <w:tcPr>
            <w:tcW w:w="2410" w:type="dxa"/>
            <w:shd w:val="clear" w:color="auto" w:fill="auto"/>
          </w:tcPr>
          <w:p w14:paraId="77F061C5" w14:textId="27CB05C1" w:rsidR="00A02C6E" w:rsidRPr="00A02C6E" w:rsidRDefault="00A02C6E" w:rsidP="000734C0">
            <w:pPr>
              <w:spacing w:before="40" w:after="120"/>
              <w:ind w:right="113"/>
            </w:pPr>
            <w:r w:rsidRPr="00A02C6E">
              <w:t>OP-CRC-AC (Declaration, art. 3.2, minimum age of recruitment 17 years)</w:t>
            </w:r>
          </w:p>
        </w:tc>
      </w:tr>
      <w:tr w:rsidR="00517888" w:rsidRPr="00A02BFB" w14:paraId="62EDC68B" w14:textId="77777777" w:rsidTr="00A02C6E">
        <w:tc>
          <w:tcPr>
            <w:tcW w:w="2409" w:type="dxa"/>
            <w:shd w:val="clear" w:color="auto" w:fill="auto"/>
          </w:tcPr>
          <w:p w14:paraId="49218F01" w14:textId="77777777" w:rsidR="00517888" w:rsidRPr="00A02BFB" w:rsidRDefault="00517888" w:rsidP="0028001D">
            <w:pPr>
              <w:spacing w:before="40" w:after="120"/>
              <w:ind w:right="113"/>
            </w:pPr>
          </w:p>
        </w:tc>
        <w:tc>
          <w:tcPr>
            <w:tcW w:w="2409" w:type="dxa"/>
            <w:shd w:val="clear" w:color="auto" w:fill="auto"/>
          </w:tcPr>
          <w:p w14:paraId="2777F155" w14:textId="04D42CEF" w:rsidR="00517888" w:rsidRPr="00517888" w:rsidRDefault="00517888" w:rsidP="0028001D">
            <w:pPr>
              <w:spacing w:before="40" w:after="120"/>
              <w:ind w:right="113"/>
            </w:pPr>
          </w:p>
        </w:tc>
        <w:tc>
          <w:tcPr>
            <w:tcW w:w="2409" w:type="dxa"/>
            <w:shd w:val="clear" w:color="auto" w:fill="auto"/>
          </w:tcPr>
          <w:p w14:paraId="3F7206CC" w14:textId="5ACC822C" w:rsidR="00517888" w:rsidRDefault="00517888" w:rsidP="0028001D">
            <w:pPr>
              <w:spacing w:before="40" w:after="120"/>
              <w:ind w:right="113"/>
            </w:pPr>
          </w:p>
        </w:tc>
        <w:tc>
          <w:tcPr>
            <w:tcW w:w="2410" w:type="dxa"/>
            <w:shd w:val="clear" w:color="auto" w:fill="auto"/>
          </w:tcPr>
          <w:p w14:paraId="147B8D70" w14:textId="72AAB869" w:rsidR="00517888" w:rsidRPr="00517888" w:rsidRDefault="00517888" w:rsidP="0028001D">
            <w:pPr>
              <w:spacing w:before="40" w:after="120"/>
              <w:ind w:right="113"/>
            </w:pPr>
          </w:p>
        </w:tc>
      </w:tr>
      <w:tr w:rsidR="00A02C6E" w:rsidRPr="00A02BFB" w14:paraId="6DB0272E" w14:textId="77777777" w:rsidTr="00A02C6E">
        <w:tc>
          <w:tcPr>
            <w:tcW w:w="2409" w:type="dxa"/>
            <w:shd w:val="clear" w:color="auto" w:fill="auto"/>
          </w:tcPr>
          <w:p w14:paraId="56E6BFED" w14:textId="77777777" w:rsidR="00A02C6E" w:rsidRPr="00A02BFB" w:rsidRDefault="00A02C6E" w:rsidP="0028001D">
            <w:pPr>
              <w:spacing w:before="40" w:after="120"/>
              <w:ind w:right="113"/>
            </w:pPr>
          </w:p>
        </w:tc>
        <w:tc>
          <w:tcPr>
            <w:tcW w:w="2409" w:type="dxa"/>
            <w:shd w:val="clear" w:color="auto" w:fill="auto"/>
          </w:tcPr>
          <w:p w14:paraId="6D5DC37B" w14:textId="16C2D088" w:rsidR="00A02C6E" w:rsidRPr="00A02C6E" w:rsidRDefault="00A02C6E" w:rsidP="0028001D">
            <w:pPr>
              <w:spacing w:before="40" w:after="120"/>
              <w:ind w:right="113"/>
            </w:pPr>
          </w:p>
        </w:tc>
        <w:tc>
          <w:tcPr>
            <w:tcW w:w="2409" w:type="dxa"/>
            <w:shd w:val="clear" w:color="auto" w:fill="auto"/>
          </w:tcPr>
          <w:p w14:paraId="41214476" w14:textId="4AC6A4BB" w:rsidR="00A02C6E" w:rsidRDefault="00A02C6E" w:rsidP="0028001D">
            <w:pPr>
              <w:spacing w:before="40" w:after="120"/>
              <w:ind w:right="113"/>
            </w:pPr>
          </w:p>
        </w:tc>
        <w:tc>
          <w:tcPr>
            <w:tcW w:w="2410" w:type="dxa"/>
            <w:shd w:val="clear" w:color="auto" w:fill="auto"/>
          </w:tcPr>
          <w:p w14:paraId="344C4998" w14:textId="41AA8408" w:rsidR="00A02C6E" w:rsidRPr="00A02C6E" w:rsidRDefault="00A02C6E" w:rsidP="0028001D">
            <w:pPr>
              <w:spacing w:before="40" w:after="120"/>
              <w:ind w:right="113"/>
            </w:pPr>
          </w:p>
        </w:tc>
      </w:tr>
      <w:tr w:rsidR="00A02C6E" w:rsidRPr="00A02BFB" w14:paraId="33DE70B1" w14:textId="77777777" w:rsidTr="006549F8">
        <w:tc>
          <w:tcPr>
            <w:tcW w:w="2409" w:type="dxa"/>
            <w:tcBorders>
              <w:bottom w:val="single" w:sz="12" w:space="0" w:color="auto"/>
            </w:tcBorders>
            <w:shd w:val="clear" w:color="auto" w:fill="auto"/>
          </w:tcPr>
          <w:p w14:paraId="19DBFD2F" w14:textId="77777777" w:rsidR="00A02C6E" w:rsidRPr="00A02BFB" w:rsidRDefault="00A02C6E" w:rsidP="0028001D">
            <w:pPr>
              <w:spacing w:before="40" w:after="120"/>
              <w:ind w:right="113"/>
            </w:pPr>
          </w:p>
        </w:tc>
        <w:tc>
          <w:tcPr>
            <w:tcW w:w="2409" w:type="dxa"/>
            <w:tcBorders>
              <w:bottom w:val="single" w:sz="12" w:space="0" w:color="auto"/>
            </w:tcBorders>
            <w:shd w:val="clear" w:color="auto" w:fill="auto"/>
          </w:tcPr>
          <w:p w14:paraId="278CB616" w14:textId="4598088A" w:rsidR="00A02C6E" w:rsidRPr="00A02C6E" w:rsidRDefault="00A02C6E" w:rsidP="0028001D">
            <w:pPr>
              <w:spacing w:before="40" w:after="120"/>
              <w:ind w:right="113"/>
            </w:pPr>
          </w:p>
        </w:tc>
        <w:tc>
          <w:tcPr>
            <w:tcW w:w="2409" w:type="dxa"/>
            <w:tcBorders>
              <w:bottom w:val="single" w:sz="12" w:space="0" w:color="auto"/>
            </w:tcBorders>
            <w:shd w:val="clear" w:color="auto" w:fill="auto"/>
          </w:tcPr>
          <w:p w14:paraId="5C3244CE" w14:textId="748C639B" w:rsidR="00A02C6E" w:rsidRDefault="00A02C6E" w:rsidP="0028001D">
            <w:pPr>
              <w:spacing w:before="40" w:after="120"/>
              <w:ind w:right="113"/>
            </w:pPr>
          </w:p>
        </w:tc>
        <w:tc>
          <w:tcPr>
            <w:tcW w:w="2410" w:type="dxa"/>
            <w:tcBorders>
              <w:bottom w:val="single" w:sz="12" w:space="0" w:color="auto"/>
            </w:tcBorders>
            <w:shd w:val="clear" w:color="auto" w:fill="auto"/>
          </w:tcPr>
          <w:p w14:paraId="0F86725F" w14:textId="5B280C7E" w:rsidR="00A02C6E" w:rsidRPr="00A02C6E" w:rsidRDefault="00A02C6E" w:rsidP="0028001D">
            <w:pPr>
              <w:spacing w:before="40" w:after="120"/>
              <w:ind w:right="113"/>
            </w:pPr>
          </w:p>
        </w:tc>
      </w:tr>
    </w:tbl>
    <w:p w14:paraId="77960965"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6FAD907E" w14:textId="77777777" w:rsidTr="0028001D">
        <w:tc>
          <w:tcPr>
            <w:tcW w:w="2409" w:type="dxa"/>
            <w:tcBorders>
              <w:top w:val="single" w:sz="4" w:space="0" w:color="auto"/>
              <w:bottom w:val="single" w:sz="12" w:space="0" w:color="auto"/>
            </w:tcBorders>
            <w:shd w:val="clear" w:color="auto" w:fill="auto"/>
            <w:vAlign w:val="bottom"/>
          </w:tcPr>
          <w:p w14:paraId="51F35263"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7EAC92FA"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3D8F7A0E"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444A4107"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4B93E552" w14:textId="77777777" w:rsidTr="0028001D">
        <w:trPr>
          <w:trHeight w:hRule="exact" w:val="113"/>
        </w:trPr>
        <w:tc>
          <w:tcPr>
            <w:tcW w:w="2409" w:type="dxa"/>
            <w:shd w:val="clear" w:color="auto" w:fill="auto"/>
            <w:vAlign w:val="bottom"/>
          </w:tcPr>
          <w:p w14:paraId="708D21A4"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715071C2"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36290FF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6055831D" w14:textId="77777777" w:rsidR="00A02BFB" w:rsidRPr="0028001D" w:rsidRDefault="00A02BFB" w:rsidP="0028001D">
            <w:pPr>
              <w:spacing w:before="80" w:after="80" w:line="200" w:lineRule="exact"/>
              <w:ind w:right="113"/>
              <w:rPr>
                <w:i/>
                <w:sz w:val="16"/>
              </w:rPr>
            </w:pPr>
          </w:p>
        </w:tc>
      </w:tr>
      <w:tr w:rsidR="00A02BFB" w:rsidRPr="00A02BFB" w14:paraId="194F5EFC" w14:textId="77777777" w:rsidTr="0028001D">
        <w:tc>
          <w:tcPr>
            <w:tcW w:w="2409" w:type="dxa"/>
            <w:shd w:val="clear" w:color="auto" w:fill="auto"/>
          </w:tcPr>
          <w:p w14:paraId="03D16950"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13C1D278" w14:textId="77777777" w:rsidR="00A02BFB" w:rsidRPr="00BD71B1" w:rsidRDefault="00BD71B1" w:rsidP="0028001D">
            <w:pPr>
              <w:spacing w:before="40" w:after="120"/>
              <w:ind w:right="113"/>
            </w:pPr>
            <w:r w:rsidRPr="00BD71B1">
              <w:t>Convention on the Prevention and Punishment of the Crime of Genocide</w:t>
            </w:r>
          </w:p>
        </w:tc>
        <w:tc>
          <w:tcPr>
            <w:tcW w:w="2409" w:type="dxa"/>
            <w:shd w:val="clear" w:color="auto" w:fill="auto"/>
          </w:tcPr>
          <w:p w14:paraId="0DB4061C" w14:textId="77777777" w:rsidR="00A02BFB" w:rsidRPr="00A02BFB" w:rsidRDefault="00BD71B1" w:rsidP="0028001D">
            <w:pPr>
              <w:spacing w:before="40" w:after="120"/>
              <w:ind w:right="113"/>
            </w:pPr>
            <w:r>
              <w:t>--</w:t>
            </w:r>
          </w:p>
        </w:tc>
        <w:tc>
          <w:tcPr>
            <w:tcW w:w="2410" w:type="dxa"/>
            <w:shd w:val="clear" w:color="auto" w:fill="auto"/>
          </w:tcPr>
          <w:p w14:paraId="4E5B22B5" w14:textId="77777777" w:rsidR="00A02BFB" w:rsidRPr="00A02BFB" w:rsidRDefault="001D60F4" w:rsidP="0028001D">
            <w:pPr>
              <w:spacing w:before="40" w:after="120"/>
              <w:ind w:right="113"/>
            </w:pPr>
            <w:r>
              <w:t>--</w:t>
            </w:r>
          </w:p>
        </w:tc>
      </w:tr>
      <w:tr w:rsidR="00A02BFB" w:rsidRPr="00A02BFB" w14:paraId="7337B280" w14:textId="77777777" w:rsidTr="0028001D">
        <w:tc>
          <w:tcPr>
            <w:tcW w:w="2409" w:type="dxa"/>
            <w:shd w:val="clear" w:color="auto" w:fill="auto"/>
          </w:tcPr>
          <w:p w14:paraId="14FBAC3C" w14:textId="77777777" w:rsidR="00A02BFB" w:rsidRPr="00A02BFB" w:rsidRDefault="00A02BFB" w:rsidP="0028001D">
            <w:pPr>
              <w:spacing w:before="40" w:after="120"/>
              <w:ind w:right="113"/>
            </w:pPr>
          </w:p>
        </w:tc>
        <w:tc>
          <w:tcPr>
            <w:tcW w:w="2409" w:type="dxa"/>
            <w:shd w:val="clear" w:color="auto" w:fill="auto"/>
          </w:tcPr>
          <w:p w14:paraId="160B469A" w14:textId="77777777" w:rsidR="00A02BFB" w:rsidRPr="00B84EF0" w:rsidRDefault="00BD71B1" w:rsidP="0028001D">
            <w:pPr>
              <w:spacing w:before="40" w:after="120"/>
              <w:ind w:right="113"/>
            </w:pPr>
            <w:r w:rsidRPr="00BD71B1">
              <w:t>Geneva Conventions of 12 August 1949 and Additional Protocols I and II</w:t>
            </w:r>
            <w:r w:rsidRPr="00BD71B1">
              <w:rPr>
                <w:vertAlign w:val="superscript"/>
              </w:rPr>
              <w:endnoteReference w:id="5"/>
            </w:r>
          </w:p>
        </w:tc>
        <w:tc>
          <w:tcPr>
            <w:tcW w:w="2409" w:type="dxa"/>
            <w:shd w:val="clear" w:color="auto" w:fill="auto"/>
          </w:tcPr>
          <w:p w14:paraId="49A03C64" w14:textId="77777777" w:rsidR="00A02BFB" w:rsidRPr="00B84EF0" w:rsidRDefault="00BD71B1" w:rsidP="00BD71B1">
            <w:pPr>
              <w:spacing w:before="40" w:after="120"/>
              <w:ind w:right="113"/>
            </w:pPr>
            <w:r w:rsidRPr="00BD71B1">
              <w:t>Additional Protocol III to the 1949 Geneva Conventions</w:t>
            </w:r>
            <w:r w:rsidRPr="00BD71B1">
              <w:rPr>
                <w:vertAlign w:val="superscript"/>
              </w:rPr>
              <w:endnoteReference w:id="6"/>
            </w:r>
            <w:r>
              <w:t xml:space="preserve"> </w:t>
            </w:r>
            <w:r w:rsidRPr="00BD71B1">
              <w:t>(2013)</w:t>
            </w:r>
          </w:p>
        </w:tc>
        <w:tc>
          <w:tcPr>
            <w:tcW w:w="2410" w:type="dxa"/>
            <w:shd w:val="clear" w:color="auto" w:fill="auto"/>
          </w:tcPr>
          <w:p w14:paraId="233995E2" w14:textId="77777777" w:rsidR="00A02BFB" w:rsidRPr="00A02BFB" w:rsidRDefault="001D60F4" w:rsidP="0028001D">
            <w:pPr>
              <w:spacing w:before="40" w:after="120"/>
              <w:ind w:right="113"/>
            </w:pPr>
            <w:r>
              <w:t>--</w:t>
            </w:r>
          </w:p>
        </w:tc>
      </w:tr>
      <w:tr w:rsidR="00A02BFB" w:rsidRPr="00A02BFB" w14:paraId="1E8F0552" w14:textId="77777777" w:rsidTr="0028001D">
        <w:tc>
          <w:tcPr>
            <w:tcW w:w="2409" w:type="dxa"/>
            <w:shd w:val="clear" w:color="auto" w:fill="auto"/>
          </w:tcPr>
          <w:p w14:paraId="3AC7C991" w14:textId="77777777" w:rsidR="00A02BFB" w:rsidRPr="00A02BFB" w:rsidRDefault="00A02BFB" w:rsidP="0028001D">
            <w:pPr>
              <w:spacing w:before="40" w:after="120"/>
              <w:ind w:right="113"/>
            </w:pPr>
          </w:p>
        </w:tc>
        <w:tc>
          <w:tcPr>
            <w:tcW w:w="2409" w:type="dxa"/>
            <w:shd w:val="clear" w:color="auto" w:fill="auto"/>
          </w:tcPr>
          <w:p w14:paraId="1D8C9D43" w14:textId="77777777" w:rsidR="00A02BFB" w:rsidRPr="00B07B0C" w:rsidRDefault="00BD71B1" w:rsidP="0028001D">
            <w:pPr>
              <w:spacing w:before="40" w:after="120"/>
              <w:ind w:right="113"/>
            </w:pPr>
            <w:r w:rsidRPr="00BD71B1">
              <w:t>Rome Statute of the International Criminal Court</w:t>
            </w:r>
          </w:p>
        </w:tc>
        <w:tc>
          <w:tcPr>
            <w:tcW w:w="2409" w:type="dxa"/>
            <w:shd w:val="clear" w:color="auto" w:fill="auto"/>
          </w:tcPr>
          <w:p w14:paraId="3679E829" w14:textId="77777777" w:rsidR="00A02BFB" w:rsidRPr="00A02BFB" w:rsidRDefault="001D60F4" w:rsidP="0028001D">
            <w:pPr>
              <w:spacing w:before="40" w:after="120"/>
              <w:ind w:right="113"/>
            </w:pPr>
            <w:r>
              <w:t>--</w:t>
            </w:r>
          </w:p>
        </w:tc>
        <w:tc>
          <w:tcPr>
            <w:tcW w:w="2410" w:type="dxa"/>
            <w:shd w:val="clear" w:color="auto" w:fill="auto"/>
          </w:tcPr>
          <w:p w14:paraId="7DCC380B" w14:textId="77777777" w:rsidR="00A02BFB" w:rsidRPr="00A02BFB" w:rsidRDefault="001D60F4" w:rsidP="0028001D">
            <w:pPr>
              <w:spacing w:before="40" w:after="120"/>
              <w:ind w:right="113"/>
            </w:pPr>
            <w:r>
              <w:t>--</w:t>
            </w:r>
          </w:p>
        </w:tc>
      </w:tr>
      <w:tr w:rsidR="00A02BFB" w:rsidRPr="00A02BFB" w14:paraId="2BD8F4B9" w14:textId="77777777" w:rsidTr="009B7FA0">
        <w:tc>
          <w:tcPr>
            <w:tcW w:w="2409" w:type="dxa"/>
            <w:shd w:val="clear" w:color="auto" w:fill="auto"/>
          </w:tcPr>
          <w:p w14:paraId="6FCBD00F" w14:textId="77777777" w:rsidR="00A02BFB" w:rsidRPr="00A02BFB" w:rsidRDefault="00A02BFB" w:rsidP="0028001D">
            <w:pPr>
              <w:spacing w:before="40" w:after="120"/>
              <w:ind w:right="113"/>
            </w:pPr>
          </w:p>
        </w:tc>
        <w:tc>
          <w:tcPr>
            <w:tcW w:w="2409" w:type="dxa"/>
            <w:shd w:val="clear" w:color="auto" w:fill="auto"/>
          </w:tcPr>
          <w:p w14:paraId="78F9D545" w14:textId="77777777" w:rsidR="00A02BFB" w:rsidRPr="00B07B0C" w:rsidRDefault="00BD71B1" w:rsidP="0028001D">
            <w:pPr>
              <w:spacing w:before="40" w:after="120"/>
              <w:ind w:right="113"/>
            </w:pPr>
            <w:r w:rsidRPr="00BD71B1">
              <w:t>Conventions on refugees and stateless persons except 1954 Convention</w:t>
            </w:r>
            <w:r w:rsidRPr="00BD71B1">
              <w:rPr>
                <w:vertAlign w:val="superscript"/>
              </w:rPr>
              <w:endnoteReference w:id="7"/>
            </w:r>
          </w:p>
        </w:tc>
        <w:tc>
          <w:tcPr>
            <w:tcW w:w="2409" w:type="dxa"/>
            <w:shd w:val="clear" w:color="auto" w:fill="auto"/>
          </w:tcPr>
          <w:p w14:paraId="2377A1CB" w14:textId="77777777" w:rsidR="00A02BFB" w:rsidRPr="00A02BFB" w:rsidRDefault="001D60F4" w:rsidP="0028001D">
            <w:pPr>
              <w:spacing w:before="40" w:after="120"/>
              <w:ind w:right="113"/>
            </w:pPr>
            <w:r>
              <w:t>--</w:t>
            </w:r>
          </w:p>
        </w:tc>
        <w:tc>
          <w:tcPr>
            <w:tcW w:w="2410" w:type="dxa"/>
            <w:shd w:val="clear" w:color="auto" w:fill="auto"/>
          </w:tcPr>
          <w:p w14:paraId="3F86A79C" w14:textId="77777777" w:rsidR="00A02BFB" w:rsidRPr="00A02BFB" w:rsidRDefault="00BD71B1" w:rsidP="0028001D">
            <w:pPr>
              <w:spacing w:before="40" w:after="120"/>
              <w:ind w:right="113"/>
            </w:pPr>
            <w:r w:rsidRPr="00BD71B1">
              <w:t xml:space="preserve">1954 Convention relating to the Status of Stateless Persons </w:t>
            </w:r>
            <w:r w:rsidRPr="00BD71B1">
              <w:rPr>
                <w:vertAlign w:val="superscript"/>
              </w:rPr>
              <w:endnoteReference w:id="8"/>
            </w:r>
          </w:p>
        </w:tc>
      </w:tr>
      <w:tr w:rsidR="00B34871" w:rsidRPr="00A02BFB" w14:paraId="68D5B14A" w14:textId="77777777" w:rsidTr="002E5BE3">
        <w:tc>
          <w:tcPr>
            <w:tcW w:w="2409" w:type="dxa"/>
            <w:shd w:val="clear" w:color="auto" w:fill="auto"/>
          </w:tcPr>
          <w:p w14:paraId="3D312A02" w14:textId="77777777" w:rsidR="00B34871" w:rsidRPr="00A02BFB" w:rsidRDefault="00F9718C" w:rsidP="0028001D">
            <w:pPr>
              <w:spacing w:before="40" w:after="120"/>
              <w:ind w:right="113"/>
            </w:pPr>
          </w:p>
        </w:tc>
        <w:tc>
          <w:tcPr>
            <w:tcW w:w="2409" w:type="dxa"/>
            <w:shd w:val="clear" w:color="auto" w:fill="auto"/>
          </w:tcPr>
          <w:p w14:paraId="22256F89" w14:textId="77777777" w:rsidR="00B34871" w:rsidRPr="007642AD" w:rsidRDefault="00BD71B1" w:rsidP="0028001D">
            <w:pPr>
              <w:spacing w:before="40" w:after="120"/>
              <w:ind w:right="113"/>
              <w:rPr>
                <w:lang w:val="es-ES"/>
              </w:rPr>
            </w:pPr>
            <w:r w:rsidRPr="00BD71B1">
              <w:t>Palermo Protocol</w:t>
            </w:r>
            <w:r w:rsidRPr="00BD71B1">
              <w:rPr>
                <w:vertAlign w:val="superscript"/>
              </w:rPr>
              <w:endnoteReference w:id="9"/>
            </w:r>
          </w:p>
        </w:tc>
        <w:tc>
          <w:tcPr>
            <w:tcW w:w="2409" w:type="dxa"/>
            <w:shd w:val="clear" w:color="auto" w:fill="auto"/>
          </w:tcPr>
          <w:p w14:paraId="1134A853" w14:textId="77777777" w:rsidR="00B34871" w:rsidRDefault="001D60F4" w:rsidP="0028001D">
            <w:pPr>
              <w:spacing w:before="40" w:after="120"/>
              <w:ind w:right="113"/>
            </w:pPr>
            <w:r>
              <w:t>--</w:t>
            </w:r>
          </w:p>
        </w:tc>
        <w:tc>
          <w:tcPr>
            <w:tcW w:w="2410" w:type="dxa"/>
            <w:shd w:val="clear" w:color="auto" w:fill="auto"/>
          </w:tcPr>
          <w:p w14:paraId="2C2A2B8E" w14:textId="77777777" w:rsidR="00B34871" w:rsidRDefault="001D60F4" w:rsidP="0028001D">
            <w:pPr>
              <w:spacing w:before="40" w:after="120"/>
              <w:ind w:right="113"/>
            </w:pPr>
            <w:r>
              <w:t>--</w:t>
            </w:r>
          </w:p>
        </w:tc>
      </w:tr>
      <w:tr w:rsidR="00B07B0C" w:rsidRPr="0082417C" w14:paraId="3AF45AE4" w14:textId="77777777" w:rsidTr="002E5BE3">
        <w:tc>
          <w:tcPr>
            <w:tcW w:w="2409" w:type="dxa"/>
            <w:shd w:val="clear" w:color="auto" w:fill="auto"/>
          </w:tcPr>
          <w:p w14:paraId="68FF4164" w14:textId="77777777" w:rsidR="00B07B0C" w:rsidRPr="00A02BFB" w:rsidRDefault="00B07B0C" w:rsidP="0028001D">
            <w:pPr>
              <w:spacing w:before="40" w:after="120"/>
              <w:ind w:right="113"/>
            </w:pPr>
          </w:p>
        </w:tc>
        <w:tc>
          <w:tcPr>
            <w:tcW w:w="2409" w:type="dxa"/>
            <w:shd w:val="clear" w:color="auto" w:fill="auto"/>
          </w:tcPr>
          <w:p w14:paraId="237C8D8B" w14:textId="77777777" w:rsidR="00B07B0C" w:rsidRPr="007642AD" w:rsidRDefault="00BD71B1" w:rsidP="0028001D">
            <w:pPr>
              <w:spacing w:before="40" w:after="120"/>
              <w:ind w:right="113"/>
              <w:rPr>
                <w:lang w:val="es-ES"/>
              </w:rPr>
            </w:pPr>
            <w:r w:rsidRPr="00BD71B1">
              <w:t>ILO fundamental Conventions except Nos. 87 and 138</w:t>
            </w:r>
            <w:r w:rsidRPr="00BD71B1">
              <w:rPr>
                <w:vertAlign w:val="superscript"/>
              </w:rPr>
              <w:t xml:space="preserve"> </w:t>
            </w:r>
            <w:r w:rsidRPr="00BD71B1">
              <w:rPr>
                <w:vertAlign w:val="superscript"/>
              </w:rPr>
              <w:endnoteReference w:id="10"/>
            </w:r>
          </w:p>
        </w:tc>
        <w:tc>
          <w:tcPr>
            <w:tcW w:w="2409" w:type="dxa"/>
            <w:shd w:val="clear" w:color="auto" w:fill="auto"/>
          </w:tcPr>
          <w:p w14:paraId="7C4EDCC4" w14:textId="77777777" w:rsidR="00B07B0C" w:rsidRDefault="001D60F4" w:rsidP="0028001D">
            <w:pPr>
              <w:spacing w:before="40" w:after="120"/>
              <w:ind w:right="113"/>
            </w:pPr>
            <w:r>
              <w:t>--</w:t>
            </w:r>
          </w:p>
        </w:tc>
        <w:tc>
          <w:tcPr>
            <w:tcW w:w="2410" w:type="dxa"/>
            <w:shd w:val="clear" w:color="auto" w:fill="auto"/>
          </w:tcPr>
          <w:p w14:paraId="78785225" w14:textId="77777777" w:rsidR="00B07B0C" w:rsidRPr="00C23599" w:rsidRDefault="00BD71B1" w:rsidP="0028001D">
            <w:pPr>
              <w:spacing w:before="40" w:after="120"/>
              <w:ind w:right="113"/>
              <w:rPr>
                <w:lang w:val="pt-BR"/>
              </w:rPr>
            </w:pPr>
            <w:r w:rsidRPr="00BD71B1">
              <w:rPr>
                <w:lang w:val="pt-BR"/>
              </w:rPr>
              <w:t>ILO fundamental conventions Nos. 87 and 138</w:t>
            </w:r>
            <w:r w:rsidRPr="00BD71B1">
              <w:rPr>
                <w:vertAlign w:val="superscript"/>
              </w:rPr>
              <w:endnoteReference w:id="11"/>
            </w:r>
          </w:p>
        </w:tc>
      </w:tr>
      <w:tr w:rsidR="002E5BE3" w:rsidRPr="00A02BFB" w14:paraId="4E318D94" w14:textId="77777777" w:rsidTr="001D60F4">
        <w:tc>
          <w:tcPr>
            <w:tcW w:w="2409" w:type="dxa"/>
            <w:shd w:val="clear" w:color="auto" w:fill="auto"/>
          </w:tcPr>
          <w:p w14:paraId="4B4FA3A3" w14:textId="77777777" w:rsidR="002E5BE3" w:rsidRPr="00C23599" w:rsidRDefault="002E5BE3" w:rsidP="0028001D">
            <w:pPr>
              <w:spacing w:before="40" w:after="120"/>
              <w:ind w:right="113"/>
              <w:rPr>
                <w:lang w:val="pt-BR"/>
              </w:rPr>
            </w:pPr>
          </w:p>
        </w:tc>
        <w:tc>
          <w:tcPr>
            <w:tcW w:w="2409" w:type="dxa"/>
            <w:shd w:val="clear" w:color="auto" w:fill="auto"/>
          </w:tcPr>
          <w:p w14:paraId="494570A4" w14:textId="77777777" w:rsidR="002E5BE3" w:rsidRPr="007642AD" w:rsidRDefault="001D60F4" w:rsidP="0028001D">
            <w:pPr>
              <w:spacing w:before="40" w:after="120"/>
              <w:ind w:right="113"/>
              <w:rPr>
                <w:lang w:val="es-ES"/>
              </w:rPr>
            </w:pPr>
            <w:r>
              <w:rPr>
                <w:lang w:val="es-ES"/>
              </w:rPr>
              <w:t>--</w:t>
            </w:r>
          </w:p>
        </w:tc>
        <w:tc>
          <w:tcPr>
            <w:tcW w:w="2409" w:type="dxa"/>
            <w:shd w:val="clear" w:color="auto" w:fill="auto"/>
          </w:tcPr>
          <w:p w14:paraId="07FF27E9" w14:textId="77777777" w:rsidR="002E5BE3" w:rsidRDefault="001D60F4" w:rsidP="0028001D">
            <w:pPr>
              <w:spacing w:before="40" w:after="120"/>
              <w:ind w:right="113"/>
            </w:pPr>
            <w:r>
              <w:t>--</w:t>
            </w:r>
          </w:p>
        </w:tc>
        <w:tc>
          <w:tcPr>
            <w:tcW w:w="2410" w:type="dxa"/>
            <w:shd w:val="clear" w:color="auto" w:fill="auto"/>
          </w:tcPr>
          <w:p w14:paraId="62AAD16F" w14:textId="77777777" w:rsidR="002E5BE3" w:rsidRDefault="00BD71B1" w:rsidP="0028001D">
            <w:pPr>
              <w:spacing w:before="40" w:after="120"/>
              <w:ind w:right="113"/>
            </w:pPr>
            <w:r w:rsidRPr="00BD71B1">
              <w:t>ILO Conventions Nos. 169 and 189</w:t>
            </w:r>
            <w:r w:rsidRPr="00BD71B1">
              <w:rPr>
                <w:vertAlign w:val="superscript"/>
              </w:rPr>
              <w:endnoteReference w:id="12"/>
            </w:r>
          </w:p>
        </w:tc>
      </w:tr>
      <w:tr w:rsidR="001D60F4" w:rsidRPr="00A02BFB" w14:paraId="21042D6B" w14:textId="77777777" w:rsidTr="00B65CCC">
        <w:tc>
          <w:tcPr>
            <w:tcW w:w="2409" w:type="dxa"/>
            <w:tcBorders>
              <w:bottom w:val="single" w:sz="12" w:space="0" w:color="auto"/>
            </w:tcBorders>
            <w:shd w:val="clear" w:color="auto" w:fill="auto"/>
          </w:tcPr>
          <w:p w14:paraId="5E114313" w14:textId="77777777" w:rsidR="001D60F4" w:rsidRPr="00A02BFB" w:rsidRDefault="001D60F4" w:rsidP="0028001D">
            <w:pPr>
              <w:spacing w:before="40" w:after="120"/>
              <w:ind w:right="113"/>
            </w:pPr>
          </w:p>
        </w:tc>
        <w:tc>
          <w:tcPr>
            <w:tcW w:w="2409" w:type="dxa"/>
            <w:tcBorders>
              <w:bottom w:val="single" w:sz="12" w:space="0" w:color="auto"/>
            </w:tcBorders>
            <w:shd w:val="clear" w:color="auto" w:fill="auto"/>
          </w:tcPr>
          <w:p w14:paraId="574727B6" w14:textId="77777777" w:rsidR="001D60F4" w:rsidRPr="004A38BF" w:rsidRDefault="001D60F4" w:rsidP="0028001D">
            <w:pPr>
              <w:spacing w:before="40" w:after="120"/>
              <w:ind w:right="113"/>
            </w:pPr>
            <w:r w:rsidRPr="001D60F4">
              <w:t>Convention against Discrimination in Education</w:t>
            </w:r>
          </w:p>
        </w:tc>
        <w:tc>
          <w:tcPr>
            <w:tcW w:w="2409" w:type="dxa"/>
            <w:tcBorders>
              <w:bottom w:val="single" w:sz="12" w:space="0" w:color="auto"/>
            </w:tcBorders>
            <w:shd w:val="clear" w:color="auto" w:fill="auto"/>
          </w:tcPr>
          <w:p w14:paraId="5FCB5BF7" w14:textId="77777777" w:rsidR="001D60F4" w:rsidRDefault="001D60F4" w:rsidP="0028001D">
            <w:pPr>
              <w:spacing w:before="40" w:after="120"/>
              <w:ind w:right="113"/>
            </w:pPr>
            <w:r>
              <w:t>--</w:t>
            </w:r>
          </w:p>
        </w:tc>
        <w:tc>
          <w:tcPr>
            <w:tcW w:w="2410" w:type="dxa"/>
            <w:tcBorders>
              <w:bottom w:val="single" w:sz="12" w:space="0" w:color="auto"/>
            </w:tcBorders>
            <w:shd w:val="clear" w:color="auto" w:fill="auto"/>
          </w:tcPr>
          <w:p w14:paraId="1793ED52" w14:textId="77777777" w:rsidR="001D60F4" w:rsidRPr="00BD71B1" w:rsidRDefault="001D60F4" w:rsidP="0028001D">
            <w:pPr>
              <w:spacing w:before="40" w:after="120"/>
              <w:ind w:right="113"/>
            </w:pPr>
            <w:r>
              <w:t>--</w:t>
            </w:r>
          </w:p>
        </w:tc>
      </w:tr>
    </w:tbl>
    <w:p w14:paraId="384F386A"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52340C7B" w14:textId="77777777"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1D60F4" w:rsidRPr="001D60F4">
        <w:t>Cooperation with treaty bodies</w:t>
      </w:r>
      <w:r w:rsidR="001D60F4" w:rsidRPr="004C2795">
        <w:rPr>
          <w:rStyle w:val="EndnoteReference"/>
          <w:b w:val="0"/>
        </w:rPr>
        <w:endnoteReference w:id="13"/>
      </w:r>
    </w:p>
    <w:p w14:paraId="31CF9996" w14:textId="7777777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57" w:type="dxa"/>
        <w:tblLayout w:type="fixed"/>
        <w:tblCellMar>
          <w:left w:w="0" w:type="dxa"/>
          <w:right w:w="0" w:type="dxa"/>
        </w:tblCellMar>
        <w:tblLook w:val="04A0" w:firstRow="1" w:lastRow="0" w:firstColumn="1" w:lastColumn="0" w:noHBand="0" w:noVBand="1"/>
      </w:tblPr>
      <w:tblGrid>
        <w:gridCol w:w="1928"/>
        <w:gridCol w:w="1928"/>
        <w:gridCol w:w="1927"/>
        <w:gridCol w:w="1947"/>
        <w:gridCol w:w="1927"/>
      </w:tblGrid>
      <w:tr w:rsidR="00FD242A" w:rsidRPr="00A02BFB" w14:paraId="4E8F62C8" w14:textId="77777777" w:rsidTr="008909C7">
        <w:tc>
          <w:tcPr>
            <w:tcW w:w="1928" w:type="dxa"/>
            <w:tcBorders>
              <w:top w:val="single" w:sz="4" w:space="0" w:color="auto"/>
              <w:bottom w:val="single" w:sz="12" w:space="0" w:color="auto"/>
            </w:tcBorders>
            <w:shd w:val="clear" w:color="auto" w:fill="auto"/>
            <w:vAlign w:val="bottom"/>
          </w:tcPr>
          <w:p w14:paraId="0443CD3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3825440C"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08B0649E"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47" w:type="dxa"/>
            <w:tcBorders>
              <w:top w:val="single" w:sz="4" w:space="0" w:color="auto"/>
              <w:bottom w:val="single" w:sz="12" w:space="0" w:color="auto"/>
            </w:tcBorders>
            <w:shd w:val="clear" w:color="auto" w:fill="auto"/>
            <w:vAlign w:val="bottom"/>
          </w:tcPr>
          <w:p w14:paraId="7210B638"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062B84B9"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6D2467C1" w14:textId="77777777" w:rsidTr="008909C7">
        <w:trPr>
          <w:trHeight w:hRule="exact" w:val="113"/>
        </w:trPr>
        <w:tc>
          <w:tcPr>
            <w:tcW w:w="1928" w:type="dxa"/>
            <w:shd w:val="clear" w:color="auto" w:fill="auto"/>
            <w:vAlign w:val="bottom"/>
          </w:tcPr>
          <w:p w14:paraId="6DCD679F"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D3E3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23189CC6" w14:textId="77777777" w:rsidR="00A02BFB" w:rsidRPr="0028001D" w:rsidRDefault="00A02BFB" w:rsidP="0028001D">
            <w:pPr>
              <w:spacing w:before="80" w:after="80" w:line="200" w:lineRule="exact"/>
              <w:ind w:right="113"/>
              <w:rPr>
                <w:i/>
                <w:sz w:val="16"/>
              </w:rPr>
            </w:pPr>
          </w:p>
        </w:tc>
        <w:tc>
          <w:tcPr>
            <w:tcW w:w="1947" w:type="dxa"/>
            <w:shd w:val="clear" w:color="auto" w:fill="auto"/>
            <w:vAlign w:val="bottom"/>
          </w:tcPr>
          <w:p w14:paraId="024314DA"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62839628" w14:textId="77777777" w:rsidR="00A02BFB" w:rsidRPr="0028001D" w:rsidRDefault="00A02BFB" w:rsidP="0028001D">
            <w:pPr>
              <w:spacing w:before="80" w:after="80" w:line="200" w:lineRule="exact"/>
              <w:ind w:right="113"/>
              <w:rPr>
                <w:i/>
                <w:sz w:val="16"/>
              </w:rPr>
            </w:pPr>
          </w:p>
        </w:tc>
      </w:tr>
      <w:tr w:rsidR="00FD242A" w:rsidRPr="00A02BFB" w14:paraId="51F8DF01" w14:textId="77777777" w:rsidTr="008909C7">
        <w:tc>
          <w:tcPr>
            <w:tcW w:w="1928" w:type="dxa"/>
            <w:shd w:val="clear" w:color="auto" w:fill="auto"/>
          </w:tcPr>
          <w:p w14:paraId="28AD452F" w14:textId="77777777" w:rsidR="00A02BFB" w:rsidRPr="00A02BFB" w:rsidRDefault="00A02BFB" w:rsidP="0028001D">
            <w:pPr>
              <w:spacing w:before="40" w:after="120"/>
              <w:ind w:right="113"/>
            </w:pPr>
            <w:r w:rsidRPr="00A02BFB">
              <w:t>CERD</w:t>
            </w:r>
          </w:p>
        </w:tc>
        <w:tc>
          <w:tcPr>
            <w:tcW w:w="1928" w:type="dxa"/>
            <w:shd w:val="clear" w:color="auto" w:fill="auto"/>
          </w:tcPr>
          <w:p w14:paraId="1A43EF79" w14:textId="77777777" w:rsidR="00A02BFB" w:rsidRPr="00A02BFB" w:rsidRDefault="008909C7" w:rsidP="0028001D">
            <w:pPr>
              <w:spacing w:before="40" w:after="120"/>
              <w:ind w:right="113"/>
            </w:pPr>
            <w:r w:rsidRPr="008909C7">
              <w:t>February 2013</w:t>
            </w:r>
          </w:p>
        </w:tc>
        <w:tc>
          <w:tcPr>
            <w:tcW w:w="1927" w:type="dxa"/>
            <w:shd w:val="clear" w:color="auto" w:fill="auto"/>
          </w:tcPr>
          <w:p w14:paraId="3B46AECD" w14:textId="77777777" w:rsidR="00A02BFB" w:rsidRPr="00A02BFB" w:rsidRDefault="008909C7" w:rsidP="0028001D">
            <w:pPr>
              <w:spacing w:before="40" w:after="120"/>
              <w:ind w:right="113"/>
            </w:pPr>
            <w:r>
              <w:t>2016</w:t>
            </w:r>
          </w:p>
        </w:tc>
        <w:tc>
          <w:tcPr>
            <w:tcW w:w="1947" w:type="dxa"/>
            <w:shd w:val="clear" w:color="auto" w:fill="auto"/>
          </w:tcPr>
          <w:p w14:paraId="21ACD101" w14:textId="77777777" w:rsidR="00A02BFB" w:rsidRPr="00A02BFB" w:rsidRDefault="008909C7" w:rsidP="0028001D">
            <w:pPr>
              <w:spacing w:before="40" w:after="120"/>
              <w:ind w:right="113"/>
            </w:pPr>
            <w:r w:rsidRPr="008909C7">
              <w:t>August 2017</w:t>
            </w:r>
          </w:p>
        </w:tc>
        <w:tc>
          <w:tcPr>
            <w:tcW w:w="1927" w:type="dxa"/>
            <w:shd w:val="clear" w:color="auto" w:fill="auto"/>
          </w:tcPr>
          <w:p w14:paraId="7DDAE7BB" w14:textId="77777777" w:rsidR="00A02BFB" w:rsidRPr="00A02BFB" w:rsidRDefault="008909C7" w:rsidP="0028001D">
            <w:pPr>
              <w:spacing w:before="40" w:after="120"/>
              <w:ind w:right="113"/>
            </w:pPr>
            <w:r w:rsidRPr="008909C7">
              <w:rPr>
                <w:bCs/>
              </w:rPr>
              <w:t>Twenty-third and twenty-fourth reports due in 2021</w:t>
            </w:r>
          </w:p>
        </w:tc>
      </w:tr>
      <w:tr w:rsidR="00FD242A" w:rsidRPr="00A02BFB" w14:paraId="0B06A245" w14:textId="77777777" w:rsidTr="008909C7">
        <w:tc>
          <w:tcPr>
            <w:tcW w:w="1928" w:type="dxa"/>
            <w:shd w:val="clear" w:color="auto" w:fill="auto"/>
          </w:tcPr>
          <w:p w14:paraId="538FFCC2" w14:textId="77777777" w:rsidR="00A02BFB" w:rsidRPr="00A02BFB" w:rsidRDefault="00A02BFB" w:rsidP="0028001D">
            <w:pPr>
              <w:spacing w:before="40" w:after="120"/>
              <w:ind w:right="113"/>
            </w:pPr>
            <w:r w:rsidRPr="00A02BFB">
              <w:t>CESCR</w:t>
            </w:r>
          </w:p>
        </w:tc>
        <w:tc>
          <w:tcPr>
            <w:tcW w:w="1928" w:type="dxa"/>
            <w:shd w:val="clear" w:color="auto" w:fill="auto"/>
          </w:tcPr>
          <w:p w14:paraId="55E07EAF" w14:textId="77777777" w:rsidR="00A02BFB" w:rsidRPr="00A02BFB" w:rsidRDefault="008909C7" w:rsidP="0028001D">
            <w:pPr>
              <w:spacing w:before="40" w:after="120"/>
              <w:ind w:right="113"/>
            </w:pPr>
            <w:r>
              <w:t>May 2012</w:t>
            </w:r>
          </w:p>
        </w:tc>
        <w:tc>
          <w:tcPr>
            <w:tcW w:w="1927" w:type="dxa"/>
            <w:shd w:val="clear" w:color="auto" w:fill="auto"/>
          </w:tcPr>
          <w:p w14:paraId="2068E21B" w14:textId="77777777" w:rsidR="00A02BFB" w:rsidRPr="00A02BFB" w:rsidRDefault="008909C7" w:rsidP="0028001D">
            <w:pPr>
              <w:spacing w:before="40" w:after="120"/>
              <w:ind w:right="113"/>
            </w:pPr>
            <w:r>
              <w:t>2017</w:t>
            </w:r>
          </w:p>
        </w:tc>
        <w:tc>
          <w:tcPr>
            <w:tcW w:w="1947" w:type="dxa"/>
            <w:shd w:val="clear" w:color="auto" w:fill="auto"/>
          </w:tcPr>
          <w:p w14:paraId="72B6FA2D" w14:textId="77777777" w:rsidR="00A02BFB" w:rsidRPr="00A02BFB" w:rsidRDefault="008909C7" w:rsidP="0028001D">
            <w:pPr>
              <w:spacing w:before="40" w:after="120"/>
              <w:ind w:right="113"/>
            </w:pPr>
            <w:r w:rsidRPr="008909C7">
              <w:t>March 2018</w:t>
            </w:r>
          </w:p>
        </w:tc>
        <w:tc>
          <w:tcPr>
            <w:tcW w:w="1927" w:type="dxa"/>
            <w:shd w:val="clear" w:color="auto" w:fill="auto"/>
          </w:tcPr>
          <w:p w14:paraId="70A87E6A" w14:textId="77777777" w:rsidR="00A02BFB" w:rsidRPr="00A02BFB" w:rsidRDefault="008909C7" w:rsidP="0028001D">
            <w:pPr>
              <w:spacing w:before="40" w:after="120"/>
              <w:ind w:right="113"/>
            </w:pPr>
            <w:r w:rsidRPr="008909C7">
              <w:t>Fifth report due in 2023</w:t>
            </w:r>
          </w:p>
        </w:tc>
      </w:tr>
      <w:tr w:rsidR="00FD242A" w:rsidRPr="00A02BFB" w14:paraId="468917A4" w14:textId="77777777" w:rsidTr="008909C7">
        <w:tc>
          <w:tcPr>
            <w:tcW w:w="1928" w:type="dxa"/>
            <w:shd w:val="clear" w:color="auto" w:fill="auto"/>
          </w:tcPr>
          <w:p w14:paraId="188BEAFD" w14:textId="77777777" w:rsidR="00A02BFB" w:rsidRPr="00A02BFB" w:rsidRDefault="00A02BFB" w:rsidP="0028001D">
            <w:pPr>
              <w:spacing w:before="40" w:after="120"/>
              <w:ind w:right="113"/>
            </w:pPr>
            <w:r w:rsidRPr="00A02BFB">
              <w:t>HR Committee</w:t>
            </w:r>
          </w:p>
        </w:tc>
        <w:tc>
          <w:tcPr>
            <w:tcW w:w="1928" w:type="dxa"/>
            <w:shd w:val="clear" w:color="auto" w:fill="auto"/>
          </w:tcPr>
          <w:p w14:paraId="4AC2AF0C" w14:textId="77777777" w:rsidR="00A02BFB" w:rsidRPr="00A02BFB" w:rsidRDefault="008909C7" w:rsidP="0028001D">
            <w:pPr>
              <w:spacing w:before="40" w:after="120"/>
              <w:ind w:right="113"/>
            </w:pPr>
            <w:r w:rsidRPr="008909C7">
              <w:t>March 2010</w:t>
            </w:r>
          </w:p>
        </w:tc>
        <w:tc>
          <w:tcPr>
            <w:tcW w:w="1927" w:type="dxa"/>
            <w:shd w:val="clear" w:color="auto" w:fill="auto"/>
          </w:tcPr>
          <w:p w14:paraId="29C22F9C" w14:textId="77777777" w:rsidR="00A02BFB" w:rsidRPr="00A02BFB" w:rsidRDefault="008909C7" w:rsidP="0028001D">
            <w:pPr>
              <w:spacing w:before="40" w:after="120"/>
              <w:ind w:right="113"/>
            </w:pPr>
            <w:r w:rsidRPr="008909C7">
              <w:t>2015</w:t>
            </w:r>
          </w:p>
        </w:tc>
        <w:tc>
          <w:tcPr>
            <w:tcW w:w="1947" w:type="dxa"/>
            <w:shd w:val="clear" w:color="auto" w:fill="auto"/>
          </w:tcPr>
          <w:p w14:paraId="19A93BC1" w14:textId="77777777" w:rsidR="00A02BFB" w:rsidRPr="00A02BFB" w:rsidRDefault="008909C7" w:rsidP="0028001D">
            <w:pPr>
              <w:spacing w:before="40" w:after="120"/>
              <w:ind w:right="113"/>
            </w:pPr>
            <w:r w:rsidRPr="008909C7">
              <w:t>March 2016</w:t>
            </w:r>
          </w:p>
        </w:tc>
        <w:tc>
          <w:tcPr>
            <w:tcW w:w="1927" w:type="dxa"/>
            <w:shd w:val="clear" w:color="auto" w:fill="auto"/>
          </w:tcPr>
          <w:p w14:paraId="0C662AEA" w14:textId="77777777" w:rsidR="00A02BFB" w:rsidRPr="00A02BFB" w:rsidRDefault="008909C7" w:rsidP="0028001D">
            <w:pPr>
              <w:spacing w:before="40" w:after="120"/>
              <w:ind w:right="113"/>
            </w:pPr>
            <w:r w:rsidRPr="008909C7">
              <w:t>Seventh report due in 2023</w:t>
            </w:r>
          </w:p>
        </w:tc>
      </w:tr>
      <w:tr w:rsidR="00FD242A" w:rsidRPr="00A02BFB" w14:paraId="2C754DCD" w14:textId="77777777" w:rsidTr="008909C7">
        <w:tc>
          <w:tcPr>
            <w:tcW w:w="1928" w:type="dxa"/>
            <w:shd w:val="clear" w:color="auto" w:fill="auto"/>
          </w:tcPr>
          <w:p w14:paraId="145CD71B" w14:textId="77777777" w:rsidR="00A02BFB" w:rsidRPr="00A02BFB" w:rsidRDefault="00A02BFB" w:rsidP="0028001D">
            <w:pPr>
              <w:spacing w:before="40" w:after="120"/>
              <w:ind w:right="113"/>
            </w:pPr>
            <w:r w:rsidRPr="00A02BFB">
              <w:t>CEDAW</w:t>
            </w:r>
          </w:p>
        </w:tc>
        <w:tc>
          <w:tcPr>
            <w:tcW w:w="1928" w:type="dxa"/>
            <w:shd w:val="clear" w:color="auto" w:fill="auto"/>
          </w:tcPr>
          <w:p w14:paraId="48B4E932" w14:textId="77777777" w:rsidR="00A02BFB" w:rsidRPr="00A02BFB" w:rsidRDefault="008909C7" w:rsidP="0028001D">
            <w:pPr>
              <w:spacing w:before="40" w:after="120"/>
              <w:ind w:right="113"/>
            </w:pPr>
            <w:r>
              <w:t>July 2012</w:t>
            </w:r>
          </w:p>
        </w:tc>
        <w:tc>
          <w:tcPr>
            <w:tcW w:w="1927" w:type="dxa"/>
            <w:shd w:val="clear" w:color="auto" w:fill="auto"/>
          </w:tcPr>
          <w:p w14:paraId="5F62FA74" w14:textId="77777777" w:rsidR="00A02BFB" w:rsidRPr="00A02BFB" w:rsidRDefault="008909C7" w:rsidP="0028001D">
            <w:pPr>
              <w:spacing w:before="40" w:after="120"/>
              <w:ind w:right="113"/>
            </w:pPr>
            <w:r>
              <w:t>2016</w:t>
            </w:r>
          </w:p>
        </w:tc>
        <w:tc>
          <w:tcPr>
            <w:tcW w:w="1947" w:type="dxa"/>
            <w:shd w:val="clear" w:color="auto" w:fill="auto"/>
          </w:tcPr>
          <w:p w14:paraId="732F256E" w14:textId="2A7421E1" w:rsidR="00A02BFB" w:rsidRPr="00A02BFB" w:rsidRDefault="00AF73AF" w:rsidP="00AF73AF">
            <w:pPr>
              <w:spacing w:before="40" w:after="120"/>
              <w:ind w:right="113"/>
            </w:pPr>
            <w:r>
              <w:t>July 2018</w:t>
            </w:r>
          </w:p>
        </w:tc>
        <w:tc>
          <w:tcPr>
            <w:tcW w:w="1927" w:type="dxa"/>
            <w:shd w:val="clear" w:color="auto" w:fill="auto"/>
          </w:tcPr>
          <w:p w14:paraId="72BBDF60" w14:textId="133BAB2B" w:rsidR="00A02BFB" w:rsidRPr="00A02BFB" w:rsidRDefault="00AF73AF" w:rsidP="00AF73AF">
            <w:pPr>
              <w:spacing w:before="40" w:after="120"/>
              <w:ind w:right="113"/>
            </w:pPr>
            <w:r>
              <w:t xml:space="preserve">Ninth </w:t>
            </w:r>
            <w:r w:rsidR="008909C7" w:rsidRPr="008909C7">
              <w:t xml:space="preserve">report </w:t>
            </w:r>
            <w:r>
              <w:t>due in 2022.</w:t>
            </w:r>
          </w:p>
        </w:tc>
      </w:tr>
      <w:tr w:rsidR="00FD242A" w:rsidRPr="00A02BFB" w14:paraId="60C15122" w14:textId="77777777" w:rsidTr="008909C7">
        <w:tc>
          <w:tcPr>
            <w:tcW w:w="1928" w:type="dxa"/>
            <w:shd w:val="clear" w:color="auto" w:fill="auto"/>
          </w:tcPr>
          <w:p w14:paraId="2B3688EA" w14:textId="77777777" w:rsidR="00A02BFB" w:rsidRPr="00A02BFB" w:rsidRDefault="00A02BFB" w:rsidP="0028001D">
            <w:pPr>
              <w:spacing w:before="40" w:after="120"/>
              <w:ind w:right="113"/>
            </w:pPr>
            <w:r w:rsidRPr="00A02BFB">
              <w:t>CAT</w:t>
            </w:r>
          </w:p>
        </w:tc>
        <w:tc>
          <w:tcPr>
            <w:tcW w:w="1928" w:type="dxa"/>
            <w:shd w:val="clear" w:color="auto" w:fill="auto"/>
          </w:tcPr>
          <w:p w14:paraId="662F51DF" w14:textId="77777777" w:rsidR="00A02BFB" w:rsidRPr="00A02BFB" w:rsidRDefault="008909C7" w:rsidP="0060015D">
            <w:pPr>
              <w:spacing w:before="40" w:after="120"/>
              <w:ind w:right="113"/>
            </w:pPr>
            <w:r w:rsidRPr="008909C7">
              <w:t>May 2009</w:t>
            </w:r>
          </w:p>
        </w:tc>
        <w:tc>
          <w:tcPr>
            <w:tcW w:w="1927" w:type="dxa"/>
            <w:shd w:val="clear" w:color="auto" w:fill="auto"/>
          </w:tcPr>
          <w:p w14:paraId="4064C22F" w14:textId="77777777" w:rsidR="00A02BFB" w:rsidRPr="00A02BFB" w:rsidRDefault="008909C7" w:rsidP="0028001D">
            <w:pPr>
              <w:spacing w:before="40" w:after="120"/>
              <w:ind w:right="113"/>
            </w:pPr>
            <w:r w:rsidRPr="008909C7">
              <w:t>2013</w:t>
            </w:r>
          </w:p>
        </w:tc>
        <w:tc>
          <w:tcPr>
            <w:tcW w:w="1947" w:type="dxa"/>
            <w:shd w:val="clear" w:color="auto" w:fill="auto"/>
          </w:tcPr>
          <w:p w14:paraId="747A6DAC" w14:textId="77777777" w:rsidR="00A02BFB" w:rsidRPr="00A02BFB" w:rsidRDefault="008909C7" w:rsidP="0028001D">
            <w:pPr>
              <w:spacing w:before="40" w:after="120"/>
              <w:ind w:right="113"/>
            </w:pPr>
            <w:r w:rsidRPr="008909C7">
              <w:t>May 2015</w:t>
            </w:r>
          </w:p>
        </w:tc>
        <w:tc>
          <w:tcPr>
            <w:tcW w:w="1927" w:type="dxa"/>
            <w:shd w:val="clear" w:color="auto" w:fill="auto"/>
          </w:tcPr>
          <w:p w14:paraId="17CE4F35" w14:textId="77777777" w:rsidR="00A02BFB" w:rsidRPr="00A02BFB" w:rsidRDefault="008909C7" w:rsidP="0028001D">
            <w:pPr>
              <w:spacing w:before="40" w:after="120"/>
              <w:ind w:right="113"/>
            </w:pPr>
            <w:r w:rsidRPr="008909C7">
              <w:t>Seventh report due in 2019</w:t>
            </w:r>
          </w:p>
        </w:tc>
      </w:tr>
      <w:tr w:rsidR="00FD242A" w:rsidRPr="00A02BFB" w14:paraId="024DCC32" w14:textId="77777777" w:rsidTr="008909C7">
        <w:tc>
          <w:tcPr>
            <w:tcW w:w="1928" w:type="dxa"/>
            <w:shd w:val="clear" w:color="auto" w:fill="auto"/>
          </w:tcPr>
          <w:p w14:paraId="73527DFC" w14:textId="77777777" w:rsidR="00A02BFB" w:rsidRPr="00A02BFB" w:rsidRDefault="00A02BFB" w:rsidP="0028001D">
            <w:pPr>
              <w:spacing w:before="40" w:after="120"/>
              <w:ind w:right="113"/>
            </w:pPr>
            <w:r w:rsidRPr="00A02BFB">
              <w:t>CRC</w:t>
            </w:r>
          </w:p>
        </w:tc>
        <w:tc>
          <w:tcPr>
            <w:tcW w:w="1928" w:type="dxa"/>
            <w:shd w:val="clear" w:color="auto" w:fill="auto"/>
          </w:tcPr>
          <w:p w14:paraId="3EB81752" w14:textId="77777777" w:rsidR="00A02BFB" w:rsidRPr="00A02BFB" w:rsidRDefault="008909C7" w:rsidP="0028001D">
            <w:pPr>
              <w:spacing w:before="40" w:after="120"/>
              <w:ind w:right="113"/>
            </w:pPr>
            <w:r w:rsidRPr="008909C7">
              <w:t>February 2011 (to CRC)</w:t>
            </w:r>
          </w:p>
        </w:tc>
        <w:tc>
          <w:tcPr>
            <w:tcW w:w="1927" w:type="dxa"/>
            <w:shd w:val="clear" w:color="auto" w:fill="auto"/>
          </w:tcPr>
          <w:p w14:paraId="3763787C" w14:textId="77777777" w:rsidR="00A02BFB" w:rsidRPr="00A02BFB" w:rsidRDefault="008909C7" w:rsidP="0028001D">
            <w:pPr>
              <w:spacing w:before="40" w:after="120"/>
              <w:ind w:right="113"/>
            </w:pPr>
            <w:r w:rsidRPr="008909C7">
              <w:t>2015 (to CRC) / 2016 (to OP-CRC-SC)</w:t>
            </w:r>
          </w:p>
        </w:tc>
        <w:tc>
          <w:tcPr>
            <w:tcW w:w="1947" w:type="dxa"/>
            <w:shd w:val="clear" w:color="auto" w:fill="auto"/>
          </w:tcPr>
          <w:p w14:paraId="7E1202C3" w14:textId="77777777" w:rsidR="00A02BFB" w:rsidRPr="00A02BFB" w:rsidRDefault="008909C7" w:rsidP="0028001D">
            <w:pPr>
              <w:spacing w:before="40" w:after="120"/>
              <w:ind w:right="113"/>
            </w:pPr>
            <w:r w:rsidRPr="008909C7">
              <w:t>September 2016 (to CRC and OP-CRC-SC)</w:t>
            </w:r>
          </w:p>
        </w:tc>
        <w:tc>
          <w:tcPr>
            <w:tcW w:w="1927" w:type="dxa"/>
            <w:shd w:val="clear" w:color="auto" w:fill="auto"/>
          </w:tcPr>
          <w:p w14:paraId="1400EB41" w14:textId="77777777" w:rsidR="00A02BFB" w:rsidRPr="00A02BFB" w:rsidRDefault="008909C7" w:rsidP="0028001D">
            <w:pPr>
              <w:spacing w:before="40" w:after="120"/>
              <w:ind w:right="113"/>
            </w:pPr>
            <w:r w:rsidRPr="008909C7">
              <w:t>Sixth report due in 2021</w:t>
            </w:r>
          </w:p>
        </w:tc>
      </w:tr>
      <w:tr w:rsidR="00C2509F" w:rsidRPr="00A02BFB" w14:paraId="02BF30B7" w14:textId="77777777" w:rsidTr="008909C7">
        <w:tc>
          <w:tcPr>
            <w:tcW w:w="1928" w:type="dxa"/>
            <w:shd w:val="clear" w:color="auto" w:fill="auto"/>
          </w:tcPr>
          <w:p w14:paraId="7D9F5AC0" w14:textId="77777777" w:rsidR="00C2509F" w:rsidRDefault="00C2509F" w:rsidP="0060015D">
            <w:pPr>
              <w:spacing w:before="40" w:after="120"/>
              <w:ind w:right="113"/>
            </w:pPr>
            <w:r>
              <w:t>C</w:t>
            </w:r>
            <w:r w:rsidR="0060015D">
              <w:t>RP</w:t>
            </w:r>
            <w:r>
              <w:t>D</w:t>
            </w:r>
          </w:p>
        </w:tc>
        <w:tc>
          <w:tcPr>
            <w:tcW w:w="1928" w:type="dxa"/>
            <w:shd w:val="clear" w:color="auto" w:fill="auto"/>
          </w:tcPr>
          <w:p w14:paraId="6569679E" w14:textId="77777777" w:rsidR="00C2509F" w:rsidRDefault="008909C7" w:rsidP="0028001D">
            <w:pPr>
              <w:spacing w:before="40" w:after="120"/>
              <w:ind w:right="113"/>
            </w:pPr>
            <w:r>
              <w:t>--</w:t>
            </w:r>
          </w:p>
        </w:tc>
        <w:tc>
          <w:tcPr>
            <w:tcW w:w="1927" w:type="dxa"/>
            <w:shd w:val="clear" w:color="auto" w:fill="auto"/>
          </w:tcPr>
          <w:p w14:paraId="17B91083" w14:textId="77777777" w:rsidR="00C2509F" w:rsidRPr="00A02BFB" w:rsidRDefault="008909C7" w:rsidP="0028001D">
            <w:pPr>
              <w:spacing w:before="40" w:after="120"/>
              <w:ind w:right="113"/>
            </w:pPr>
            <w:r>
              <w:t>2012</w:t>
            </w:r>
          </w:p>
        </w:tc>
        <w:tc>
          <w:tcPr>
            <w:tcW w:w="1947" w:type="dxa"/>
            <w:shd w:val="clear" w:color="auto" w:fill="auto"/>
          </w:tcPr>
          <w:p w14:paraId="31BB2B96" w14:textId="77777777" w:rsidR="00C2509F" w:rsidRPr="00A02BFB" w:rsidRDefault="008909C7" w:rsidP="0028001D">
            <w:pPr>
              <w:spacing w:before="40" w:after="120"/>
              <w:ind w:right="113"/>
            </w:pPr>
            <w:r w:rsidRPr="008909C7">
              <w:t>September 2014</w:t>
            </w:r>
          </w:p>
        </w:tc>
        <w:tc>
          <w:tcPr>
            <w:tcW w:w="1927" w:type="dxa"/>
            <w:shd w:val="clear" w:color="auto" w:fill="auto"/>
          </w:tcPr>
          <w:p w14:paraId="7483E398" w14:textId="73224571" w:rsidR="007A09CD" w:rsidRPr="00A02BFB" w:rsidRDefault="008909C7" w:rsidP="00AF73AF">
            <w:pPr>
              <w:spacing w:before="40" w:after="120"/>
              <w:ind w:right="113"/>
            </w:pPr>
            <w:r w:rsidRPr="008909C7">
              <w:t xml:space="preserve">Second and third reports </w:t>
            </w:r>
            <w:r w:rsidR="00AF73AF">
              <w:t>over</w:t>
            </w:r>
            <w:r w:rsidRPr="008909C7">
              <w:t xml:space="preserve">due </w:t>
            </w:r>
            <w:r w:rsidR="00AF73AF">
              <w:t xml:space="preserve">since </w:t>
            </w:r>
            <w:r w:rsidRPr="008909C7">
              <w:t>October 2018.</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14:paraId="4D4F02FA" w14:textId="77777777" w:rsidTr="007A09CD">
        <w:tc>
          <w:tcPr>
            <w:tcW w:w="1925" w:type="dxa"/>
            <w:tcBorders>
              <w:bottom w:val="single" w:sz="12" w:space="0" w:color="auto"/>
            </w:tcBorders>
            <w:shd w:val="clear" w:color="auto" w:fill="auto"/>
            <w:vAlign w:val="bottom"/>
          </w:tcPr>
          <w:p w14:paraId="7BBC7E92" w14:textId="77777777" w:rsidR="007A09CD" w:rsidRPr="007A09CD" w:rsidRDefault="007A09CD" w:rsidP="007A09CD">
            <w:pPr>
              <w:spacing w:before="80" w:after="80" w:line="200" w:lineRule="exact"/>
              <w:ind w:right="113"/>
              <w:rPr>
                <w:i/>
                <w:sz w:val="16"/>
              </w:rPr>
            </w:pPr>
            <w:bookmarkStart w:id="4" w:name="Table_Response_TB_follow_up"/>
          </w:p>
        </w:tc>
        <w:tc>
          <w:tcPr>
            <w:tcW w:w="1928" w:type="dxa"/>
            <w:tcBorders>
              <w:bottom w:val="single" w:sz="12" w:space="0" w:color="auto"/>
            </w:tcBorders>
            <w:shd w:val="clear" w:color="auto" w:fill="auto"/>
            <w:vAlign w:val="bottom"/>
          </w:tcPr>
          <w:p w14:paraId="095099AF"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742495AE"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3A8F1C83"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1F45A170" w14:textId="77777777" w:rsidR="007A09CD" w:rsidRPr="007A09CD" w:rsidRDefault="007A09CD" w:rsidP="007A09CD">
            <w:pPr>
              <w:spacing w:before="80" w:after="80" w:line="200" w:lineRule="exact"/>
              <w:ind w:right="113"/>
              <w:rPr>
                <w:i/>
                <w:sz w:val="16"/>
              </w:rPr>
            </w:pPr>
          </w:p>
        </w:tc>
      </w:tr>
      <w:tr w:rsidR="007A09CD" w:rsidRPr="007A09CD" w14:paraId="37B23B79" w14:textId="77777777" w:rsidTr="007A09CD">
        <w:trPr>
          <w:trHeight w:hRule="exact" w:val="113"/>
        </w:trPr>
        <w:tc>
          <w:tcPr>
            <w:tcW w:w="1925" w:type="dxa"/>
            <w:tcBorders>
              <w:top w:val="single" w:sz="12" w:space="0" w:color="auto"/>
            </w:tcBorders>
            <w:shd w:val="clear" w:color="auto" w:fill="auto"/>
            <w:vAlign w:val="bottom"/>
          </w:tcPr>
          <w:p w14:paraId="6B3220FC"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D286086"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10BF3FC"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29BD567"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F569580" w14:textId="77777777" w:rsidR="007A09CD" w:rsidRPr="007A09CD" w:rsidRDefault="007A09CD" w:rsidP="007A09CD">
            <w:pPr>
              <w:spacing w:before="80" w:after="80" w:line="200" w:lineRule="exact"/>
              <w:ind w:right="113"/>
              <w:rPr>
                <w:i/>
                <w:sz w:val="16"/>
              </w:rPr>
            </w:pPr>
          </w:p>
        </w:tc>
      </w:tr>
    </w:tbl>
    <w:p w14:paraId="4BA0610E" w14:textId="77777777"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4E06AA07" w14:textId="77777777" w:rsidTr="00B22B96">
        <w:tc>
          <w:tcPr>
            <w:tcW w:w="2407" w:type="dxa"/>
            <w:tcBorders>
              <w:top w:val="single" w:sz="4" w:space="0" w:color="auto"/>
              <w:bottom w:val="single" w:sz="12" w:space="0" w:color="auto"/>
            </w:tcBorders>
            <w:shd w:val="clear" w:color="auto" w:fill="auto"/>
            <w:vAlign w:val="bottom"/>
          </w:tcPr>
          <w:p w14:paraId="62B83697" w14:textId="77777777"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50133D42" w14:textId="77777777"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0D21F73A" w14:textId="77777777"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6B163546" w14:textId="77777777" w:rsidR="00B22B96" w:rsidRPr="00B22B96" w:rsidRDefault="00B22B96" w:rsidP="00B22B96">
            <w:pPr>
              <w:spacing w:before="80" w:after="80" w:line="200" w:lineRule="exact"/>
              <w:ind w:right="113"/>
              <w:rPr>
                <w:i/>
                <w:sz w:val="16"/>
              </w:rPr>
            </w:pPr>
            <w:r>
              <w:rPr>
                <w:i/>
                <w:sz w:val="16"/>
              </w:rPr>
              <w:t>Submitted</w:t>
            </w:r>
          </w:p>
        </w:tc>
      </w:tr>
      <w:tr w:rsidR="00B22B96" w:rsidRPr="00B22B96" w14:paraId="5868747E" w14:textId="77777777" w:rsidTr="00B22B96">
        <w:trPr>
          <w:trHeight w:hRule="exact" w:val="113"/>
        </w:trPr>
        <w:tc>
          <w:tcPr>
            <w:tcW w:w="2407" w:type="dxa"/>
            <w:tcBorders>
              <w:top w:val="single" w:sz="12" w:space="0" w:color="auto"/>
            </w:tcBorders>
            <w:shd w:val="clear" w:color="auto" w:fill="auto"/>
            <w:vAlign w:val="bottom"/>
          </w:tcPr>
          <w:p w14:paraId="70B5A216"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03181424"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4DC95D27"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4107843A" w14:textId="77777777" w:rsidR="00B22B96" w:rsidRPr="00B22B96" w:rsidRDefault="00B22B96" w:rsidP="00B22B96">
            <w:pPr>
              <w:spacing w:before="80" w:after="80" w:line="200" w:lineRule="exact"/>
              <w:ind w:right="113"/>
              <w:rPr>
                <w:i/>
                <w:sz w:val="16"/>
              </w:rPr>
            </w:pPr>
          </w:p>
        </w:tc>
      </w:tr>
      <w:tr w:rsidR="00B22B96" w:rsidRPr="00B22B96" w14:paraId="0F243AB8" w14:textId="77777777" w:rsidTr="00B22B96">
        <w:tc>
          <w:tcPr>
            <w:tcW w:w="2407" w:type="dxa"/>
            <w:shd w:val="clear" w:color="auto" w:fill="auto"/>
          </w:tcPr>
          <w:p w14:paraId="3A49F44B" w14:textId="77777777" w:rsidR="00B22B96" w:rsidRPr="00B22B96" w:rsidRDefault="00B22B96" w:rsidP="00B22B96">
            <w:pPr>
              <w:spacing w:before="40" w:after="120"/>
              <w:ind w:right="113"/>
            </w:pPr>
            <w:r>
              <w:t>CERD</w:t>
            </w:r>
          </w:p>
        </w:tc>
        <w:tc>
          <w:tcPr>
            <w:tcW w:w="2410" w:type="dxa"/>
            <w:shd w:val="clear" w:color="auto" w:fill="auto"/>
          </w:tcPr>
          <w:p w14:paraId="422DB803" w14:textId="77777777" w:rsidR="00B22B96" w:rsidRPr="00B22B96" w:rsidRDefault="00EB7553" w:rsidP="00B22B96">
            <w:pPr>
              <w:spacing w:before="40" w:after="120"/>
              <w:ind w:right="113"/>
            </w:pPr>
            <w:r w:rsidRPr="00EB7553">
              <w:t>2014</w:t>
            </w:r>
          </w:p>
        </w:tc>
        <w:tc>
          <w:tcPr>
            <w:tcW w:w="2410" w:type="dxa"/>
            <w:shd w:val="clear" w:color="auto" w:fill="auto"/>
          </w:tcPr>
          <w:p w14:paraId="6EF931F7" w14:textId="77777777" w:rsidR="00B22B96" w:rsidRPr="00B22B96" w:rsidRDefault="00B5098D" w:rsidP="00B22B96">
            <w:pPr>
              <w:spacing w:before="40" w:after="120"/>
              <w:ind w:right="113"/>
            </w:pPr>
            <w:r w:rsidRPr="00B5098D">
              <w:rPr>
                <w:bCs/>
              </w:rPr>
              <w:t>National action plan on human rights; incitement to racial hatred and violence; indigenous peoples; and languages.</w:t>
            </w:r>
            <w:r w:rsidRPr="00B5098D">
              <w:rPr>
                <w:bCs/>
                <w:vertAlign w:val="superscript"/>
              </w:rPr>
              <w:endnoteReference w:id="14"/>
            </w:r>
          </w:p>
        </w:tc>
        <w:tc>
          <w:tcPr>
            <w:tcW w:w="2410" w:type="dxa"/>
            <w:shd w:val="clear" w:color="auto" w:fill="auto"/>
          </w:tcPr>
          <w:p w14:paraId="68FEB9A1" w14:textId="77777777" w:rsidR="00B22B96" w:rsidRPr="00B22B96" w:rsidRDefault="00B5098D" w:rsidP="00B22B96">
            <w:pPr>
              <w:spacing w:before="40" w:after="120"/>
              <w:ind w:right="113"/>
            </w:pPr>
            <w:r w:rsidRPr="00B5098D">
              <w:t>2014</w:t>
            </w:r>
            <w:r w:rsidRPr="00B5098D">
              <w:rPr>
                <w:vertAlign w:val="superscript"/>
              </w:rPr>
              <w:endnoteReference w:id="15"/>
            </w:r>
          </w:p>
        </w:tc>
      </w:tr>
      <w:tr w:rsidR="00B22B96" w:rsidRPr="00B22B96" w14:paraId="5EB39970" w14:textId="77777777" w:rsidTr="00B22B96">
        <w:tc>
          <w:tcPr>
            <w:tcW w:w="2407" w:type="dxa"/>
            <w:shd w:val="clear" w:color="auto" w:fill="auto"/>
          </w:tcPr>
          <w:p w14:paraId="7BED6787" w14:textId="04CF026E" w:rsidR="00B22B96" w:rsidRPr="00B22B96" w:rsidRDefault="00B22B96" w:rsidP="00AF73AF">
            <w:pPr>
              <w:spacing w:before="40" w:after="120"/>
              <w:ind w:right="113"/>
            </w:pPr>
          </w:p>
        </w:tc>
        <w:tc>
          <w:tcPr>
            <w:tcW w:w="2410" w:type="dxa"/>
            <w:shd w:val="clear" w:color="auto" w:fill="auto"/>
          </w:tcPr>
          <w:p w14:paraId="5DA99935" w14:textId="77777777" w:rsidR="00B22B96" w:rsidRPr="00B22B96" w:rsidRDefault="00B5098D" w:rsidP="00B22B96">
            <w:pPr>
              <w:spacing w:before="40" w:after="120"/>
              <w:ind w:right="113"/>
            </w:pPr>
            <w:r>
              <w:t>2018</w:t>
            </w:r>
          </w:p>
        </w:tc>
        <w:tc>
          <w:tcPr>
            <w:tcW w:w="2410" w:type="dxa"/>
            <w:shd w:val="clear" w:color="auto" w:fill="auto"/>
          </w:tcPr>
          <w:p w14:paraId="4E676723" w14:textId="77777777" w:rsidR="00B22B96" w:rsidRPr="00B22B96" w:rsidRDefault="00B5098D" w:rsidP="00B22B96">
            <w:pPr>
              <w:spacing w:before="40" w:after="120"/>
              <w:ind w:right="113"/>
            </w:pPr>
            <w:r w:rsidRPr="00B5098D">
              <w:rPr>
                <w:bCs/>
              </w:rPr>
              <w:t xml:space="preserve">Maori land issues and the treaty settlement process; </w:t>
            </w:r>
            <w:r w:rsidRPr="00B5098D">
              <w:t xml:space="preserve">Maori </w:t>
            </w:r>
            <w:r w:rsidRPr="00B5098D">
              <w:rPr>
                <w:bCs/>
              </w:rPr>
              <w:t>intellectual and cultural property rights; and Maori and Pasifika children.</w:t>
            </w:r>
            <w:r w:rsidRPr="00B5098D">
              <w:rPr>
                <w:bCs/>
                <w:vertAlign w:val="superscript"/>
              </w:rPr>
              <w:endnoteReference w:id="16"/>
            </w:r>
          </w:p>
        </w:tc>
        <w:tc>
          <w:tcPr>
            <w:tcW w:w="2410" w:type="dxa"/>
            <w:shd w:val="clear" w:color="auto" w:fill="auto"/>
          </w:tcPr>
          <w:p w14:paraId="6FEC7E3B" w14:textId="149CEB8A" w:rsidR="00B22B96" w:rsidRPr="00B22B96" w:rsidRDefault="00AF73AF" w:rsidP="00B22B96">
            <w:pPr>
              <w:spacing w:before="40" w:after="120"/>
              <w:ind w:right="113"/>
            </w:pPr>
            <w:r>
              <w:t>2018</w:t>
            </w:r>
            <w:r>
              <w:rPr>
                <w:rStyle w:val="EndnoteReference"/>
              </w:rPr>
              <w:endnoteReference w:id="17"/>
            </w:r>
          </w:p>
        </w:tc>
      </w:tr>
      <w:tr w:rsidR="00B22B96" w:rsidRPr="00B22B96" w14:paraId="2977AD63" w14:textId="77777777" w:rsidTr="00B22B96">
        <w:tc>
          <w:tcPr>
            <w:tcW w:w="2407" w:type="dxa"/>
            <w:shd w:val="clear" w:color="auto" w:fill="auto"/>
          </w:tcPr>
          <w:p w14:paraId="2B124F35" w14:textId="77777777" w:rsidR="00B22B96" w:rsidRPr="00B22B96" w:rsidRDefault="00215F07" w:rsidP="00B22B96">
            <w:pPr>
              <w:spacing w:before="40" w:after="120"/>
              <w:ind w:right="113"/>
            </w:pPr>
            <w:r>
              <w:t>CESCR</w:t>
            </w:r>
          </w:p>
        </w:tc>
        <w:tc>
          <w:tcPr>
            <w:tcW w:w="2410" w:type="dxa"/>
            <w:shd w:val="clear" w:color="auto" w:fill="auto"/>
          </w:tcPr>
          <w:p w14:paraId="78755ED8" w14:textId="77777777" w:rsidR="00B22B96" w:rsidRPr="00B22B96" w:rsidRDefault="00B5098D" w:rsidP="00B22B96">
            <w:pPr>
              <w:spacing w:before="40" w:after="120"/>
              <w:ind w:right="113"/>
            </w:pPr>
            <w:r w:rsidRPr="00B5098D">
              <w:t>2019</w:t>
            </w:r>
          </w:p>
        </w:tc>
        <w:tc>
          <w:tcPr>
            <w:tcW w:w="2410" w:type="dxa"/>
            <w:shd w:val="clear" w:color="auto" w:fill="auto"/>
          </w:tcPr>
          <w:p w14:paraId="49C48652" w14:textId="77777777" w:rsidR="00B22B96" w:rsidRPr="00B22B96" w:rsidRDefault="00B5098D" w:rsidP="00B22B96">
            <w:pPr>
              <w:spacing w:before="40" w:after="120"/>
              <w:ind w:right="113"/>
            </w:pPr>
            <w:r w:rsidRPr="00B5098D">
              <w:rPr>
                <w:bCs/>
              </w:rPr>
              <w:t>Family violence strategy; sanctions regime in social security; and chapeau on a national housing strategy.</w:t>
            </w:r>
            <w:r w:rsidRPr="00B5098D">
              <w:rPr>
                <w:bCs/>
                <w:vertAlign w:val="superscript"/>
              </w:rPr>
              <w:endnoteReference w:id="18"/>
            </w:r>
          </w:p>
        </w:tc>
        <w:tc>
          <w:tcPr>
            <w:tcW w:w="2410" w:type="dxa"/>
            <w:shd w:val="clear" w:color="auto" w:fill="auto"/>
          </w:tcPr>
          <w:p w14:paraId="1361C964" w14:textId="77777777" w:rsidR="00B22B96" w:rsidRPr="00B22B96" w:rsidRDefault="00B5098D" w:rsidP="00B22B96">
            <w:pPr>
              <w:spacing w:before="40" w:after="120"/>
              <w:ind w:right="113"/>
            </w:pPr>
            <w:r>
              <w:t>--</w:t>
            </w:r>
          </w:p>
        </w:tc>
      </w:tr>
      <w:tr w:rsidR="00B22B96" w:rsidRPr="00B22B96" w14:paraId="38FA93C3" w14:textId="77777777" w:rsidTr="00B22B96">
        <w:tc>
          <w:tcPr>
            <w:tcW w:w="2407" w:type="dxa"/>
            <w:shd w:val="clear" w:color="auto" w:fill="auto"/>
          </w:tcPr>
          <w:p w14:paraId="6F43814F" w14:textId="77777777" w:rsidR="00B22B96" w:rsidRPr="00B22B96" w:rsidRDefault="00215F07" w:rsidP="00B22B96">
            <w:pPr>
              <w:spacing w:before="40" w:after="120"/>
              <w:ind w:right="113"/>
            </w:pPr>
            <w:r>
              <w:t>HR Committee</w:t>
            </w:r>
          </w:p>
        </w:tc>
        <w:tc>
          <w:tcPr>
            <w:tcW w:w="2410" w:type="dxa"/>
            <w:shd w:val="clear" w:color="auto" w:fill="auto"/>
          </w:tcPr>
          <w:p w14:paraId="0BC4A572" w14:textId="77777777" w:rsidR="00B22B96" w:rsidRPr="00B22B96" w:rsidRDefault="00B5098D" w:rsidP="00B22B96">
            <w:pPr>
              <w:spacing w:before="40" w:after="120"/>
              <w:ind w:right="113"/>
            </w:pPr>
            <w:r>
              <w:t>2017</w:t>
            </w:r>
          </w:p>
        </w:tc>
        <w:tc>
          <w:tcPr>
            <w:tcW w:w="2410" w:type="dxa"/>
            <w:shd w:val="clear" w:color="auto" w:fill="auto"/>
          </w:tcPr>
          <w:p w14:paraId="120BAFB4" w14:textId="77777777" w:rsidR="00B22B96" w:rsidRPr="00B22B96" w:rsidRDefault="00B5098D" w:rsidP="00B22B96">
            <w:pPr>
              <w:spacing w:before="40" w:after="120"/>
              <w:ind w:right="113"/>
            </w:pPr>
            <w:r w:rsidRPr="00B5098D">
              <w:t>Domestic and gender-based violence; child abuse; and Marine and Coastal Area (Takutai Moana) Act 2011.</w:t>
            </w:r>
            <w:r w:rsidRPr="00B5098D">
              <w:rPr>
                <w:vertAlign w:val="superscript"/>
              </w:rPr>
              <w:endnoteReference w:id="19"/>
            </w:r>
          </w:p>
        </w:tc>
        <w:tc>
          <w:tcPr>
            <w:tcW w:w="2410" w:type="dxa"/>
            <w:shd w:val="clear" w:color="auto" w:fill="auto"/>
          </w:tcPr>
          <w:p w14:paraId="65604316" w14:textId="77777777" w:rsidR="00B22B96" w:rsidRPr="00B22B96" w:rsidRDefault="00B5098D" w:rsidP="00B22B96">
            <w:pPr>
              <w:spacing w:before="40" w:after="120"/>
              <w:ind w:right="113"/>
            </w:pPr>
            <w:r w:rsidRPr="00B5098D">
              <w:t>2017</w:t>
            </w:r>
            <w:r w:rsidRPr="00B5098D">
              <w:rPr>
                <w:vertAlign w:val="superscript"/>
              </w:rPr>
              <w:endnoteReference w:id="20"/>
            </w:r>
          </w:p>
        </w:tc>
      </w:tr>
      <w:tr w:rsidR="00B22B96" w:rsidRPr="00B22B96" w14:paraId="0B0243BF" w14:textId="77777777" w:rsidTr="00B22B96">
        <w:tc>
          <w:tcPr>
            <w:tcW w:w="2407" w:type="dxa"/>
            <w:shd w:val="clear" w:color="auto" w:fill="auto"/>
          </w:tcPr>
          <w:p w14:paraId="0003617B" w14:textId="77777777" w:rsidR="00B22B96" w:rsidRPr="00B22B96" w:rsidRDefault="00215F07" w:rsidP="00B22B96">
            <w:pPr>
              <w:spacing w:before="40" w:after="120"/>
              <w:ind w:right="113"/>
            </w:pPr>
            <w:r>
              <w:t>CEDAW</w:t>
            </w:r>
          </w:p>
        </w:tc>
        <w:tc>
          <w:tcPr>
            <w:tcW w:w="2410" w:type="dxa"/>
            <w:shd w:val="clear" w:color="auto" w:fill="auto"/>
          </w:tcPr>
          <w:p w14:paraId="1CBF63A8" w14:textId="77777777" w:rsidR="00B22B96" w:rsidRPr="00B22B96" w:rsidRDefault="00B5098D" w:rsidP="00B22B96">
            <w:pPr>
              <w:spacing w:before="40" w:after="120"/>
              <w:ind w:right="113"/>
            </w:pPr>
            <w:r w:rsidRPr="00B5098D">
              <w:t>2014</w:t>
            </w:r>
          </w:p>
        </w:tc>
        <w:tc>
          <w:tcPr>
            <w:tcW w:w="2410" w:type="dxa"/>
            <w:shd w:val="clear" w:color="auto" w:fill="auto"/>
          </w:tcPr>
          <w:p w14:paraId="755EF1CE" w14:textId="77777777" w:rsidR="00B22B96" w:rsidRPr="00B22B96" w:rsidRDefault="00B5098D" w:rsidP="00B22B96">
            <w:pPr>
              <w:spacing w:before="40" w:after="120"/>
              <w:ind w:right="113"/>
              <w:rPr>
                <w:bCs/>
              </w:rPr>
            </w:pPr>
            <w:r w:rsidRPr="00B5098D">
              <w:rPr>
                <w:bCs/>
              </w:rPr>
              <w:t>Disadvantaged groups of women and discrimination against women in marriage and family relations.</w:t>
            </w:r>
            <w:r w:rsidRPr="00B5098D">
              <w:rPr>
                <w:bCs/>
                <w:vertAlign w:val="superscript"/>
              </w:rPr>
              <w:endnoteReference w:id="21"/>
            </w:r>
          </w:p>
        </w:tc>
        <w:tc>
          <w:tcPr>
            <w:tcW w:w="2410" w:type="dxa"/>
            <w:shd w:val="clear" w:color="auto" w:fill="auto"/>
          </w:tcPr>
          <w:p w14:paraId="566F6854" w14:textId="77777777" w:rsidR="00B22B96" w:rsidRPr="00B22B96" w:rsidRDefault="00B5098D" w:rsidP="00B12DE9">
            <w:pPr>
              <w:spacing w:before="40" w:after="120"/>
              <w:ind w:right="113"/>
            </w:pPr>
            <w:r w:rsidRPr="00B5098D">
              <w:t>2014.</w:t>
            </w:r>
            <w:r w:rsidRPr="00B5098D">
              <w:rPr>
                <w:vertAlign w:val="superscript"/>
              </w:rPr>
              <w:endnoteReference w:id="22"/>
            </w:r>
            <w:r w:rsidRPr="00B5098D">
              <w:t xml:space="preserve"> Further information requested.</w:t>
            </w:r>
            <w:r w:rsidR="00B12DE9">
              <w:rPr>
                <w:rStyle w:val="EndnoteReference"/>
              </w:rPr>
              <w:endnoteReference w:id="23"/>
            </w:r>
            <w:r w:rsidR="00B12DE9" w:rsidRPr="00B5098D">
              <w:t xml:space="preserve"> </w:t>
            </w:r>
          </w:p>
        </w:tc>
      </w:tr>
      <w:tr w:rsidR="00F67A98" w:rsidRPr="00B22B96" w14:paraId="2505530D" w14:textId="77777777" w:rsidTr="00B22B96">
        <w:tc>
          <w:tcPr>
            <w:tcW w:w="2407" w:type="dxa"/>
            <w:shd w:val="clear" w:color="auto" w:fill="auto"/>
          </w:tcPr>
          <w:p w14:paraId="2F636AA2" w14:textId="77777777" w:rsidR="00F67A98" w:rsidRDefault="00F67A98" w:rsidP="00F67A98">
            <w:pPr>
              <w:spacing w:before="40" w:after="120"/>
              <w:ind w:right="113"/>
            </w:pPr>
          </w:p>
        </w:tc>
        <w:tc>
          <w:tcPr>
            <w:tcW w:w="2410" w:type="dxa"/>
            <w:shd w:val="clear" w:color="auto" w:fill="auto"/>
          </w:tcPr>
          <w:p w14:paraId="13FE979B" w14:textId="1FB9946A" w:rsidR="00F67A98" w:rsidRPr="00B5098D" w:rsidRDefault="00F67A98" w:rsidP="00F67A98">
            <w:pPr>
              <w:spacing w:before="40" w:after="120"/>
              <w:ind w:right="113"/>
            </w:pPr>
            <w:r>
              <w:t>2020</w:t>
            </w:r>
          </w:p>
        </w:tc>
        <w:tc>
          <w:tcPr>
            <w:tcW w:w="2410" w:type="dxa"/>
            <w:shd w:val="clear" w:color="auto" w:fill="auto"/>
          </w:tcPr>
          <w:p w14:paraId="290AC51D" w14:textId="2D7F5E08" w:rsidR="00F67A98" w:rsidRPr="00B5098D" w:rsidRDefault="00F67A98" w:rsidP="00F67A98">
            <w:pPr>
              <w:spacing w:before="40" w:after="120"/>
              <w:ind w:right="113"/>
              <w:rPr>
                <w:bCs/>
              </w:rPr>
            </w:pPr>
            <w:r w:rsidRPr="00BA55BC">
              <w:rPr>
                <w:bCs/>
              </w:rPr>
              <w:t>National human rights institution; gender-based violence against women; health; and marriage and family relations.</w:t>
            </w:r>
            <w:r>
              <w:rPr>
                <w:rStyle w:val="EndnoteReference"/>
                <w:bCs/>
              </w:rPr>
              <w:endnoteReference w:id="24"/>
            </w:r>
          </w:p>
        </w:tc>
        <w:tc>
          <w:tcPr>
            <w:tcW w:w="2410" w:type="dxa"/>
            <w:shd w:val="clear" w:color="auto" w:fill="auto"/>
          </w:tcPr>
          <w:p w14:paraId="1D38BF08" w14:textId="661F95D4" w:rsidR="00F67A98" w:rsidRPr="00B5098D" w:rsidRDefault="00F67A98" w:rsidP="00F67A98">
            <w:pPr>
              <w:spacing w:before="40" w:after="120"/>
              <w:ind w:right="113"/>
            </w:pPr>
            <w:r>
              <w:t>--</w:t>
            </w:r>
          </w:p>
        </w:tc>
      </w:tr>
      <w:tr w:rsidR="00F67A98" w:rsidRPr="00B22B96" w14:paraId="03A7F8DF" w14:textId="77777777" w:rsidTr="00B22B96">
        <w:tc>
          <w:tcPr>
            <w:tcW w:w="2407" w:type="dxa"/>
            <w:tcBorders>
              <w:bottom w:val="single" w:sz="12" w:space="0" w:color="auto"/>
            </w:tcBorders>
            <w:shd w:val="clear" w:color="auto" w:fill="auto"/>
          </w:tcPr>
          <w:p w14:paraId="70EDB912" w14:textId="77777777" w:rsidR="00F67A98" w:rsidRDefault="00F67A98" w:rsidP="00F67A98">
            <w:pPr>
              <w:spacing w:before="40" w:after="120"/>
              <w:ind w:right="113"/>
            </w:pPr>
            <w:r>
              <w:t>CAT</w:t>
            </w:r>
          </w:p>
        </w:tc>
        <w:tc>
          <w:tcPr>
            <w:tcW w:w="2410" w:type="dxa"/>
            <w:tcBorders>
              <w:bottom w:val="single" w:sz="12" w:space="0" w:color="auto"/>
            </w:tcBorders>
            <w:shd w:val="clear" w:color="auto" w:fill="auto"/>
          </w:tcPr>
          <w:p w14:paraId="6AE1DAB4" w14:textId="77777777" w:rsidR="00F67A98" w:rsidRPr="00B22B96" w:rsidRDefault="00F67A98" w:rsidP="00F67A98">
            <w:pPr>
              <w:spacing w:before="40" w:after="120"/>
              <w:ind w:right="113"/>
            </w:pPr>
            <w:r w:rsidRPr="00B5098D">
              <w:t>2016</w:t>
            </w:r>
          </w:p>
        </w:tc>
        <w:tc>
          <w:tcPr>
            <w:tcW w:w="2410" w:type="dxa"/>
            <w:tcBorders>
              <w:bottom w:val="single" w:sz="12" w:space="0" w:color="auto"/>
            </w:tcBorders>
            <w:shd w:val="clear" w:color="auto" w:fill="auto"/>
          </w:tcPr>
          <w:p w14:paraId="75900C45" w14:textId="77777777" w:rsidR="00F67A98" w:rsidRPr="00B22B96" w:rsidRDefault="00F67A98" w:rsidP="00F67A98">
            <w:pPr>
              <w:spacing w:before="40" w:after="120"/>
              <w:ind w:right="113"/>
            </w:pPr>
            <w:r w:rsidRPr="00B5098D">
              <w:t>National preventive mechanisms; Independent Police Conduct Authority; and solitary confinement and seclusion in mental health facilities.</w:t>
            </w:r>
            <w:r w:rsidRPr="00B5098D">
              <w:rPr>
                <w:vertAlign w:val="superscript"/>
              </w:rPr>
              <w:endnoteReference w:id="25"/>
            </w:r>
          </w:p>
        </w:tc>
        <w:tc>
          <w:tcPr>
            <w:tcW w:w="2410" w:type="dxa"/>
            <w:tcBorders>
              <w:bottom w:val="single" w:sz="12" w:space="0" w:color="auto"/>
            </w:tcBorders>
            <w:shd w:val="clear" w:color="auto" w:fill="auto"/>
          </w:tcPr>
          <w:p w14:paraId="3233AE06" w14:textId="77777777" w:rsidR="00F67A98" w:rsidRPr="00B22B96" w:rsidRDefault="00F67A98" w:rsidP="00F67A98">
            <w:pPr>
              <w:spacing w:before="40" w:after="120"/>
              <w:ind w:right="113"/>
            </w:pPr>
            <w:r w:rsidRPr="00B5098D">
              <w:t>2016</w:t>
            </w:r>
            <w:r w:rsidRPr="00B5098D">
              <w:rPr>
                <w:vertAlign w:val="superscript"/>
              </w:rPr>
              <w:endnoteReference w:id="26"/>
            </w:r>
          </w:p>
        </w:tc>
      </w:tr>
    </w:tbl>
    <w:p w14:paraId="5E032A93" w14:textId="77777777" w:rsidR="00DA5413" w:rsidRDefault="00DA5413" w:rsidP="00A81300">
      <w:pPr>
        <w:pStyle w:val="H23G"/>
      </w:pPr>
      <w:r>
        <w:tab/>
      </w:r>
      <w:r>
        <w:tab/>
      </w:r>
      <w:r w:rsidRPr="00DA5413">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DA5413" w:rsidRPr="00DA5413" w14:paraId="541A5214" w14:textId="77777777" w:rsidTr="00BC16B9">
        <w:tc>
          <w:tcPr>
            <w:tcW w:w="3211" w:type="dxa"/>
            <w:tcBorders>
              <w:top w:val="single" w:sz="4" w:space="0" w:color="auto"/>
              <w:bottom w:val="single" w:sz="12" w:space="0" w:color="auto"/>
            </w:tcBorders>
            <w:shd w:val="clear" w:color="auto" w:fill="auto"/>
            <w:vAlign w:val="bottom"/>
          </w:tcPr>
          <w:p w14:paraId="3A851FA5" w14:textId="77777777" w:rsidR="00DA5413" w:rsidRPr="00DA5413" w:rsidRDefault="00DA5413" w:rsidP="00DA5413">
            <w:r w:rsidRPr="00DA5413">
              <w:t>Treaty body</w:t>
            </w:r>
          </w:p>
        </w:tc>
        <w:tc>
          <w:tcPr>
            <w:tcW w:w="3213" w:type="dxa"/>
            <w:tcBorders>
              <w:top w:val="single" w:sz="4" w:space="0" w:color="auto"/>
              <w:bottom w:val="single" w:sz="12" w:space="0" w:color="auto"/>
            </w:tcBorders>
            <w:shd w:val="clear" w:color="auto" w:fill="auto"/>
            <w:vAlign w:val="bottom"/>
          </w:tcPr>
          <w:p w14:paraId="201BD968" w14:textId="77777777" w:rsidR="00DA5413" w:rsidRPr="00DA5413" w:rsidRDefault="00DA5413" w:rsidP="00DA5413">
            <w:r w:rsidRPr="00DA5413">
              <w:t>Number of views</w:t>
            </w:r>
          </w:p>
        </w:tc>
        <w:tc>
          <w:tcPr>
            <w:tcW w:w="3213" w:type="dxa"/>
            <w:tcBorders>
              <w:top w:val="single" w:sz="4" w:space="0" w:color="auto"/>
              <w:bottom w:val="single" w:sz="12" w:space="0" w:color="auto"/>
            </w:tcBorders>
            <w:shd w:val="clear" w:color="auto" w:fill="auto"/>
            <w:vAlign w:val="bottom"/>
          </w:tcPr>
          <w:p w14:paraId="677023CD" w14:textId="77777777" w:rsidR="00DA5413" w:rsidRPr="00DA5413" w:rsidRDefault="00DA5413" w:rsidP="00DA5413">
            <w:r w:rsidRPr="00DA5413">
              <w:t>Status</w:t>
            </w:r>
          </w:p>
        </w:tc>
      </w:tr>
      <w:tr w:rsidR="00DA5413" w:rsidRPr="00DA5413" w14:paraId="36CBC742" w14:textId="77777777" w:rsidTr="00BC16B9">
        <w:trPr>
          <w:trHeight w:hRule="exact" w:val="113"/>
        </w:trPr>
        <w:tc>
          <w:tcPr>
            <w:tcW w:w="3211" w:type="dxa"/>
            <w:tcBorders>
              <w:top w:val="single" w:sz="12" w:space="0" w:color="auto"/>
            </w:tcBorders>
            <w:shd w:val="clear" w:color="auto" w:fill="auto"/>
            <w:vAlign w:val="bottom"/>
          </w:tcPr>
          <w:p w14:paraId="10CBA49B" w14:textId="77777777" w:rsidR="00DA5413" w:rsidRPr="00DA5413" w:rsidRDefault="00DA5413" w:rsidP="00DA5413"/>
        </w:tc>
        <w:tc>
          <w:tcPr>
            <w:tcW w:w="3213" w:type="dxa"/>
            <w:tcBorders>
              <w:top w:val="single" w:sz="12" w:space="0" w:color="auto"/>
            </w:tcBorders>
            <w:shd w:val="clear" w:color="auto" w:fill="auto"/>
            <w:vAlign w:val="bottom"/>
          </w:tcPr>
          <w:p w14:paraId="6F7691E4" w14:textId="77777777" w:rsidR="00DA5413" w:rsidRPr="00DA5413" w:rsidRDefault="00DA5413" w:rsidP="00DA5413"/>
        </w:tc>
        <w:tc>
          <w:tcPr>
            <w:tcW w:w="3213" w:type="dxa"/>
            <w:tcBorders>
              <w:top w:val="single" w:sz="12" w:space="0" w:color="auto"/>
            </w:tcBorders>
            <w:shd w:val="clear" w:color="auto" w:fill="auto"/>
            <w:vAlign w:val="bottom"/>
          </w:tcPr>
          <w:p w14:paraId="32C7D1E3" w14:textId="77777777" w:rsidR="00DA5413" w:rsidRPr="00DA5413" w:rsidRDefault="00DA5413" w:rsidP="00DA5413"/>
        </w:tc>
      </w:tr>
      <w:tr w:rsidR="00DA5413" w:rsidRPr="00DA5413" w14:paraId="56543D73" w14:textId="77777777" w:rsidTr="00BC16B9">
        <w:tc>
          <w:tcPr>
            <w:tcW w:w="3211" w:type="dxa"/>
            <w:shd w:val="clear" w:color="auto" w:fill="auto"/>
          </w:tcPr>
          <w:p w14:paraId="42A807FE" w14:textId="77777777" w:rsidR="00DA5413" w:rsidRPr="00DA5413" w:rsidRDefault="00DA5413" w:rsidP="00DA5413">
            <w:r w:rsidRPr="00DA5413">
              <w:t>CAT</w:t>
            </w:r>
          </w:p>
        </w:tc>
        <w:tc>
          <w:tcPr>
            <w:tcW w:w="3213" w:type="dxa"/>
            <w:shd w:val="clear" w:color="auto" w:fill="auto"/>
          </w:tcPr>
          <w:p w14:paraId="43476D05" w14:textId="77777777" w:rsidR="00DA5413" w:rsidRPr="00DA5413" w:rsidRDefault="00DA5413" w:rsidP="00DA5413">
            <w:r w:rsidRPr="00DA5413">
              <w:t>1</w:t>
            </w:r>
            <w:r w:rsidRPr="00DA5413">
              <w:rPr>
                <w:vertAlign w:val="superscript"/>
              </w:rPr>
              <w:endnoteReference w:id="27"/>
            </w:r>
          </w:p>
        </w:tc>
        <w:tc>
          <w:tcPr>
            <w:tcW w:w="3213" w:type="dxa"/>
            <w:shd w:val="clear" w:color="auto" w:fill="auto"/>
          </w:tcPr>
          <w:p w14:paraId="262E392D" w14:textId="77777777" w:rsidR="00DA5413" w:rsidRPr="00DA5413" w:rsidRDefault="00DA5413" w:rsidP="00DA5413">
            <w:r w:rsidRPr="00DA5413">
              <w:t>Action requested.</w:t>
            </w:r>
            <w:r w:rsidRPr="00DA5413">
              <w:rPr>
                <w:vertAlign w:val="superscript"/>
              </w:rPr>
              <w:endnoteReference w:id="28"/>
            </w:r>
          </w:p>
        </w:tc>
      </w:tr>
      <w:tr w:rsidR="00FF57B2" w:rsidRPr="00DA5413" w14:paraId="5CD5B0A0" w14:textId="77777777" w:rsidTr="00BC16B9">
        <w:tc>
          <w:tcPr>
            <w:tcW w:w="3211" w:type="dxa"/>
            <w:shd w:val="clear" w:color="auto" w:fill="auto"/>
          </w:tcPr>
          <w:p w14:paraId="1597A533" w14:textId="77777777" w:rsidR="00FF57B2" w:rsidRPr="00DA5413" w:rsidRDefault="00FF57B2" w:rsidP="00DA5413"/>
        </w:tc>
        <w:tc>
          <w:tcPr>
            <w:tcW w:w="3213" w:type="dxa"/>
            <w:shd w:val="clear" w:color="auto" w:fill="auto"/>
          </w:tcPr>
          <w:p w14:paraId="75A942DB" w14:textId="77777777" w:rsidR="00FF57B2" w:rsidRPr="00DA5413" w:rsidRDefault="00FF57B2" w:rsidP="00DA5413"/>
        </w:tc>
        <w:tc>
          <w:tcPr>
            <w:tcW w:w="3213" w:type="dxa"/>
            <w:shd w:val="clear" w:color="auto" w:fill="auto"/>
          </w:tcPr>
          <w:p w14:paraId="7976C7A3" w14:textId="77777777" w:rsidR="00FF57B2" w:rsidRPr="00DA5413" w:rsidRDefault="00FF57B2" w:rsidP="00DA5413"/>
        </w:tc>
      </w:tr>
      <w:tr w:rsidR="00FF57B2" w:rsidRPr="00DA5413" w14:paraId="5447D757" w14:textId="77777777" w:rsidTr="00BC16B9">
        <w:tc>
          <w:tcPr>
            <w:tcW w:w="3211" w:type="dxa"/>
            <w:tcBorders>
              <w:bottom w:val="single" w:sz="12" w:space="0" w:color="auto"/>
            </w:tcBorders>
            <w:shd w:val="clear" w:color="auto" w:fill="auto"/>
          </w:tcPr>
          <w:p w14:paraId="78C65744" w14:textId="70D36D4A" w:rsidR="00FF57B2" w:rsidRPr="00DA5413" w:rsidRDefault="00FF57B2" w:rsidP="00FF57B2">
            <w:r>
              <w:t>HR Committee</w:t>
            </w:r>
          </w:p>
        </w:tc>
        <w:tc>
          <w:tcPr>
            <w:tcW w:w="3213" w:type="dxa"/>
            <w:tcBorders>
              <w:bottom w:val="single" w:sz="12" w:space="0" w:color="auto"/>
            </w:tcBorders>
            <w:shd w:val="clear" w:color="auto" w:fill="auto"/>
          </w:tcPr>
          <w:p w14:paraId="6C0EBA85" w14:textId="4625BFEC" w:rsidR="00FF57B2" w:rsidRPr="00DA5413" w:rsidRDefault="00FF57B2" w:rsidP="00FF57B2">
            <w:r>
              <w:t>1</w:t>
            </w:r>
            <w:r>
              <w:rPr>
                <w:rStyle w:val="EndnoteReference"/>
              </w:rPr>
              <w:endnoteReference w:id="29"/>
            </w:r>
          </w:p>
        </w:tc>
        <w:tc>
          <w:tcPr>
            <w:tcW w:w="3213" w:type="dxa"/>
            <w:tcBorders>
              <w:bottom w:val="single" w:sz="12" w:space="0" w:color="auto"/>
            </w:tcBorders>
            <w:shd w:val="clear" w:color="auto" w:fill="auto"/>
          </w:tcPr>
          <w:p w14:paraId="0C167309" w14:textId="164E8CE3" w:rsidR="00FF57B2" w:rsidRPr="00DA5413" w:rsidRDefault="00FF57B2" w:rsidP="00FF57B2">
            <w:r>
              <w:t>Information requested.</w:t>
            </w:r>
            <w:r>
              <w:rPr>
                <w:rStyle w:val="EndnoteReference"/>
              </w:rPr>
              <w:endnoteReference w:id="30"/>
            </w:r>
          </w:p>
        </w:tc>
      </w:tr>
    </w:tbl>
    <w:p w14:paraId="631D11D9" w14:textId="77777777" w:rsidR="00A4011E" w:rsidRPr="00B22B96" w:rsidRDefault="00A81300" w:rsidP="00A81300">
      <w:pPr>
        <w:pStyle w:val="H23G"/>
      </w:pPr>
      <w:r>
        <w:tab/>
      </w:r>
      <w:r w:rsidR="0000435D" w:rsidRPr="00B22B96">
        <w:tab/>
        <w:t>Country visits and/</w:t>
      </w:r>
      <w:r w:rsidR="0000435D" w:rsidRPr="00A81300">
        <w:t>or</w:t>
      </w:r>
      <w:r w:rsidR="0000435D" w:rsidRPr="00B22B96">
        <w:t xml:space="preserve">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3C3A75" w:rsidRPr="00B22B96" w14:paraId="2159CC57" w14:textId="77777777" w:rsidTr="0000435D">
        <w:tc>
          <w:tcPr>
            <w:tcW w:w="3211" w:type="dxa"/>
            <w:tcBorders>
              <w:top w:val="single" w:sz="4" w:space="0" w:color="auto"/>
              <w:bottom w:val="single" w:sz="12" w:space="0" w:color="auto"/>
            </w:tcBorders>
            <w:shd w:val="clear" w:color="auto" w:fill="auto"/>
            <w:vAlign w:val="bottom"/>
          </w:tcPr>
          <w:p w14:paraId="6D42AB97" w14:textId="77777777" w:rsidR="003C3A75" w:rsidRPr="00A81300" w:rsidRDefault="0000435D" w:rsidP="00B22B96">
            <w:pPr>
              <w:spacing w:before="40" w:after="120"/>
              <w:ind w:right="113"/>
              <w:rPr>
                <w:i/>
                <w:sz w:val="16"/>
              </w:rPr>
            </w:pPr>
            <w:r w:rsidRPr="00A81300">
              <w:rPr>
                <w:i/>
                <w:sz w:val="16"/>
              </w:rPr>
              <w:t>Treaty body</w:t>
            </w:r>
          </w:p>
        </w:tc>
        <w:tc>
          <w:tcPr>
            <w:tcW w:w="3213" w:type="dxa"/>
            <w:tcBorders>
              <w:top w:val="single" w:sz="4" w:space="0" w:color="auto"/>
              <w:bottom w:val="single" w:sz="12" w:space="0" w:color="auto"/>
            </w:tcBorders>
            <w:shd w:val="clear" w:color="auto" w:fill="auto"/>
            <w:vAlign w:val="bottom"/>
          </w:tcPr>
          <w:p w14:paraId="31BDA011" w14:textId="77777777" w:rsidR="003C3A75" w:rsidRPr="00A81300" w:rsidRDefault="0000435D" w:rsidP="00B22B96">
            <w:pPr>
              <w:spacing w:before="40" w:after="120"/>
              <w:ind w:right="113"/>
              <w:rPr>
                <w:i/>
                <w:sz w:val="16"/>
              </w:rPr>
            </w:pPr>
            <w:r w:rsidRPr="00A81300">
              <w:rPr>
                <w:i/>
                <w:sz w:val="16"/>
              </w:rPr>
              <w:t>Date</w:t>
            </w:r>
          </w:p>
        </w:tc>
        <w:tc>
          <w:tcPr>
            <w:tcW w:w="3213" w:type="dxa"/>
            <w:tcBorders>
              <w:top w:val="single" w:sz="4" w:space="0" w:color="auto"/>
              <w:bottom w:val="single" w:sz="12" w:space="0" w:color="auto"/>
            </w:tcBorders>
            <w:shd w:val="clear" w:color="auto" w:fill="auto"/>
            <w:vAlign w:val="bottom"/>
          </w:tcPr>
          <w:p w14:paraId="52B26858" w14:textId="77777777" w:rsidR="003C3A75" w:rsidRPr="00A81300" w:rsidRDefault="0000435D" w:rsidP="00B22B96">
            <w:pPr>
              <w:spacing w:before="40" w:after="120"/>
              <w:ind w:right="113"/>
              <w:rPr>
                <w:i/>
                <w:sz w:val="16"/>
              </w:rPr>
            </w:pPr>
            <w:r w:rsidRPr="00A81300">
              <w:rPr>
                <w:i/>
                <w:sz w:val="16"/>
              </w:rPr>
              <w:t>Subject matter</w:t>
            </w:r>
          </w:p>
        </w:tc>
      </w:tr>
      <w:tr w:rsidR="003C3A75" w:rsidRPr="00B22B96" w14:paraId="239577D6" w14:textId="77777777" w:rsidTr="0000435D">
        <w:trPr>
          <w:trHeight w:hRule="exact" w:val="113"/>
        </w:trPr>
        <w:tc>
          <w:tcPr>
            <w:tcW w:w="3211" w:type="dxa"/>
            <w:tcBorders>
              <w:top w:val="single" w:sz="12" w:space="0" w:color="auto"/>
            </w:tcBorders>
            <w:shd w:val="clear" w:color="auto" w:fill="auto"/>
            <w:vAlign w:val="bottom"/>
          </w:tcPr>
          <w:p w14:paraId="0D00ED51"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779CE961"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59B22DD7" w14:textId="77777777" w:rsidR="003C3A75" w:rsidRPr="00B22B96" w:rsidRDefault="003C3A75" w:rsidP="00B22B96">
            <w:pPr>
              <w:spacing w:before="40" w:after="120"/>
              <w:ind w:right="113"/>
              <w:rPr>
                <w:sz w:val="16"/>
              </w:rPr>
            </w:pPr>
          </w:p>
        </w:tc>
      </w:tr>
      <w:tr w:rsidR="003C3A75" w:rsidRPr="003C3A75" w14:paraId="46A8AFBC" w14:textId="77777777" w:rsidTr="0000435D">
        <w:tc>
          <w:tcPr>
            <w:tcW w:w="3211" w:type="dxa"/>
            <w:tcBorders>
              <w:bottom w:val="single" w:sz="12" w:space="0" w:color="auto"/>
            </w:tcBorders>
            <w:shd w:val="clear" w:color="auto" w:fill="auto"/>
          </w:tcPr>
          <w:p w14:paraId="38230158" w14:textId="77777777" w:rsidR="003C3A75" w:rsidRPr="003C3A75" w:rsidRDefault="0000435D" w:rsidP="003C3A75">
            <w:pPr>
              <w:spacing w:before="40" w:after="120"/>
              <w:ind w:right="113"/>
            </w:pPr>
            <w:r>
              <w:t>SPT</w:t>
            </w:r>
          </w:p>
        </w:tc>
        <w:tc>
          <w:tcPr>
            <w:tcW w:w="3213" w:type="dxa"/>
            <w:tcBorders>
              <w:bottom w:val="single" w:sz="12" w:space="0" w:color="auto"/>
            </w:tcBorders>
            <w:shd w:val="clear" w:color="auto" w:fill="auto"/>
          </w:tcPr>
          <w:p w14:paraId="31F75414" w14:textId="77777777" w:rsidR="003C3A75" w:rsidRPr="003C3A75" w:rsidRDefault="00DA5413" w:rsidP="003C3A75">
            <w:pPr>
              <w:spacing w:before="40" w:after="120"/>
              <w:ind w:right="113"/>
            </w:pPr>
            <w:r w:rsidRPr="00DA5413">
              <w:t>April-May 2013</w:t>
            </w:r>
          </w:p>
        </w:tc>
        <w:tc>
          <w:tcPr>
            <w:tcW w:w="3213" w:type="dxa"/>
            <w:tcBorders>
              <w:bottom w:val="single" w:sz="12" w:space="0" w:color="auto"/>
            </w:tcBorders>
            <w:shd w:val="clear" w:color="auto" w:fill="auto"/>
          </w:tcPr>
          <w:p w14:paraId="78614533" w14:textId="77777777" w:rsidR="003C3A75" w:rsidRPr="003C3A75" w:rsidRDefault="00DA5413" w:rsidP="003C3A75">
            <w:pPr>
              <w:spacing w:before="40" w:after="120"/>
              <w:ind w:right="113"/>
            </w:pPr>
            <w:r w:rsidRPr="00DA5413">
              <w:t>Recommendations concerning the prevention of torture and ill-treatment of persons deprived of their liberty.</w:t>
            </w:r>
            <w:r w:rsidRPr="00DA5413">
              <w:rPr>
                <w:vertAlign w:val="superscript"/>
              </w:rPr>
              <w:endnoteReference w:id="31"/>
            </w:r>
          </w:p>
        </w:tc>
      </w:tr>
    </w:tbl>
    <w:bookmarkEnd w:id="4"/>
    <w:p w14:paraId="506AA307" w14:textId="77777777" w:rsidR="00A02BFB" w:rsidRPr="0025642D" w:rsidRDefault="00A02BFB" w:rsidP="0025642D">
      <w:pPr>
        <w:pStyle w:val="H1G"/>
      </w:pPr>
      <w:r w:rsidRPr="0025642D">
        <w:tab/>
        <w:t>B.</w:t>
      </w:r>
      <w:r w:rsidRPr="0025642D">
        <w:tab/>
      </w:r>
      <w:r w:rsidR="00A81300" w:rsidRPr="00A81300">
        <w:t>Cooperation with special procedures</w:t>
      </w:r>
      <w:r w:rsidR="00AF39C7" w:rsidRPr="004C2795">
        <w:rPr>
          <w:rStyle w:val="EndnoteReference"/>
          <w:b w:val="0"/>
        </w:rPr>
        <w:endnoteReference w:id="32"/>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13C775FC" w14:textId="77777777" w:rsidTr="0028001D">
        <w:tc>
          <w:tcPr>
            <w:tcW w:w="3211" w:type="dxa"/>
            <w:tcBorders>
              <w:top w:val="single" w:sz="4" w:space="0" w:color="auto"/>
              <w:bottom w:val="single" w:sz="12" w:space="0" w:color="auto"/>
            </w:tcBorders>
            <w:shd w:val="clear" w:color="auto" w:fill="auto"/>
            <w:vAlign w:val="bottom"/>
          </w:tcPr>
          <w:p w14:paraId="25FD1451"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790139EB" w14:textId="77777777"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3F17EC0D" w14:textId="77777777" w:rsidR="009E78E3" w:rsidRPr="00A81300" w:rsidRDefault="009E78E3" w:rsidP="00C500EF">
            <w:pPr>
              <w:spacing w:before="40" w:after="120"/>
              <w:ind w:right="113"/>
              <w:rPr>
                <w:i/>
                <w:sz w:val="16"/>
              </w:rPr>
            </w:pPr>
            <w:r w:rsidRPr="00A81300">
              <w:rPr>
                <w:i/>
                <w:sz w:val="16"/>
              </w:rPr>
              <w:t>Current status</w:t>
            </w:r>
          </w:p>
        </w:tc>
      </w:tr>
      <w:tr w:rsidR="009E78E3" w:rsidRPr="009E78E3" w14:paraId="7C5C18BF" w14:textId="77777777" w:rsidTr="0028001D">
        <w:trPr>
          <w:trHeight w:hRule="exact" w:val="113"/>
        </w:trPr>
        <w:tc>
          <w:tcPr>
            <w:tcW w:w="3211" w:type="dxa"/>
            <w:tcBorders>
              <w:top w:val="single" w:sz="12" w:space="0" w:color="auto"/>
            </w:tcBorders>
            <w:shd w:val="clear" w:color="auto" w:fill="auto"/>
            <w:vAlign w:val="bottom"/>
          </w:tcPr>
          <w:p w14:paraId="6605EE0E"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0C8A810E"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3885B421" w14:textId="77777777" w:rsidR="009E78E3" w:rsidRPr="0028001D" w:rsidRDefault="009E78E3" w:rsidP="0028001D">
            <w:pPr>
              <w:spacing w:before="80" w:after="80" w:line="200" w:lineRule="exact"/>
              <w:ind w:right="113"/>
              <w:rPr>
                <w:i/>
                <w:sz w:val="16"/>
              </w:rPr>
            </w:pPr>
          </w:p>
        </w:tc>
      </w:tr>
      <w:tr w:rsidR="003E33AE" w:rsidRPr="009E78E3" w14:paraId="66623CC6" w14:textId="77777777" w:rsidTr="0028001D">
        <w:tc>
          <w:tcPr>
            <w:tcW w:w="3211" w:type="dxa"/>
            <w:shd w:val="clear" w:color="auto" w:fill="auto"/>
          </w:tcPr>
          <w:p w14:paraId="742E5184"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2FFA3827" w14:textId="77777777" w:rsidR="003E33AE" w:rsidRPr="0028001D" w:rsidRDefault="00A81300" w:rsidP="0028001D">
            <w:pPr>
              <w:spacing w:before="40" w:after="120"/>
              <w:ind w:right="113"/>
              <w:rPr>
                <w:highlight w:val="yellow"/>
              </w:rPr>
            </w:pPr>
            <w:r>
              <w:t>Yes</w:t>
            </w:r>
          </w:p>
        </w:tc>
        <w:tc>
          <w:tcPr>
            <w:tcW w:w="3400" w:type="dxa"/>
            <w:shd w:val="clear" w:color="auto" w:fill="auto"/>
          </w:tcPr>
          <w:p w14:paraId="2D490C1B" w14:textId="77777777" w:rsidR="003E33AE" w:rsidRPr="0028001D" w:rsidRDefault="00A81300" w:rsidP="0028001D">
            <w:pPr>
              <w:spacing w:before="40" w:after="120"/>
              <w:ind w:right="113"/>
              <w:rPr>
                <w:highlight w:val="yellow"/>
              </w:rPr>
            </w:pPr>
            <w:r w:rsidRPr="00A81300">
              <w:t>Yes</w:t>
            </w:r>
          </w:p>
        </w:tc>
      </w:tr>
      <w:tr w:rsidR="009E78E3" w:rsidRPr="009E78E3" w14:paraId="27DF0250" w14:textId="77777777" w:rsidTr="0028001D">
        <w:tc>
          <w:tcPr>
            <w:tcW w:w="3211" w:type="dxa"/>
            <w:shd w:val="clear" w:color="auto" w:fill="auto"/>
          </w:tcPr>
          <w:p w14:paraId="61C27762"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7C6AC350" w14:textId="77777777" w:rsidR="00A850C2" w:rsidRPr="009E78E3" w:rsidRDefault="00DA5413" w:rsidP="0028001D">
            <w:pPr>
              <w:spacing w:before="40" w:after="120"/>
              <w:ind w:right="113"/>
            </w:pPr>
            <w:r>
              <w:t>--</w:t>
            </w:r>
          </w:p>
        </w:tc>
        <w:tc>
          <w:tcPr>
            <w:tcW w:w="3400" w:type="dxa"/>
            <w:shd w:val="clear" w:color="auto" w:fill="auto"/>
          </w:tcPr>
          <w:p w14:paraId="26D3D6AA" w14:textId="47B1C282" w:rsidR="00A850C2" w:rsidRPr="009E78E3" w:rsidRDefault="00DA5413" w:rsidP="00730838">
            <w:pPr>
              <w:spacing w:before="40" w:after="120"/>
              <w:ind w:right="113"/>
            </w:pPr>
            <w:r w:rsidRPr="00DA5413">
              <w:t>Arbitrary detention (2014)</w:t>
            </w:r>
          </w:p>
        </w:tc>
      </w:tr>
      <w:tr w:rsidR="009E78E3" w:rsidRPr="009E78E3" w14:paraId="7CFA9C54" w14:textId="77777777" w:rsidTr="0028001D">
        <w:tc>
          <w:tcPr>
            <w:tcW w:w="3211" w:type="dxa"/>
            <w:shd w:val="clear" w:color="auto" w:fill="auto"/>
          </w:tcPr>
          <w:p w14:paraId="316886A3"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1201F150" w14:textId="0C15F5B5" w:rsidR="00BA732B" w:rsidRPr="00A31ADE" w:rsidRDefault="00DA5413" w:rsidP="00A31ADE">
            <w:pPr>
              <w:spacing w:before="40" w:after="120"/>
              <w:ind w:right="113"/>
            </w:pPr>
            <w:r w:rsidRPr="00DA5413">
              <w:t>Arbitrary detention</w:t>
            </w:r>
          </w:p>
        </w:tc>
        <w:tc>
          <w:tcPr>
            <w:tcW w:w="3400" w:type="dxa"/>
            <w:shd w:val="clear" w:color="auto" w:fill="auto"/>
          </w:tcPr>
          <w:p w14:paraId="6F933239" w14:textId="77777777" w:rsidR="00BA732B" w:rsidRPr="00A31ADE" w:rsidRDefault="00DA5413" w:rsidP="00A31ADE">
            <w:pPr>
              <w:spacing w:before="40" w:after="120"/>
              <w:rPr>
                <w:rFonts w:eastAsia="Calibri"/>
                <w:lang w:eastAsia="en-GB"/>
              </w:rPr>
            </w:pPr>
            <w:r>
              <w:rPr>
                <w:rFonts w:eastAsia="Calibri"/>
                <w:lang w:eastAsia="en-GB"/>
              </w:rPr>
              <w:t>--</w:t>
            </w:r>
          </w:p>
        </w:tc>
      </w:tr>
      <w:tr w:rsidR="009E78E3" w:rsidRPr="009E78E3" w14:paraId="3B7A225A" w14:textId="77777777" w:rsidTr="0028001D">
        <w:tc>
          <w:tcPr>
            <w:tcW w:w="3211" w:type="dxa"/>
            <w:shd w:val="clear" w:color="auto" w:fill="auto"/>
          </w:tcPr>
          <w:p w14:paraId="354C4AD0"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4ADED09F" w14:textId="77777777" w:rsidR="003E6998" w:rsidRPr="00A31ADE" w:rsidRDefault="00DA5413" w:rsidP="00A31ADE">
            <w:pPr>
              <w:spacing w:before="40" w:after="120"/>
              <w:ind w:right="113"/>
              <w:rPr>
                <w:highlight w:val="yellow"/>
              </w:rPr>
            </w:pPr>
            <w:r w:rsidRPr="00DA5413">
              <w:t>--</w:t>
            </w:r>
          </w:p>
        </w:tc>
        <w:tc>
          <w:tcPr>
            <w:tcW w:w="3400" w:type="dxa"/>
            <w:shd w:val="clear" w:color="auto" w:fill="auto"/>
          </w:tcPr>
          <w:p w14:paraId="60F65367" w14:textId="77777777" w:rsidR="00DA5413" w:rsidRPr="00DA5413" w:rsidRDefault="00DA5413" w:rsidP="00DA5413">
            <w:pPr>
              <w:spacing w:before="40"/>
              <w:ind w:right="113"/>
            </w:pPr>
            <w:r w:rsidRPr="00DA5413">
              <w:t>Mercenaries</w:t>
            </w:r>
          </w:p>
          <w:p w14:paraId="64EA88FB" w14:textId="77777777" w:rsidR="00DA5413" w:rsidRPr="00DA5413" w:rsidRDefault="00DA5413" w:rsidP="00DA5413">
            <w:pPr>
              <w:spacing w:before="40"/>
              <w:ind w:right="113"/>
            </w:pPr>
            <w:r w:rsidRPr="00DA5413">
              <w:t>Housing</w:t>
            </w:r>
          </w:p>
          <w:p w14:paraId="1495FAF9" w14:textId="77777777" w:rsidR="00DA5413" w:rsidRPr="00DA5413" w:rsidRDefault="00DA5413" w:rsidP="00DA5413">
            <w:pPr>
              <w:spacing w:before="40"/>
              <w:ind w:right="113"/>
            </w:pPr>
            <w:r w:rsidRPr="00DA5413">
              <w:t>Environment</w:t>
            </w:r>
          </w:p>
          <w:p w14:paraId="58C9EA9D" w14:textId="194A28C9" w:rsidR="00DA5413" w:rsidRPr="00DA5413" w:rsidRDefault="00184B63" w:rsidP="00DA5413">
            <w:pPr>
              <w:spacing w:before="40"/>
              <w:ind w:right="113"/>
            </w:pPr>
            <w:r>
              <w:t>D</w:t>
            </w:r>
            <w:r w:rsidR="00DA5413" w:rsidRPr="00DA5413">
              <w:t>iscrimination against women</w:t>
            </w:r>
          </w:p>
          <w:p w14:paraId="553A5FCD" w14:textId="6503C1B7" w:rsidR="00BA732B" w:rsidRPr="00A31ADE" w:rsidRDefault="00C23599" w:rsidP="00DA5413">
            <w:pPr>
              <w:spacing w:before="40"/>
              <w:ind w:right="113"/>
              <w:rPr>
                <w:highlight w:val="yellow"/>
              </w:rPr>
            </w:pPr>
            <w:r w:rsidRPr="00DA5413">
              <w:t>Older</w:t>
            </w:r>
            <w:r w:rsidR="00DA5413" w:rsidRPr="00DA5413">
              <w:t xml:space="preserve"> persons</w:t>
            </w:r>
          </w:p>
        </w:tc>
      </w:tr>
      <w:tr w:rsidR="009D3FA1" w:rsidRPr="009D3FA1" w14:paraId="20E54738" w14:textId="77777777" w:rsidTr="00984C6E">
        <w:trPr>
          <w:trHeight w:hRule="exact" w:val="113"/>
        </w:trPr>
        <w:tc>
          <w:tcPr>
            <w:tcW w:w="3211" w:type="dxa"/>
            <w:tcBorders>
              <w:top w:val="single" w:sz="12" w:space="0" w:color="auto"/>
            </w:tcBorders>
            <w:shd w:val="clear" w:color="auto" w:fill="auto"/>
            <w:vAlign w:val="bottom"/>
          </w:tcPr>
          <w:p w14:paraId="5784993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14F751AA"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6F04A971" w14:textId="77777777" w:rsidR="009D3FA1" w:rsidRPr="0028001D" w:rsidRDefault="009D3FA1" w:rsidP="0028001D">
            <w:pPr>
              <w:spacing w:before="80" w:after="80" w:line="200" w:lineRule="exact"/>
              <w:ind w:right="113"/>
              <w:rPr>
                <w:i/>
                <w:sz w:val="16"/>
              </w:rPr>
            </w:pPr>
          </w:p>
        </w:tc>
      </w:tr>
      <w:tr w:rsidR="009D3FA1" w:rsidRPr="009D3FA1" w14:paraId="030E2CC4" w14:textId="77777777" w:rsidTr="00984C6E">
        <w:tc>
          <w:tcPr>
            <w:tcW w:w="3211" w:type="dxa"/>
            <w:tcBorders>
              <w:bottom w:val="single" w:sz="12" w:space="0" w:color="auto"/>
            </w:tcBorders>
            <w:shd w:val="clear" w:color="auto" w:fill="auto"/>
          </w:tcPr>
          <w:p w14:paraId="16E9E9DE"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26BD97CE" w14:textId="5F080F8D" w:rsidR="009D3FA1" w:rsidRPr="009D3FA1" w:rsidRDefault="00896CDD" w:rsidP="00B54055">
            <w:pPr>
              <w:spacing w:before="40" w:after="120"/>
              <w:ind w:right="113"/>
            </w:pPr>
            <w:r>
              <w:t xml:space="preserve">During the period under review </w:t>
            </w:r>
            <w:r w:rsidR="00B54055">
              <w:t>one</w:t>
            </w:r>
            <w:r w:rsidR="009D3FA1">
              <w:t xml:space="preserve"> communication</w:t>
            </w:r>
            <w:r w:rsidR="00C23599">
              <w:t xml:space="preserve"> was </w:t>
            </w:r>
            <w:r w:rsidR="009D3FA1">
              <w:t>sent</w:t>
            </w:r>
            <w:r>
              <w:t>. The Government replied to</w:t>
            </w:r>
            <w:r w:rsidR="002B4657">
              <w:t xml:space="preserve"> </w:t>
            </w:r>
            <w:r w:rsidR="00B54055">
              <w:t>the communication</w:t>
            </w:r>
          </w:p>
        </w:tc>
        <w:tc>
          <w:tcPr>
            <w:tcW w:w="3400" w:type="dxa"/>
            <w:tcBorders>
              <w:bottom w:val="single" w:sz="12" w:space="0" w:color="auto"/>
            </w:tcBorders>
            <w:shd w:val="clear" w:color="auto" w:fill="auto"/>
          </w:tcPr>
          <w:p w14:paraId="52758F7A" w14:textId="77777777" w:rsidR="009D3FA1" w:rsidRPr="009D3FA1" w:rsidRDefault="009D3FA1" w:rsidP="0028001D">
            <w:pPr>
              <w:spacing w:before="40" w:after="120"/>
              <w:ind w:right="113"/>
            </w:pPr>
          </w:p>
        </w:tc>
      </w:tr>
    </w:tbl>
    <w:p w14:paraId="51D80ED4" w14:textId="77777777" w:rsidR="00A02BFB" w:rsidRPr="009D3FA1" w:rsidRDefault="00A02BFB" w:rsidP="009D3FA1">
      <w:pPr>
        <w:pStyle w:val="H1G"/>
      </w:pPr>
      <w:r w:rsidRPr="009D3FA1">
        <w:tab/>
        <w:t>C.</w:t>
      </w:r>
      <w:r w:rsidRPr="009D3FA1">
        <w:tab/>
      </w:r>
      <w:r w:rsidR="00B54055" w:rsidRPr="00B54055">
        <w:t>Status of national human rights institutions</w:t>
      </w:r>
      <w:r w:rsidR="00B54055" w:rsidRPr="00B54055">
        <w:rPr>
          <w:rStyle w:val="EndnoteReference"/>
          <w:b w:val="0"/>
        </w:rPr>
        <w:endnoteReference w:id="33"/>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2812F7ED" w14:textId="77777777" w:rsidTr="00332822">
        <w:tc>
          <w:tcPr>
            <w:tcW w:w="3211" w:type="dxa"/>
            <w:shd w:val="clear" w:color="auto" w:fill="auto"/>
            <w:vAlign w:val="bottom"/>
          </w:tcPr>
          <w:p w14:paraId="68BDBAA0"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14:paraId="51AD7446"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14:paraId="06528DB4" w14:textId="77777777" w:rsidR="00A02BFB" w:rsidRPr="00BE58F1" w:rsidRDefault="00B54055" w:rsidP="00B12DE9">
            <w:pPr>
              <w:spacing w:before="40" w:after="120"/>
              <w:ind w:right="113"/>
              <w:rPr>
                <w:i/>
                <w:sz w:val="16"/>
              </w:rPr>
            </w:pPr>
            <w:r w:rsidRPr="00B54055">
              <w:rPr>
                <w:i/>
                <w:sz w:val="16"/>
              </w:rPr>
              <w:t>Status during present cycle</w:t>
            </w:r>
            <w:r w:rsidR="00B12DE9">
              <w:rPr>
                <w:rStyle w:val="EndnoteReference"/>
                <w:i/>
              </w:rPr>
              <w:endnoteReference w:id="34"/>
            </w:r>
          </w:p>
        </w:tc>
      </w:tr>
      <w:tr w:rsidR="00A02BFB" w:rsidRPr="00332822" w14:paraId="775F9BC2" w14:textId="77777777" w:rsidTr="00B54055">
        <w:trPr>
          <w:trHeight w:hRule="exact" w:val="667"/>
        </w:trPr>
        <w:tc>
          <w:tcPr>
            <w:tcW w:w="3211" w:type="dxa"/>
            <w:shd w:val="clear" w:color="auto" w:fill="auto"/>
            <w:vAlign w:val="bottom"/>
          </w:tcPr>
          <w:p w14:paraId="7ABE0826" w14:textId="77777777" w:rsidR="00B54055" w:rsidRPr="00B54055" w:rsidRDefault="00B54055" w:rsidP="00B54055">
            <w:pPr>
              <w:spacing w:before="80" w:after="80" w:line="200" w:lineRule="exact"/>
              <w:ind w:right="113"/>
              <w:rPr>
                <w:i/>
              </w:rPr>
            </w:pPr>
            <w:r w:rsidRPr="00B54055">
              <w:t>New Zealand Human Rights</w:t>
            </w:r>
            <w:r>
              <w:rPr>
                <w:i/>
              </w:rPr>
              <w:t xml:space="preserve"> </w:t>
            </w:r>
            <w:r w:rsidRPr="00B54055">
              <w:t>Commission</w:t>
            </w:r>
          </w:p>
          <w:p w14:paraId="674B9DD4" w14:textId="77777777" w:rsidR="00A02BFB" w:rsidRPr="00332822" w:rsidRDefault="00A02BFB" w:rsidP="0028001D">
            <w:pPr>
              <w:spacing w:before="80" w:after="80" w:line="200" w:lineRule="exact"/>
              <w:ind w:right="113"/>
              <w:rPr>
                <w:i/>
              </w:rPr>
            </w:pPr>
          </w:p>
        </w:tc>
        <w:tc>
          <w:tcPr>
            <w:tcW w:w="3213" w:type="dxa"/>
            <w:shd w:val="clear" w:color="auto" w:fill="auto"/>
            <w:vAlign w:val="bottom"/>
          </w:tcPr>
          <w:p w14:paraId="5AF2A9F4" w14:textId="77777777" w:rsidR="00A02BFB" w:rsidRPr="00A81300" w:rsidRDefault="00B54055" w:rsidP="00B54055">
            <w:pPr>
              <w:spacing w:before="80" w:after="80" w:line="200" w:lineRule="exact"/>
              <w:ind w:right="113"/>
            </w:pPr>
            <w:r>
              <w:t>A (2011)</w:t>
            </w:r>
          </w:p>
        </w:tc>
        <w:tc>
          <w:tcPr>
            <w:tcW w:w="3213" w:type="dxa"/>
            <w:shd w:val="clear" w:color="auto" w:fill="auto"/>
            <w:vAlign w:val="bottom"/>
          </w:tcPr>
          <w:p w14:paraId="2A6ECA9C" w14:textId="77777777" w:rsidR="00A02BFB" w:rsidRPr="00A81300" w:rsidRDefault="00B54055" w:rsidP="00B54055">
            <w:pPr>
              <w:spacing w:before="80" w:after="80" w:line="200" w:lineRule="exact"/>
              <w:ind w:right="113"/>
            </w:pPr>
            <w:r>
              <w:t>A(2016)</w:t>
            </w:r>
          </w:p>
        </w:tc>
      </w:tr>
    </w:tbl>
    <w:p w14:paraId="29E7608E" w14:textId="77777777"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3085" w14:textId="77777777" w:rsidR="000B7C8E" w:rsidRDefault="000B7C8E"/>
  </w:endnote>
  <w:endnote w:type="continuationSeparator" w:id="0">
    <w:p w14:paraId="02B072B3" w14:textId="77777777" w:rsidR="000B7C8E" w:rsidRDefault="000B7C8E"/>
  </w:endnote>
  <w:endnote w:type="continuationNotice" w:id="1">
    <w:p w14:paraId="444A1F97" w14:textId="77777777" w:rsidR="000B7C8E" w:rsidRDefault="000B7C8E"/>
  </w:endnote>
  <w:endnote w:id="2">
    <w:p w14:paraId="5051A040" w14:textId="77777777" w:rsidR="00A02C6E" w:rsidRDefault="00A02C6E" w:rsidP="00A02C6E">
      <w:pPr>
        <w:pStyle w:val="H4G"/>
      </w:pPr>
      <w:r>
        <w:t>Notes</w:t>
      </w:r>
    </w:p>
    <w:p w14:paraId="667D92BC" w14:textId="77777777" w:rsidR="00A02C6E" w:rsidRPr="00174744" w:rsidRDefault="00A02C6E" w:rsidP="00A02C6E">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New Zealand</w:t>
      </w:r>
      <w:r w:rsidRPr="008B4D7D">
        <w:rPr>
          <w:color w:val="4F81BD"/>
        </w:rPr>
        <w:t xml:space="preserve"> </w:t>
      </w:r>
      <w:r w:rsidRPr="00806A55">
        <w:t>from the previous cycle (A/HRC/WG.6/</w:t>
      </w:r>
      <w:r>
        <w:t>18/NZL</w:t>
      </w:r>
      <w:r w:rsidRPr="00806A55">
        <w:t>/2).</w:t>
      </w:r>
    </w:p>
  </w:endnote>
  <w:endnote w:id="3">
    <w:p w14:paraId="7A732E2E" w14:textId="77777777" w:rsidR="00A02C6E" w:rsidRDefault="00A02C6E" w:rsidP="00A02C6E">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2FBF8C87" w14:textId="77777777" w:rsidR="00A02C6E" w:rsidRPr="00174744" w:rsidRDefault="00A02C6E" w:rsidP="00A02C6E">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B12DE9">
        <w:rPr>
          <w:szCs w:val="18"/>
        </w:rPr>
        <w:t>;</w:t>
      </w:r>
    </w:p>
    <w:p w14:paraId="627EED95" w14:textId="77777777" w:rsidR="00A02C6E" w:rsidRPr="00174744" w:rsidRDefault="00A02C6E" w:rsidP="00A02C6E">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B12DE9">
        <w:rPr>
          <w:szCs w:val="18"/>
        </w:rPr>
        <w:t>;</w:t>
      </w:r>
    </w:p>
    <w:p w14:paraId="3A6D6577" w14:textId="77777777" w:rsidR="00A02C6E" w:rsidRPr="00174744" w:rsidRDefault="00A02C6E" w:rsidP="00A02C6E">
      <w:pPr>
        <w:pStyle w:val="EndnoteText"/>
        <w:widowControl w:val="0"/>
        <w:ind w:left="3969" w:hanging="2269"/>
        <w:rPr>
          <w:szCs w:val="18"/>
        </w:rPr>
      </w:pPr>
      <w:r w:rsidRPr="00174744">
        <w:rPr>
          <w:szCs w:val="18"/>
        </w:rPr>
        <w:t>OP-ICESCR</w:t>
      </w:r>
      <w:r w:rsidRPr="00174744">
        <w:rPr>
          <w:szCs w:val="18"/>
        </w:rPr>
        <w:tab/>
        <w:t>Optional Protocol to ICESCR</w:t>
      </w:r>
      <w:r w:rsidR="00B12DE9">
        <w:rPr>
          <w:szCs w:val="18"/>
        </w:rPr>
        <w:t>;</w:t>
      </w:r>
    </w:p>
    <w:p w14:paraId="11DA5522" w14:textId="77777777" w:rsidR="00A02C6E" w:rsidRPr="00174744" w:rsidRDefault="00A02C6E" w:rsidP="00A02C6E">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B12DE9">
        <w:rPr>
          <w:szCs w:val="18"/>
        </w:rPr>
        <w:t>;</w:t>
      </w:r>
    </w:p>
    <w:p w14:paraId="0000B719" w14:textId="77777777" w:rsidR="00A02C6E" w:rsidRPr="00174744" w:rsidRDefault="00A02C6E" w:rsidP="00A02C6E">
      <w:pPr>
        <w:pStyle w:val="EndnoteText"/>
        <w:widowControl w:val="0"/>
        <w:ind w:left="3969" w:hanging="2268"/>
        <w:rPr>
          <w:szCs w:val="18"/>
        </w:rPr>
      </w:pPr>
      <w:r w:rsidRPr="00174744">
        <w:rPr>
          <w:szCs w:val="18"/>
        </w:rPr>
        <w:t>ICCPR-OP 1</w:t>
      </w:r>
      <w:r w:rsidRPr="00174744">
        <w:rPr>
          <w:szCs w:val="18"/>
        </w:rPr>
        <w:tab/>
        <w:t>Optional Protocol to ICCPR</w:t>
      </w:r>
      <w:r w:rsidR="00B12DE9">
        <w:rPr>
          <w:szCs w:val="18"/>
        </w:rPr>
        <w:t>;</w:t>
      </w:r>
    </w:p>
    <w:p w14:paraId="367CE0F9" w14:textId="77777777" w:rsidR="00A02C6E" w:rsidRPr="00174744" w:rsidRDefault="00A02C6E" w:rsidP="00A02C6E">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B12DE9">
        <w:rPr>
          <w:szCs w:val="18"/>
        </w:rPr>
        <w:t>;</w:t>
      </w:r>
    </w:p>
    <w:p w14:paraId="6FCF6E59" w14:textId="77777777" w:rsidR="00A02C6E" w:rsidRPr="00174744" w:rsidRDefault="00A02C6E" w:rsidP="00A02C6E">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B12DE9">
        <w:rPr>
          <w:szCs w:val="18"/>
        </w:rPr>
        <w:t>;</w:t>
      </w:r>
    </w:p>
    <w:p w14:paraId="03C93550" w14:textId="77777777" w:rsidR="00A02C6E" w:rsidRPr="00174744" w:rsidRDefault="00A02C6E" w:rsidP="00A02C6E">
      <w:pPr>
        <w:pStyle w:val="EndnoteText"/>
        <w:widowControl w:val="0"/>
        <w:ind w:left="3969" w:hanging="2269"/>
        <w:rPr>
          <w:szCs w:val="18"/>
        </w:rPr>
      </w:pPr>
      <w:r w:rsidRPr="00174744">
        <w:rPr>
          <w:szCs w:val="18"/>
        </w:rPr>
        <w:t>OP-CEDAW</w:t>
      </w:r>
      <w:r w:rsidRPr="00174744">
        <w:rPr>
          <w:szCs w:val="18"/>
        </w:rPr>
        <w:tab/>
        <w:t>Optional Protocol to CEDAW</w:t>
      </w:r>
      <w:r w:rsidR="00B12DE9">
        <w:rPr>
          <w:szCs w:val="18"/>
        </w:rPr>
        <w:t>;</w:t>
      </w:r>
    </w:p>
    <w:p w14:paraId="590EDD9B" w14:textId="77777777" w:rsidR="00A02C6E" w:rsidRPr="00174744" w:rsidRDefault="00A02C6E" w:rsidP="00A02C6E">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B12DE9">
        <w:rPr>
          <w:szCs w:val="18"/>
        </w:rPr>
        <w:t>;</w:t>
      </w:r>
    </w:p>
    <w:p w14:paraId="2A586F35" w14:textId="77777777" w:rsidR="00A02C6E" w:rsidRPr="00174744" w:rsidRDefault="00A02C6E" w:rsidP="00A02C6E">
      <w:pPr>
        <w:pStyle w:val="EndnoteText"/>
        <w:widowControl w:val="0"/>
        <w:ind w:left="3969" w:hanging="2269"/>
        <w:rPr>
          <w:szCs w:val="18"/>
        </w:rPr>
      </w:pPr>
      <w:r w:rsidRPr="00174744">
        <w:rPr>
          <w:szCs w:val="18"/>
        </w:rPr>
        <w:t>OP-CAT</w:t>
      </w:r>
      <w:r w:rsidRPr="00174744">
        <w:rPr>
          <w:szCs w:val="18"/>
        </w:rPr>
        <w:tab/>
        <w:t>Optional Protocol to CAT</w:t>
      </w:r>
      <w:r w:rsidR="00B12DE9">
        <w:rPr>
          <w:szCs w:val="18"/>
        </w:rPr>
        <w:t>;</w:t>
      </w:r>
    </w:p>
    <w:p w14:paraId="1DAF0D50" w14:textId="77777777" w:rsidR="00A02C6E" w:rsidRPr="00174744" w:rsidRDefault="00A02C6E" w:rsidP="00A02C6E">
      <w:pPr>
        <w:pStyle w:val="EndnoteText"/>
        <w:widowControl w:val="0"/>
        <w:ind w:left="3969" w:hanging="2269"/>
        <w:rPr>
          <w:szCs w:val="18"/>
        </w:rPr>
      </w:pPr>
      <w:r w:rsidRPr="00174744">
        <w:rPr>
          <w:szCs w:val="18"/>
        </w:rPr>
        <w:t>CRC</w:t>
      </w:r>
      <w:r w:rsidRPr="00174744">
        <w:rPr>
          <w:szCs w:val="18"/>
        </w:rPr>
        <w:tab/>
        <w:t>Convention on the Rights of the Child</w:t>
      </w:r>
      <w:r w:rsidR="00B12DE9">
        <w:rPr>
          <w:szCs w:val="18"/>
        </w:rPr>
        <w:t>;</w:t>
      </w:r>
    </w:p>
    <w:p w14:paraId="5F9E6D5C" w14:textId="77777777" w:rsidR="00A02C6E" w:rsidRPr="00174744" w:rsidRDefault="00A02C6E" w:rsidP="00A02C6E">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12DE9">
        <w:rPr>
          <w:szCs w:val="18"/>
        </w:rPr>
        <w:t>;</w:t>
      </w:r>
    </w:p>
    <w:p w14:paraId="5BD63E35" w14:textId="77777777" w:rsidR="00A02C6E" w:rsidRPr="00174744" w:rsidRDefault="00A02C6E" w:rsidP="00A02C6E">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12DE9">
        <w:rPr>
          <w:szCs w:val="18"/>
        </w:rPr>
        <w:t>;</w:t>
      </w:r>
    </w:p>
    <w:p w14:paraId="451D64A6" w14:textId="77777777" w:rsidR="00A02C6E" w:rsidRPr="00174744" w:rsidRDefault="00A02C6E" w:rsidP="00A02C6E">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B12DE9">
        <w:rPr>
          <w:szCs w:val="18"/>
        </w:rPr>
        <w:t>;</w:t>
      </w:r>
    </w:p>
    <w:p w14:paraId="13AB15A4" w14:textId="77777777" w:rsidR="00A02C6E" w:rsidRPr="00174744" w:rsidRDefault="00A02C6E" w:rsidP="00A02C6E">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B12DE9">
        <w:rPr>
          <w:szCs w:val="18"/>
        </w:rPr>
        <w:t>;</w:t>
      </w:r>
    </w:p>
    <w:p w14:paraId="2569E62F" w14:textId="77777777" w:rsidR="00A02C6E" w:rsidRPr="00174744" w:rsidRDefault="00A02C6E" w:rsidP="00A02C6E">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12DE9">
        <w:rPr>
          <w:szCs w:val="18"/>
        </w:rPr>
        <w:t>;</w:t>
      </w:r>
    </w:p>
    <w:p w14:paraId="6AB055FD" w14:textId="77777777" w:rsidR="00A02C6E" w:rsidRPr="00174744" w:rsidRDefault="00A02C6E" w:rsidP="00A02C6E">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B12DE9">
        <w:rPr>
          <w:szCs w:val="18"/>
        </w:rPr>
        <w:t>;</w:t>
      </w:r>
    </w:p>
    <w:p w14:paraId="09DFBE9A" w14:textId="77777777" w:rsidR="00A02C6E" w:rsidRPr="00AC3610" w:rsidRDefault="00A02C6E" w:rsidP="00A02C6E">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679FDECD" w14:textId="77777777" w:rsidR="00A02C6E" w:rsidRDefault="00A02C6E" w:rsidP="00A02C6E">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7B335BE6" w14:textId="77777777" w:rsidR="00BD71B1" w:rsidRPr="003558F5" w:rsidRDefault="00BD71B1" w:rsidP="00BD71B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558F5">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3558F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3558F5">
        <w:rPr>
          <w:szCs w:val="18"/>
        </w:rPr>
        <w:t xml:space="preserve"> </w:t>
      </w:r>
    </w:p>
  </w:endnote>
  <w:endnote w:id="6">
    <w:p w14:paraId="7C59894D" w14:textId="77777777" w:rsidR="00BD71B1" w:rsidRPr="003558F5" w:rsidRDefault="00BD71B1" w:rsidP="00BD71B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558F5">
        <w:rPr>
          <w:szCs w:val="18"/>
        </w:rPr>
        <w:t xml:space="preserve">Protocol Additional to the Geneva Conventions of 12 August 1949, and relating to the Adoption of an Additional Distinctive Emblem (Protocol III). </w:t>
      </w:r>
      <w:r w:rsidRPr="003558F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B12DE9">
        <w:rPr>
          <w:szCs w:val="18"/>
        </w:rPr>
        <w:t>.</w:t>
      </w:r>
    </w:p>
  </w:endnote>
  <w:endnote w:id="7">
    <w:p w14:paraId="11F54DD4" w14:textId="77777777" w:rsidR="00BD71B1" w:rsidRPr="00B12DE9" w:rsidRDefault="00BD71B1" w:rsidP="00BD71B1">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3558F5">
        <w:rPr>
          <w:szCs w:val="18"/>
        </w:rPr>
        <w:t>1951 Convention relating to the Status of Refugees and its 1967 Protocol and 1961 Convention on the Reduction of Statelessness</w:t>
      </w:r>
      <w:r w:rsidRPr="00B12DE9">
        <w:rPr>
          <w:color w:val="000000" w:themeColor="text1"/>
          <w:szCs w:val="18"/>
        </w:rPr>
        <w:t>.</w:t>
      </w:r>
    </w:p>
  </w:endnote>
  <w:endnote w:id="8">
    <w:p w14:paraId="0AB7856D" w14:textId="77777777" w:rsidR="00BD71B1" w:rsidRPr="00B12DE9" w:rsidRDefault="00BD71B1" w:rsidP="00BD71B1">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3558F5">
        <w:rPr>
          <w:szCs w:val="18"/>
        </w:rPr>
        <w:t>1954 Convention relating to the Status of Stateless Persons</w:t>
      </w:r>
      <w:r w:rsidRPr="00B12DE9">
        <w:rPr>
          <w:color w:val="000000" w:themeColor="text1"/>
          <w:szCs w:val="18"/>
        </w:rPr>
        <w:t>.</w:t>
      </w:r>
    </w:p>
  </w:endnote>
  <w:endnote w:id="9">
    <w:p w14:paraId="3D865E0C" w14:textId="77777777" w:rsidR="00BD71B1" w:rsidRPr="00A82F81" w:rsidRDefault="00BD71B1" w:rsidP="00BD71B1">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66D2B5B8" w14:textId="77777777" w:rsidR="00BD71B1" w:rsidRPr="00A8326E" w:rsidRDefault="00BD71B1" w:rsidP="00BD71B1">
      <w:pPr>
        <w:pStyle w:val="EndnoteText"/>
        <w:rPr>
          <w:szCs w:val="18"/>
        </w:rPr>
      </w:pPr>
      <w:r w:rsidRPr="00A82F81">
        <w:rPr>
          <w:szCs w:val="18"/>
        </w:rPr>
        <w:tab/>
      </w:r>
      <w:r w:rsidRPr="00A82F81">
        <w:rPr>
          <w:rStyle w:val="EndnoteReference"/>
          <w:szCs w:val="18"/>
        </w:rPr>
        <w:endnoteRef/>
      </w:r>
      <w:r w:rsidRPr="00A8326E">
        <w:rPr>
          <w:szCs w:val="18"/>
        </w:rPr>
        <w:tab/>
        <w:t>International Labour Organization Convention No. 29 concerning Forced or Compulsory Labour; Convention No. 105 concerning the Abolition of Forced Labour;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182 concerning the Prohibition and Immediate Action for the Elimination of the Worst Forms of Child Labour.</w:t>
      </w:r>
    </w:p>
  </w:endnote>
  <w:endnote w:id="11">
    <w:p w14:paraId="3C9238FF" w14:textId="77777777" w:rsidR="00BD71B1" w:rsidRPr="00A8326E" w:rsidRDefault="00BD71B1" w:rsidP="00BD71B1">
      <w:pPr>
        <w:pStyle w:val="EndnoteText"/>
        <w:rPr>
          <w:szCs w:val="18"/>
        </w:rPr>
      </w:pPr>
      <w:r w:rsidRPr="00A82F81">
        <w:rPr>
          <w:szCs w:val="18"/>
        </w:rPr>
        <w:tab/>
      </w:r>
      <w:r w:rsidRPr="00A82F81">
        <w:rPr>
          <w:rStyle w:val="EndnoteReference"/>
          <w:szCs w:val="18"/>
        </w:rPr>
        <w:endnoteRef/>
      </w:r>
      <w:r w:rsidRPr="00A82F81">
        <w:rPr>
          <w:szCs w:val="18"/>
        </w:rPr>
        <w:tab/>
      </w:r>
      <w:r w:rsidRPr="00A8326E">
        <w:rPr>
          <w:szCs w:val="18"/>
        </w:rPr>
        <w:t>International Labour Organization Convention No.  87 concerning Freedom of Association and Protection of the Right to Organise; Convention No. 138 concerning Minimum Age for Admission to Employment-</w:t>
      </w:r>
    </w:p>
  </w:endnote>
  <w:endnote w:id="12">
    <w:p w14:paraId="50A170B8" w14:textId="77777777" w:rsidR="00BD71B1" w:rsidRPr="00A8326E" w:rsidRDefault="00BD71B1" w:rsidP="00BD71B1">
      <w:pPr>
        <w:pStyle w:val="EndnoteText"/>
        <w:rPr>
          <w:szCs w:val="18"/>
        </w:rPr>
      </w:pPr>
      <w:r w:rsidRPr="00A8326E">
        <w:rPr>
          <w:szCs w:val="18"/>
        </w:rPr>
        <w:tab/>
      </w:r>
      <w:r w:rsidRPr="00A8326E">
        <w:rPr>
          <w:rStyle w:val="EndnoteReference"/>
          <w:szCs w:val="18"/>
        </w:rPr>
        <w:endnoteRef/>
      </w:r>
      <w:r w:rsidRPr="00A8326E">
        <w:rPr>
          <w:szCs w:val="18"/>
        </w:rPr>
        <w:tab/>
        <w:t>ILO</w:t>
      </w:r>
      <w:r w:rsidRPr="00A8326E">
        <w:rPr>
          <w:szCs w:val="18"/>
          <w:lang w:val="en-US"/>
        </w:rPr>
        <w:t xml:space="preserve"> Indigenous and Tribal Peoples Convention, 1989 (No. 169) and </w:t>
      </w:r>
      <w:r w:rsidRPr="00A8326E">
        <w:rPr>
          <w:szCs w:val="18"/>
        </w:rPr>
        <w:t xml:space="preserve">Domestic Workers </w:t>
      </w:r>
      <w:r w:rsidRPr="00A8326E">
        <w:rPr>
          <w:szCs w:val="18"/>
          <w:lang w:val="en-US"/>
        </w:rPr>
        <w:t>Convention, 2011 (No. 189)</w:t>
      </w:r>
      <w:r w:rsidRPr="00A8326E">
        <w:rPr>
          <w:szCs w:val="18"/>
        </w:rPr>
        <w:t>.</w:t>
      </w:r>
    </w:p>
  </w:endnote>
  <w:endnote w:id="13">
    <w:p w14:paraId="5C6E13C4" w14:textId="77777777" w:rsidR="001D60F4" w:rsidRPr="00A82F81" w:rsidRDefault="001D60F4" w:rsidP="001D60F4">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05F926A4" w14:textId="77777777" w:rsidR="001D60F4" w:rsidRPr="00A82F81" w:rsidRDefault="001D60F4" w:rsidP="001D60F4">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12DE9">
        <w:rPr>
          <w:szCs w:val="18"/>
        </w:rPr>
        <w:t>;</w:t>
      </w:r>
    </w:p>
    <w:p w14:paraId="424C0C4A" w14:textId="77777777" w:rsidR="001D60F4" w:rsidRPr="00A82F81" w:rsidRDefault="001D60F4" w:rsidP="001D60F4">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12DE9">
        <w:rPr>
          <w:szCs w:val="18"/>
        </w:rPr>
        <w:t>;</w:t>
      </w:r>
    </w:p>
    <w:p w14:paraId="7A803AE3" w14:textId="77777777" w:rsidR="001D60F4" w:rsidRPr="00A82F81" w:rsidRDefault="001D60F4" w:rsidP="001D60F4">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12DE9">
        <w:rPr>
          <w:szCs w:val="18"/>
        </w:rPr>
        <w:t>;</w:t>
      </w:r>
    </w:p>
    <w:p w14:paraId="246005A9" w14:textId="77777777" w:rsidR="001D60F4" w:rsidRPr="00A82F81" w:rsidRDefault="001D60F4" w:rsidP="001D60F4">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B12DE9">
        <w:rPr>
          <w:szCs w:val="18"/>
        </w:rPr>
        <w:t>;</w:t>
      </w:r>
    </w:p>
    <w:p w14:paraId="12C5ED27" w14:textId="77777777" w:rsidR="001D60F4" w:rsidRPr="00A82F81" w:rsidRDefault="001D60F4" w:rsidP="001D60F4">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12DE9">
        <w:rPr>
          <w:szCs w:val="18"/>
        </w:rPr>
        <w:t>;</w:t>
      </w:r>
    </w:p>
    <w:p w14:paraId="4E27B2F4" w14:textId="77777777" w:rsidR="001D60F4" w:rsidRPr="00A82F81" w:rsidRDefault="001D60F4" w:rsidP="001D60F4">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12DE9">
        <w:rPr>
          <w:szCs w:val="18"/>
        </w:rPr>
        <w:t>;</w:t>
      </w:r>
    </w:p>
    <w:p w14:paraId="640926E9" w14:textId="77777777" w:rsidR="001D60F4" w:rsidRPr="00A82F81" w:rsidRDefault="001D60F4" w:rsidP="001D60F4">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B12DE9">
        <w:rPr>
          <w:szCs w:val="18"/>
        </w:rPr>
        <w:t>;</w:t>
      </w:r>
    </w:p>
    <w:p w14:paraId="4E26A48A" w14:textId="77777777" w:rsidR="001D60F4" w:rsidRPr="00A82F81" w:rsidRDefault="001D60F4" w:rsidP="001D60F4">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12DE9">
        <w:rPr>
          <w:szCs w:val="18"/>
        </w:rPr>
        <w:t>;</w:t>
      </w:r>
    </w:p>
    <w:p w14:paraId="3B83318D" w14:textId="77777777" w:rsidR="001D60F4" w:rsidRPr="00A82F81" w:rsidRDefault="001D60F4" w:rsidP="001D60F4">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B12DE9">
        <w:rPr>
          <w:szCs w:val="18"/>
        </w:rPr>
        <w:t>;</w:t>
      </w:r>
    </w:p>
    <w:p w14:paraId="3310CBE2" w14:textId="77777777" w:rsidR="001D60F4" w:rsidRPr="00A82F81" w:rsidRDefault="001D60F4" w:rsidP="001D60F4">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B12DE9">
        <w:rPr>
          <w:szCs w:val="18"/>
        </w:rPr>
        <w:t>.</w:t>
      </w:r>
    </w:p>
  </w:endnote>
  <w:endnote w:id="14">
    <w:p w14:paraId="266A78E4" w14:textId="77777777" w:rsidR="00B5098D" w:rsidRPr="00C23599" w:rsidRDefault="00B12DE9" w:rsidP="00B12DE9">
      <w:pPr>
        <w:pStyle w:val="EndnoteText"/>
        <w:rPr>
          <w:szCs w:val="18"/>
        </w:rPr>
      </w:pPr>
      <w:r w:rsidRPr="00C23599">
        <w:rPr>
          <w:szCs w:val="18"/>
        </w:rPr>
        <w:tab/>
      </w:r>
      <w:r w:rsidR="00B5098D" w:rsidRPr="00D920B7">
        <w:rPr>
          <w:rStyle w:val="EndnoteReference"/>
          <w:szCs w:val="18"/>
        </w:rPr>
        <w:endnoteRef/>
      </w:r>
      <w:r w:rsidRPr="00C23599">
        <w:rPr>
          <w:szCs w:val="18"/>
        </w:rPr>
        <w:tab/>
      </w:r>
      <w:r w:rsidR="00B5098D" w:rsidRPr="00C23599">
        <w:rPr>
          <w:bCs/>
          <w:szCs w:val="18"/>
        </w:rPr>
        <w:t>CERD/C/NZL/CO/18-20, para. 27.</w:t>
      </w:r>
    </w:p>
  </w:endnote>
  <w:endnote w:id="15">
    <w:p w14:paraId="5DAC89DC" w14:textId="77777777" w:rsidR="00B5098D" w:rsidRPr="00D920B7" w:rsidRDefault="00B12DE9" w:rsidP="00B12DE9">
      <w:pPr>
        <w:pStyle w:val="EndnoteText"/>
        <w:rPr>
          <w:szCs w:val="18"/>
        </w:rPr>
      </w:pPr>
      <w:r>
        <w:rPr>
          <w:szCs w:val="18"/>
        </w:rPr>
        <w:tab/>
      </w:r>
      <w:r w:rsidR="00B5098D" w:rsidRPr="00D920B7">
        <w:rPr>
          <w:rStyle w:val="EndnoteReference"/>
          <w:szCs w:val="18"/>
        </w:rPr>
        <w:endnoteRef/>
      </w:r>
      <w:r>
        <w:rPr>
          <w:szCs w:val="18"/>
        </w:rPr>
        <w:tab/>
      </w:r>
      <w:r w:rsidR="00B5098D" w:rsidRPr="00D920B7">
        <w:rPr>
          <w:szCs w:val="18"/>
          <w:lang w:val="en-US"/>
        </w:rPr>
        <w:t xml:space="preserve">CERD/C/NZL/CO/18-20/Add.1. See also </w:t>
      </w:r>
      <w:r w:rsidR="00B5098D" w:rsidRPr="00D920B7">
        <w:rPr>
          <w:szCs w:val="18"/>
        </w:rPr>
        <w:t xml:space="preserve">Letter from CERD to the Permanent Mission of New Zealand </w:t>
      </w:r>
      <w:r w:rsidR="00B5098D" w:rsidRPr="00D920B7">
        <w:rPr>
          <w:rStyle w:val="EndnoteTextChar"/>
          <w:szCs w:val="18"/>
        </w:rPr>
        <w:t>to the United Nations Office and other international organizations in Geneva</w:t>
      </w:r>
      <w:r w:rsidR="00B5098D" w:rsidRPr="00D920B7">
        <w:rPr>
          <w:szCs w:val="18"/>
        </w:rPr>
        <w:t>, dated 15 May 2015, available from http://tbinternet.ohchr.org/Treaties/CERD/Shared%20Documents/NZL/INT_CERD_FUL_NZL_20670_E.pdf (accessed on 13 June 2018).</w:t>
      </w:r>
    </w:p>
  </w:endnote>
  <w:endnote w:id="16">
    <w:p w14:paraId="3F319E41" w14:textId="77777777" w:rsidR="00B5098D" w:rsidRPr="00C23599" w:rsidRDefault="00B12DE9" w:rsidP="00B12DE9">
      <w:pPr>
        <w:pStyle w:val="EndnoteText"/>
        <w:rPr>
          <w:szCs w:val="18"/>
        </w:rPr>
      </w:pPr>
      <w:r w:rsidRPr="00C23599">
        <w:rPr>
          <w:szCs w:val="18"/>
        </w:rPr>
        <w:tab/>
      </w:r>
      <w:r w:rsidR="00B5098D" w:rsidRPr="00D920B7">
        <w:rPr>
          <w:rStyle w:val="EndnoteReference"/>
          <w:szCs w:val="18"/>
        </w:rPr>
        <w:endnoteRef/>
      </w:r>
      <w:r w:rsidRPr="00C23599">
        <w:rPr>
          <w:szCs w:val="18"/>
        </w:rPr>
        <w:tab/>
      </w:r>
      <w:r w:rsidR="00B5098D" w:rsidRPr="00C23599">
        <w:rPr>
          <w:bCs/>
          <w:szCs w:val="18"/>
        </w:rPr>
        <w:t>CERD/C/NZL/CO/21-22, para. 44.</w:t>
      </w:r>
    </w:p>
  </w:endnote>
  <w:endnote w:id="17">
    <w:p w14:paraId="5EDA3FC6" w14:textId="77777777" w:rsidR="00AF73AF" w:rsidRPr="00D34269" w:rsidRDefault="00AF73AF" w:rsidP="00AF73AF">
      <w:pPr>
        <w:pStyle w:val="EndnoteText"/>
        <w:ind w:hanging="141"/>
        <w:rPr>
          <w:szCs w:val="18"/>
        </w:rPr>
      </w:pPr>
      <w:r w:rsidRPr="00D34269">
        <w:rPr>
          <w:rStyle w:val="EndnoteReference"/>
          <w:szCs w:val="18"/>
        </w:rPr>
        <w:endnoteRef/>
      </w:r>
      <w:r w:rsidRPr="00D34269">
        <w:rPr>
          <w:szCs w:val="18"/>
        </w:rPr>
        <w:t xml:space="preserve"> </w:t>
      </w:r>
      <w:r w:rsidRPr="00C83302">
        <w:rPr>
          <w:rStyle w:val="sessionsubtitle"/>
          <w:color w:val="676767"/>
          <w:szCs w:val="18"/>
          <w:lang w:val="en-US"/>
        </w:rPr>
        <w:t>CERD/C/NZL/CO/21-22/Add.1.</w:t>
      </w:r>
    </w:p>
  </w:endnote>
  <w:endnote w:id="18">
    <w:p w14:paraId="6D90FB94" w14:textId="77777777" w:rsidR="00B5098D" w:rsidRPr="00C23599" w:rsidRDefault="00B12DE9" w:rsidP="00B12DE9">
      <w:pPr>
        <w:pStyle w:val="EndnoteText"/>
        <w:rPr>
          <w:szCs w:val="18"/>
          <w:lang w:val="pt-BR"/>
        </w:rPr>
      </w:pPr>
      <w:r w:rsidRPr="00C23599">
        <w:rPr>
          <w:szCs w:val="18"/>
        </w:rPr>
        <w:tab/>
      </w:r>
      <w:r w:rsidR="00B5098D" w:rsidRPr="00D920B7">
        <w:rPr>
          <w:rStyle w:val="EndnoteReference"/>
          <w:szCs w:val="18"/>
        </w:rPr>
        <w:endnoteRef/>
      </w:r>
      <w:r w:rsidRPr="00C23599">
        <w:rPr>
          <w:szCs w:val="18"/>
          <w:lang w:val="pt-BR"/>
        </w:rPr>
        <w:tab/>
      </w:r>
      <w:r w:rsidR="00B5098D" w:rsidRPr="00C23599">
        <w:rPr>
          <w:bCs/>
          <w:szCs w:val="18"/>
          <w:lang w:val="pt-BR"/>
        </w:rPr>
        <w:t>E/C.12/NZL/CO/4, para. 56.</w:t>
      </w:r>
    </w:p>
  </w:endnote>
  <w:endnote w:id="19">
    <w:p w14:paraId="6E10400B" w14:textId="77777777" w:rsidR="00B5098D" w:rsidRPr="00D920B7" w:rsidRDefault="00B12DE9" w:rsidP="00B12DE9">
      <w:pPr>
        <w:pStyle w:val="EndnoteText"/>
        <w:rPr>
          <w:szCs w:val="18"/>
        </w:rPr>
      </w:pPr>
      <w:r w:rsidRPr="00C23599">
        <w:rPr>
          <w:szCs w:val="18"/>
          <w:lang w:val="pt-BR"/>
        </w:rPr>
        <w:tab/>
      </w:r>
      <w:r w:rsidR="00B5098D" w:rsidRPr="00D920B7">
        <w:rPr>
          <w:rStyle w:val="EndnoteReference"/>
          <w:szCs w:val="18"/>
        </w:rPr>
        <w:endnoteRef/>
      </w:r>
      <w:r w:rsidRPr="00C23599">
        <w:rPr>
          <w:szCs w:val="18"/>
          <w:lang w:val="pt-BR"/>
        </w:rPr>
        <w:tab/>
      </w:r>
      <w:r w:rsidR="00B5098D" w:rsidRPr="00C23599">
        <w:rPr>
          <w:bCs/>
          <w:szCs w:val="18"/>
          <w:lang w:val="pt-BR"/>
        </w:rPr>
        <w:t xml:space="preserve">CCPR/C/NZL/CO/6, para. </w:t>
      </w:r>
      <w:r w:rsidR="00B5098D" w:rsidRPr="00D920B7">
        <w:rPr>
          <w:bCs/>
          <w:szCs w:val="18"/>
        </w:rPr>
        <w:t>50.</w:t>
      </w:r>
    </w:p>
  </w:endnote>
  <w:endnote w:id="20">
    <w:p w14:paraId="0075D9C4" w14:textId="77777777" w:rsidR="00B5098D" w:rsidRPr="00D920B7" w:rsidRDefault="00B12DE9" w:rsidP="00B12DE9">
      <w:pPr>
        <w:pStyle w:val="EndnoteText"/>
        <w:rPr>
          <w:szCs w:val="18"/>
        </w:rPr>
      </w:pPr>
      <w:r>
        <w:rPr>
          <w:szCs w:val="18"/>
        </w:rPr>
        <w:tab/>
      </w:r>
      <w:r w:rsidR="00B5098D" w:rsidRPr="00D920B7">
        <w:rPr>
          <w:rStyle w:val="EndnoteReference"/>
          <w:szCs w:val="18"/>
        </w:rPr>
        <w:endnoteRef/>
      </w:r>
      <w:r>
        <w:rPr>
          <w:szCs w:val="18"/>
        </w:rPr>
        <w:tab/>
      </w:r>
      <w:r w:rsidR="00B5098D" w:rsidRPr="00D920B7">
        <w:rPr>
          <w:szCs w:val="18"/>
          <w:lang w:val="en-US"/>
        </w:rPr>
        <w:t>CCPR/C/NZL/CO/6/Add.1.</w:t>
      </w:r>
    </w:p>
  </w:endnote>
  <w:endnote w:id="21">
    <w:p w14:paraId="442FD9BE" w14:textId="77777777" w:rsidR="00B5098D" w:rsidRPr="00D920B7" w:rsidRDefault="00B12DE9" w:rsidP="00B12DE9">
      <w:pPr>
        <w:pStyle w:val="EndnoteText"/>
        <w:rPr>
          <w:szCs w:val="18"/>
        </w:rPr>
      </w:pPr>
      <w:r w:rsidRPr="00C23599">
        <w:rPr>
          <w:szCs w:val="18"/>
        </w:rPr>
        <w:tab/>
      </w:r>
      <w:r w:rsidR="00B5098D" w:rsidRPr="00D920B7">
        <w:rPr>
          <w:rStyle w:val="EndnoteReference"/>
          <w:szCs w:val="18"/>
        </w:rPr>
        <w:endnoteRef/>
      </w:r>
      <w:r w:rsidRPr="00C23599">
        <w:rPr>
          <w:szCs w:val="18"/>
          <w:lang w:val="pt-BR"/>
        </w:rPr>
        <w:tab/>
      </w:r>
      <w:r w:rsidR="00B5098D" w:rsidRPr="00C23599">
        <w:rPr>
          <w:bCs/>
          <w:szCs w:val="18"/>
          <w:lang w:val="pt-BR" w:eastAsia="en-GB"/>
        </w:rPr>
        <w:t xml:space="preserve">CEDAW/C/NZL/CO/7, para. </w:t>
      </w:r>
      <w:r w:rsidR="00B5098D" w:rsidRPr="00D920B7">
        <w:rPr>
          <w:bCs/>
          <w:szCs w:val="18"/>
          <w:lang w:eastAsia="en-GB"/>
        </w:rPr>
        <w:t>44.</w:t>
      </w:r>
    </w:p>
  </w:endnote>
  <w:endnote w:id="22">
    <w:p w14:paraId="7AC127EF" w14:textId="77777777" w:rsidR="00B5098D" w:rsidRPr="00D920B7" w:rsidRDefault="00B12DE9" w:rsidP="00B12DE9">
      <w:pPr>
        <w:pStyle w:val="EndnoteText"/>
        <w:rPr>
          <w:szCs w:val="18"/>
        </w:rPr>
      </w:pPr>
      <w:r>
        <w:rPr>
          <w:szCs w:val="18"/>
        </w:rPr>
        <w:tab/>
      </w:r>
      <w:r w:rsidR="00B5098D" w:rsidRPr="00D920B7">
        <w:rPr>
          <w:rStyle w:val="EndnoteReference"/>
          <w:szCs w:val="18"/>
        </w:rPr>
        <w:endnoteRef/>
      </w:r>
      <w:r>
        <w:rPr>
          <w:szCs w:val="18"/>
        </w:rPr>
        <w:tab/>
      </w:r>
      <w:r w:rsidR="00B5098D" w:rsidRPr="00D920B7">
        <w:rPr>
          <w:szCs w:val="18"/>
          <w:lang w:val="en-US"/>
        </w:rPr>
        <w:t>CEDAW/C/NZL/CO/7/Add.1.</w:t>
      </w:r>
    </w:p>
  </w:endnote>
  <w:endnote w:id="23">
    <w:p w14:paraId="5F26064A" w14:textId="77777777" w:rsidR="00B12DE9" w:rsidRDefault="00B12DE9" w:rsidP="00B12DE9">
      <w:pPr>
        <w:pStyle w:val="EndnoteText"/>
        <w:widowControl w:val="0"/>
        <w:tabs>
          <w:tab w:val="clear" w:pos="1021"/>
          <w:tab w:val="right" w:pos="1020"/>
        </w:tabs>
      </w:pPr>
      <w:r>
        <w:tab/>
      </w:r>
      <w:r>
        <w:rPr>
          <w:rStyle w:val="EndnoteReference"/>
        </w:rPr>
        <w:endnoteRef/>
      </w:r>
      <w:r>
        <w:tab/>
      </w:r>
      <w:r w:rsidRPr="00B12DE9">
        <w:t>Letter from CEDAW to the Permanent Mission of New Zealand to the United Nations Office and other international organizations in Geneva, dated 30 April 2015, available from http://tbinternet.ohchr.org/Treaties/CEDAW/Shared%20Documents/NZL/INT_CEDAW_FUL_NZL_20200_E.</w:t>
      </w:r>
      <w:r>
        <w:t>pdf (accessed on 13 June 2018).</w:t>
      </w:r>
    </w:p>
  </w:endnote>
  <w:endnote w:id="24">
    <w:p w14:paraId="0A47233D" w14:textId="77777777" w:rsidR="00F67A98" w:rsidRPr="00C23599" w:rsidRDefault="00F67A98" w:rsidP="00D32F3D">
      <w:pPr>
        <w:pStyle w:val="EndnoteText"/>
        <w:ind w:hanging="283"/>
      </w:pPr>
      <w:r w:rsidRPr="00D32F3D">
        <w:rPr>
          <w:rStyle w:val="EndnoteReference"/>
        </w:rPr>
        <w:endnoteRef/>
      </w:r>
      <w:r w:rsidRPr="00C23599">
        <w:rPr>
          <w:lang w:val="pt-BR"/>
        </w:rPr>
        <w:t xml:space="preserve"> </w:t>
      </w:r>
      <w:r w:rsidRPr="00C23599">
        <w:rPr>
          <w:bCs/>
          <w:sz w:val="17"/>
          <w:szCs w:val="17"/>
          <w:lang w:val="pt-BR"/>
        </w:rPr>
        <w:t xml:space="preserve">CEDAW/C/NZL/CO/8, para. </w:t>
      </w:r>
      <w:r w:rsidRPr="00C23599">
        <w:rPr>
          <w:bCs/>
          <w:sz w:val="17"/>
          <w:szCs w:val="17"/>
        </w:rPr>
        <w:t>55.</w:t>
      </w:r>
    </w:p>
  </w:endnote>
  <w:endnote w:id="25">
    <w:p w14:paraId="50CC387F" w14:textId="77777777" w:rsidR="00F67A98" w:rsidRPr="00D920B7" w:rsidRDefault="00F67A98" w:rsidP="00B12DE9">
      <w:pPr>
        <w:pStyle w:val="EndnoteText"/>
        <w:rPr>
          <w:szCs w:val="18"/>
        </w:rPr>
      </w:pPr>
      <w:r w:rsidRPr="00C23599">
        <w:rPr>
          <w:szCs w:val="18"/>
        </w:rPr>
        <w:tab/>
      </w:r>
      <w:r w:rsidRPr="00D920B7">
        <w:rPr>
          <w:rStyle w:val="EndnoteReference"/>
          <w:szCs w:val="18"/>
        </w:rPr>
        <w:endnoteRef/>
      </w:r>
      <w:r w:rsidRPr="00C23599">
        <w:rPr>
          <w:szCs w:val="18"/>
        </w:rPr>
        <w:tab/>
      </w:r>
      <w:r w:rsidRPr="00C23599">
        <w:rPr>
          <w:bCs/>
          <w:szCs w:val="18"/>
        </w:rPr>
        <w:t xml:space="preserve">CAT/C/NZL/CO/6, para. </w:t>
      </w:r>
      <w:r w:rsidRPr="00D920B7">
        <w:rPr>
          <w:bCs/>
          <w:szCs w:val="18"/>
        </w:rPr>
        <w:t>21.</w:t>
      </w:r>
    </w:p>
  </w:endnote>
  <w:endnote w:id="26">
    <w:p w14:paraId="45A04464" w14:textId="77777777" w:rsidR="00F67A98" w:rsidRPr="00D920B7" w:rsidRDefault="00F67A98" w:rsidP="00B12DE9">
      <w:pPr>
        <w:pStyle w:val="EndnoteText"/>
        <w:rPr>
          <w:szCs w:val="18"/>
        </w:rPr>
      </w:pPr>
      <w:r>
        <w:rPr>
          <w:szCs w:val="18"/>
        </w:rPr>
        <w:tab/>
      </w:r>
      <w:r w:rsidRPr="00D920B7">
        <w:rPr>
          <w:rStyle w:val="EndnoteReference"/>
          <w:szCs w:val="18"/>
        </w:rPr>
        <w:endnoteRef/>
      </w:r>
      <w:r>
        <w:rPr>
          <w:szCs w:val="18"/>
        </w:rPr>
        <w:tab/>
      </w:r>
      <w:r w:rsidRPr="00D920B7">
        <w:rPr>
          <w:szCs w:val="18"/>
          <w:lang w:val="en-US"/>
        </w:rPr>
        <w:t>CAT/C/NZL/CO/6/Add.1.</w:t>
      </w:r>
    </w:p>
  </w:endnote>
  <w:endnote w:id="27">
    <w:p w14:paraId="306C8B84" w14:textId="77777777" w:rsidR="00DA5413" w:rsidRPr="0082417C" w:rsidRDefault="00B12DE9" w:rsidP="00B12DE9">
      <w:pPr>
        <w:pStyle w:val="EndnoteText"/>
        <w:rPr>
          <w:szCs w:val="18"/>
        </w:rPr>
      </w:pPr>
      <w:r>
        <w:rPr>
          <w:szCs w:val="18"/>
        </w:rPr>
        <w:tab/>
      </w:r>
      <w:r w:rsidR="00DA5413" w:rsidRPr="00D920B7">
        <w:rPr>
          <w:rStyle w:val="EndnoteReference"/>
          <w:szCs w:val="18"/>
        </w:rPr>
        <w:endnoteRef/>
      </w:r>
      <w:r w:rsidRPr="0082417C">
        <w:rPr>
          <w:szCs w:val="18"/>
        </w:rPr>
        <w:tab/>
      </w:r>
      <w:r w:rsidR="00DA5413" w:rsidRPr="0082417C">
        <w:rPr>
          <w:bCs/>
          <w:szCs w:val="18"/>
        </w:rPr>
        <w:t>CAT/C/62/D/672/2015</w:t>
      </w:r>
    </w:p>
  </w:endnote>
  <w:endnote w:id="28">
    <w:p w14:paraId="4F3122F7" w14:textId="77777777" w:rsidR="00DA5413" w:rsidRPr="00C23599" w:rsidRDefault="00B12DE9" w:rsidP="00B12DE9">
      <w:pPr>
        <w:pStyle w:val="EndnoteText"/>
        <w:rPr>
          <w:szCs w:val="18"/>
          <w:lang w:val="pt-BR"/>
        </w:rPr>
      </w:pPr>
      <w:r w:rsidRPr="0082417C">
        <w:rPr>
          <w:szCs w:val="18"/>
        </w:rPr>
        <w:tab/>
      </w:r>
      <w:r w:rsidR="00DA5413" w:rsidRPr="00D920B7">
        <w:rPr>
          <w:rStyle w:val="EndnoteReference"/>
          <w:szCs w:val="18"/>
        </w:rPr>
        <w:endnoteRef/>
      </w:r>
      <w:r w:rsidRPr="0082417C">
        <w:rPr>
          <w:szCs w:val="18"/>
        </w:rPr>
        <w:tab/>
      </w:r>
      <w:r w:rsidR="00DA5413" w:rsidRPr="0082417C">
        <w:rPr>
          <w:bCs/>
          <w:szCs w:val="18"/>
        </w:rPr>
        <w:t xml:space="preserve">CAT/C/62/D/672/2015, para. </w:t>
      </w:r>
      <w:r w:rsidR="00DA5413" w:rsidRPr="00C23599">
        <w:rPr>
          <w:bCs/>
          <w:szCs w:val="18"/>
          <w:lang w:val="pt-BR"/>
        </w:rPr>
        <w:t>9.</w:t>
      </w:r>
    </w:p>
  </w:endnote>
  <w:endnote w:id="29">
    <w:p w14:paraId="31409987" w14:textId="77777777" w:rsidR="00FF57B2" w:rsidRPr="00C23599" w:rsidRDefault="00FF57B2" w:rsidP="00DE4B26">
      <w:pPr>
        <w:pStyle w:val="EndnoteText"/>
        <w:ind w:hanging="141"/>
        <w:rPr>
          <w:szCs w:val="18"/>
          <w:lang w:val="pt-BR"/>
        </w:rPr>
      </w:pPr>
      <w:r w:rsidRPr="00DE4B26">
        <w:rPr>
          <w:rStyle w:val="EndnoteReference"/>
          <w:szCs w:val="18"/>
        </w:rPr>
        <w:endnoteRef/>
      </w:r>
      <w:r w:rsidRPr="00C23599">
        <w:rPr>
          <w:szCs w:val="18"/>
          <w:lang w:val="pt-BR"/>
        </w:rPr>
        <w:t xml:space="preserve"> </w:t>
      </w:r>
      <w:r w:rsidRPr="00C23599">
        <w:rPr>
          <w:rStyle w:val="sessionsubtitle"/>
          <w:color w:val="676767"/>
          <w:szCs w:val="18"/>
          <w:lang w:val="pt-BR"/>
        </w:rPr>
        <w:t>CCPR/C/121/D/2502/2014.</w:t>
      </w:r>
    </w:p>
  </w:endnote>
  <w:endnote w:id="30">
    <w:p w14:paraId="5E7FA6D2" w14:textId="77777777" w:rsidR="00FF57B2" w:rsidRDefault="00FF57B2" w:rsidP="00DE4B26">
      <w:pPr>
        <w:pStyle w:val="EndnoteText"/>
        <w:ind w:hanging="141"/>
      </w:pPr>
      <w:r>
        <w:rPr>
          <w:rStyle w:val="EndnoteReference"/>
        </w:rPr>
        <w:endnoteRef/>
      </w:r>
      <w:r w:rsidRPr="00C23599">
        <w:rPr>
          <w:lang w:val="pt-BR"/>
        </w:rPr>
        <w:t xml:space="preserve"> </w:t>
      </w:r>
      <w:r w:rsidRPr="00C23599">
        <w:rPr>
          <w:rStyle w:val="sessionsubtitle"/>
          <w:color w:val="676767"/>
          <w:szCs w:val="18"/>
          <w:lang w:val="pt-BR"/>
        </w:rPr>
        <w:t xml:space="preserve">CCPR/C/121/D/2502/2014, para. </w:t>
      </w:r>
      <w:r>
        <w:rPr>
          <w:rStyle w:val="sessionsubtitle"/>
          <w:color w:val="676767"/>
          <w:szCs w:val="18"/>
          <w:lang w:val="en-US"/>
        </w:rPr>
        <w:t>11.</w:t>
      </w:r>
    </w:p>
  </w:endnote>
  <w:endnote w:id="31">
    <w:p w14:paraId="2B1739AB" w14:textId="77777777" w:rsidR="00DA5413" w:rsidRPr="00D920B7" w:rsidRDefault="00B12DE9" w:rsidP="00B12DE9">
      <w:pPr>
        <w:pStyle w:val="EndnoteText"/>
        <w:rPr>
          <w:szCs w:val="18"/>
        </w:rPr>
      </w:pPr>
      <w:r>
        <w:rPr>
          <w:szCs w:val="18"/>
        </w:rPr>
        <w:tab/>
      </w:r>
      <w:r w:rsidR="00DA5413" w:rsidRPr="00D920B7">
        <w:rPr>
          <w:rStyle w:val="EndnoteReference"/>
          <w:szCs w:val="18"/>
        </w:rPr>
        <w:endnoteRef/>
      </w:r>
      <w:r>
        <w:rPr>
          <w:szCs w:val="18"/>
        </w:rPr>
        <w:tab/>
      </w:r>
      <w:r w:rsidR="00DA5413" w:rsidRPr="00D920B7">
        <w:rPr>
          <w:szCs w:val="18"/>
          <w:lang w:val="en-US"/>
        </w:rPr>
        <w:t>CAT/OP/NZL/1. See also CAT/OP/NZL/1/Add.1.</w:t>
      </w:r>
    </w:p>
  </w:endnote>
  <w:endnote w:id="32">
    <w:p w14:paraId="350C2A17" w14:textId="77777777" w:rsidR="00AF39C7" w:rsidRDefault="00AF39C7" w:rsidP="00AF39C7">
      <w:pPr>
        <w:pStyle w:val="EndnoteText"/>
        <w:widowControl w:val="0"/>
        <w:tabs>
          <w:tab w:val="clear" w:pos="1021"/>
          <w:tab w:val="right" w:pos="1020"/>
        </w:tabs>
      </w:pPr>
      <w:r>
        <w:tab/>
      </w:r>
      <w:r>
        <w:rPr>
          <w:rStyle w:val="EndnoteReference"/>
        </w:rPr>
        <w:endnoteRef/>
      </w:r>
      <w:r>
        <w:tab/>
      </w:r>
      <w:r w:rsidRPr="00AF39C7">
        <w:t>For the titles of special procedure mandate holders see: https://spcommreports.ohchr.org/about/abbreviations</w:t>
      </w:r>
    </w:p>
  </w:endnote>
  <w:endnote w:id="33">
    <w:p w14:paraId="2EB78D72" w14:textId="77777777" w:rsidR="00B54055" w:rsidRPr="00A82F81" w:rsidRDefault="00B54055" w:rsidP="00B54055">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4">
    <w:p w14:paraId="52BA2721" w14:textId="77777777" w:rsidR="00B12DE9" w:rsidRDefault="00B12DE9" w:rsidP="00B12DE9">
      <w:pPr>
        <w:pStyle w:val="EndnoteText"/>
        <w:widowControl w:val="0"/>
        <w:tabs>
          <w:tab w:val="clear" w:pos="1021"/>
          <w:tab w:val="right" w:pos="1020"/>
        </w:tabs>
      </w:pPr>
      <w:r>
        <w:tab/>
      </w:r>
      <w:r>
        <w:rPr>
          <w:rStyle w:val="EndnoteReference"/>
        </w:rPr>
        <w:endnoteRef/>
      </w:r>
      <w:r>
        <w:tab/>
      </w:r>
      <w:r w:rsidRPr="00B12DE9">
        <w:t>The list of national human rights institutions with accreditation status granted by the Global Alliance of National Human Rights Institutions (GANHRI), accessed at: https://nhri.ohchr.org/EN/Documents/Status%20Accreditation%20Chart%20%288%20August%202018.pdf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4039" w14:textId="476F976A" w:rsidR="00674A7D" w:rsidRDefault="00674A7D">
    <w:pPr>
      <w:pStyle w:val="Footer"/>
      <w:jc w:val="right"/>
    </w:pPr>
    <w:r>
      <w:fldChar w:fldCharType="begin"/>
    </w:r>
    <w:r>
      <w:instrText xml:space="preserve"> PAGE   \* MERGEFORMAT </w:instrText>
    </w:r>
    <w:r>
      <w:fldChar w:fldCharType="separate"/>
    </w:r>
    <w:r w:rsidR="00F9718C">
      <w:rPr>
        <w:noProof/>
      </w:rPr>
      <w:t>8</w:t>
    </w:r>
    <w:r>
      <w:rPr>
        <w:noProof/>
      </w:rPr>
      <w:fldChar w:fldCharType="end"/>
    </w:r>
  </w:p>
  <w:p w14:paraId="56DEA79E"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1051" w14:textId="199207F2" w:rsidR="004D1140" w:rsidRDefault="004A38BF" w:rsidP="00542574">
    <w:r>
      <w:rPr>
        <w:noProof/>
        <w:lang w:eastAsia="en-GB"/>
      </w:rPr>
      <w:drawing>
        <wp:anchor distT="0" distB="0" distL="114300" distR="114300" simplePos="0" relativeHeight="251657728" behindDoc="0" locked="1" layoutInCell="1" allowOverlap="1" wp14:anchorId="45D9D1C7" wp14:editId="68E0F7DF">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89F76" w14:textId="77777777" w:rsidR="000B7C8E" w:rsidRPr="000B175B" w:rsidRDefault="000B7C8E" w:rsidP="000B175B">
      <w:pPr>
        <w:tabs>
          <w:tab w:val="right" w:pos="2155"/>
        </w:tabs>
        <w:spacing w:after="80"/>
        <w:ind w:left="680"/>
        <w:rPr>
          <w:u w:val="single"/>
        </w:rPr>
      </w:pPr>
      <w:r>
        <w:rPr>
          <w:u w:val="single"/>
        </w:rPr>
        <w:tab/>
      </w:r>
    </w:p>
  </w:footnote>
  <w:footnote w:type="continuationSeparator" w:id="0">
    <w:p w14:paraId="283CB41B" w14:textId="77777777" w:rsidR="000B7C8E" w:rsidRPr="00FC68B7" w:rsidRDefault="000B7C8E" w:rsidP="00FC68B7">
      <w:pPr>
        <w:tabs>
          <w:tab w:val="left" w:pos="2155"/>
        </w:tabs>
        <w:spacing w:after="80"/>
        <w:ind w:left="680"/>
        <w:rPr>
          <w:u w:val="single"/>
        </w:rPr>
      </w:pPr>
      <w:r>
        <w:rPr>
          <w:u w:val="single"/>
        </w:rPr>
        <w:tab/>
      </w:r>
    </w:p>
  </w:footnote>
  <w:footnote w:type="continuationNotice" w:id="1">
    <w:p w14:paraId="23BDD18C" w14:textId="77777777" w:rsidR="000B7C8E" w:rsidRDefault="000B7C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pt-B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35D"/>
    <w:rsid w:val="00007F7F"/>
    <w:rsid w:val="00022DB5"/>
    <w:rsid w:val="0002432F"/>
    <w:rsid w:val="000316EA"/>
    <w:rsid w:val="000344CE"/>
    <w:rsid w:val="000352FD"/>
    <w:rsid w:val="000403D1"/>
    <w:rsid w:val="000449AA"/>
    <w:rsid w:val="00050F6B"/>
    <w:rsid w:val="00052E8E"/>
    <w:rsid w:val="0007021E"/>
    <w:rsid w:val="00072C8C"/>
    <w:rsid w:val="000734C0"/>
    <w:rsid w:val="00073E70"/>
    <w:rsid w:val="00075368"/>
    <w:rsid w:val="00085BDE"/>
    <w:rsid w:val="000876EB"/>
    <w:rsid w:val="00091419"/>
    <w:rsid w:val="000931C0"/>
    <w:rsid w:val="00097BE9"/>
    <w:rsid w:val="000B1509"/>
    <w:rsid w:val="000B175B"/>
    <w:rsid w:val="000B3A0F"/>
    <w:rsid w:val="000B4A3B"/>
    <w:rsid w:val="000B7C8E"/>
    <w:rsid w:val="000D0709"/>
    <w:rsid w:val="000D1851"/>
    <w:rsid w:val="000E0415"/>
    <w:rsid w:val="000F63EB"/>
    <w:rsid w:val="001039F1"/>
    <w:rsid w:val="0010479D"/>
    <w:rsid w:val="0013065A"/>
    <w:rsid w:val="0013136E"/>
    <w:rsid w:val="00132BC7"/>
    <w:rsid w:val="00144AF4"/>
    <w:rsid w:val="00146D32"/>
    <w:rsid w:val="001509BA"/>
    <w:rsid w:val="00151C6A"/>
    <w:rsid w:val="00157983"/>
    <w:rsid w:val="00160E2F"/>
    <w:rsid w:val="001614E7"/>
    <w:rsid w:val="00181B7D"/>
    <w:rsid w:val="00184B63"/>
    <w:rsid w:val="001B4B04"/>
    <w:rsid w:val="001C215C"/>
    <w:rsid w:val="001C6663"/>
    <w:rsid w:val="001C7895"/>
    <w:rsid w:val="001D26DF"/>
    <w:rsid w:val="001D60F4"/>
    <w:rsid w:val="001E09A4"/>
    <w:rsid w:val="001E2790"/>
    <w:rsid w:val="001E5256"/>
    <w:rsid w:val="0021130C"/>
    <w:rsid w:val="00211E0B"/>
    <w:rsid w:val="00211E72"/>
    <w:rsid w:val="00212C44"/>
    <w:rsid w:val="00214047"/>
    <w:rsid w:val="00215F07"/>
    <w:rsid w:val="0022130F"/>
    <w:rsid w:val="0022777B"/>
    <w:rsid w:val="002354DD"/>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2FEF"/>
    <w:rsid w:val="002E58CB"/>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0558"/>
    <w:rsid w:val="00451EC3"/>
    <w:rsid w:val="00454C4D"/>
    <w:rsid w:val="0045777C"/>
    <w:rsid w:val="004721B1"/>
    <w:rsid w:val="004766F2"/>
    <w:rsid w:val="004859EC"/>
    <w:rsid w:val="00495639"/>
    <w:rsid w:val="00496A15"/>
    <w:rsid w:val="004A38BF"/>
    <w:rsid w:val="004A76BD"/>
    <w:rsid w:val="004B07D6"/>
    <w:rsid w:val="004B75D2"/>
    <w:rsid w:val="004C2795"/>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E01AA"/>
    <w:rsid w:val="005E1712"/>
    <w:rsid w:val="005F6E73"/>
    <w:rsid w:val="0060015D"/>
    <w:rsid w:val="006116A3"/>
    <w:rsid w:val="00611FC4"/>
    <w:rsid w:val="006176FB"/>
    <w:rsid w:val="00626E6C"/>
    <w:rsid w:val="00640B26"/>
    <w:rsid w:val="006510B3"/>
    <w:rsid w:val="006549F8"/>
    <w:rsid w:val="00665922"/>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3369"/>
    <w:rsid w:val="007065EB"/>
    <w:rsid w:val="0072018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6FD"/>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17C"/>
    <w:rsid w:val="008242D7"/>
    <w:rsid w:val="00827470"/>
    <w:rsid w:val="00856CD2"/>
    <w:rsid w:val="00861BC6"/>
    <w:rsid w:val="00871FD5"/>
    <w:rsid w:val="008741DC"/>
    <w:rsid w:val="00874AD4"/>
    <w:rsid w:val="00875FCF"/>
    <w:rsid w:val="008909C7"/>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77FBA"/>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F4F7D"/>
    <w:rsid w:val="009F61BD"/>
    <w:rsid w:val="00A02BFB"/>
    <w:rsid w:val="00A02C6E"/>
    <w:rsid w:val="00A02F74"/>
    <w:rsid w:val="00A0431E"/>
    <w:rsid w:val="00A05E0B"/>
    <w:rsid w:val="00A074DD"/>
    <w:rsid w:val="00A1427D"/>
    <w:rsid w:val="00A31ADE"/>
    <w:rsid w:val="00A3619D"/>
    <w:rsid w:val="00A4011E"/>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AF73AF"/>
    <w:rsid w:val="00B037F0"/>
    <w:rsid w:val="00B07B0C"/>
    <w:rsid w:val="00B12DE9"/>
    <w:rsid w:val="00B14190"/>
    <w:rsid w:val="00B22B96"/>
    <w:rsid w:val="00B2327D"/>
    <w:rsid w:val="00B236D9"/>
    <w:rsid w:val="00B2718F"/>
    <w:rsid w:val="00B2730A"/>
    <w:rsid w:val="00B30179"/>
    <w:rsid w:val="00B3317B"/>
    <w:rsid w:val="00B334DC"/>
    <w:rsid w:val="00B3631A"/>
    <w:rsid w:val="00B5098D"/>
    <w:rsid w:val="00B53013"/>
    <w:rsid w:val="00B54055"/>
    <w:rsid w:val="00B56740"/>
    <w:rsid w:val="00B56AD4"/>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D71B1"/>
    <w:rsid w:val="00BE58F1"/>
    <w:rsid w:val="00BE618E"/>
    <w:rsid w:val="00C219E0"/>
    <w:rsid w:val="00C23599"/>
    <w:rsid w:val="00C24693"/>
    <w:rsid w:val="00C2509F"/>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5413"/>
    <w:rsid w:val="00DA67AD"/>
    <w:rsid w:val="00DB18CE"/>
    <w:rsid w:val="00DD2829"/>
    <w:rsid w:val="00DD3674"/>
    <w:rsid w:val="00DD7094"/>
    <w:rsid w:val="00DD780D"/>
    <w:rsid w:val="00DE3EC0"/>
    <w:rsid w:val="00DE7BF3"/>
    <w:rsid w:val="00DF2923"/>
    <w:rsid w:val="00DF4609"/>
    <w:rsid w:val="00E11593"/>
    <w:rsid w:val="00E12B6B"/>
    <w:rsid w:val="00E130AB"/>
    <w:rsid w:val="00E170D4"/>
    <w:rsid w:val="00E20CC5"/>
    <w:rsid w:val="00E341B4"/>
    <w:rsid w:val="00E438D9"/>
    <w:rsid w:val="00E504A0"/>
    <w:rsid w:val="00E54536"/>
    <w:rsid w:val="00E5644E"/>
    <w:rsid w:val="00E7260F"/>
    <w:rsid w:val="00E77CFE"/>
    <w:rsid w:val="00E806EE"/>
    <w:rsid w:val="00E86049"/>
    <w:rsid w:val="00E935C7"/>
    <w:rsid w:val="00E96630"/>
    <w:rsid w:val="00E96891"/>
    <w:rsid w:val="00EA15CD"/>
    <w:rsid w:val="00EB0FB9"/>
    <w:rsid w:val="00EB7553"/>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67A98"/>
    <w:rsid w:val="00F72113"/>
    <w:rsid w:val="00F723A2"/>
    <w:rsid w:val="00F75F2D"/>
    <w:rsid w:val="00F76CA4"/>
    <w:rsid w:val="00F76DA4"/>
    <w:rsid w:val="00F8027B"/>
    <w:rsid w:val="00F812EC"/>
    <w:rsid w:val="00F83992"/>
    <w:rsid w:val="00F927F0"/>
    <w:rsid w:val="00F9718C"/>
    <w:rsid w:val="00FA4B49"/>
    <w:rsid w:val="00FA7DF3"/>
    <w:rsid w:val="00FC68B7"/>
    <w:rsid w:val="00FD242A"/>
    <w:rsid w:val="00FD268F"/>
    <w:rsid w:val="00FD7C12"/>
    <w:rsid w:val="00FE5109"/>
    <w:rsid w:val="00FF1D56"/>
    <w:rsid w:val="00FF34E5"/>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D19D3"/>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sessionsubtitle">
    <w:name w:val="sessionsubtitle"/>
    <w:basedOn w:val="DefaultParagraphFont"/>
    <w:rsid w:val="00AF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485E3-D707-4F81-8000-D5651E5AB824}">
  <ds:schemaRefs>
    <ds:schemaRef ds:uri="http://schemas.openxmlformats.org/officeDocument/2006/bibliography"/>
  </ds:schemaRefs>
</ds:datastoreItem>
</file>

<file path=customXml/itemProps2.xml><?xml version="1.0" encoding="utf-8"?>
<ds:datastoreItem xmlns:ds="http://schemas.openxmlformats.org/officeDocument/2006/customXml" ds:itemID="{9D58F641-4ACE-45AD-88A7-6C775734A2AA}"/>
</file>

<file path=customXml/itemProps3.xml><?xml version="1.0" encoding="utf-8"?>
<ds:datastoreItem xmlns:ds="http://schemas.openxmlformats.org/officeDocument/2006/customXml" ds:itemID="{09C1B9C4-42BD-4C14-B629-0FAC5BD34BE1}"/>
</file>

<file path=customXml/itemProps4.xml><?xml version="1.0" encoding="utf-8"?>
<ds:datastoreItem xmlns:ds="http://schemas.openxmlformats.org/officeDocument/2006/customXml" ds:itemID="{31E3008F-5B01-43D0-A3B0-DAC260C46E39}"/>
</file>

<file path=docProps/app.xml><?xml version="1.0" encoding="utf-8"?>
<Properties xmlns="http://schemas.openxmlformats.org/officeDocument/2006/extended-properties" xmlns:vt="http://schemas.openxmlformats.org/officeDocument/2006/docPropsVTypes">
  <Template>A_E.dotm</Template>
  <TotalTime>3</TotalTime>
  <Pages>8</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3</cp:revision>
  <cp:lastPrinted>2018-12-19T08:11:00Z</cp:lastPrinted>
  <dcterms:created xsi:type="dcterms:W3CDTF">2018-12-20T07:51:00Z</dcterms:created>
  <dcterms:modified xsi:type="dcterms:W3CDTF">2019-07-29T07:58:00Z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