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F1" w:rsidRPr="00BA54C1" w:rsidRDefault="00FB6F1B" w:rsidP="00A020DD">
      <w:pPr>
        <w:bidi/>
        <w:jc w:val="both"/>
        <w:rPr>
          <w:rFonts w:asciiTheme="majorBidi" w:hAnsiTheme="majorBidi" w:cstheme="majorBidi"/>
          <w:b/>
          <w:bCs/>
          <w:sz w:val="32"/>
          <w:szCs w:val="32"/>
          <w:u w:val="single"/>
          <w:rtl/>
          <w:lang w:bidi="ar-JO"/>
        </w:rPr>
      </w:pPr>
      <w:bookmarkStart w:id="0" w:name="_GoBack"/>
      <w:bookmarkEnd w:id="0"/>
      <w:r>
        <w:rPr>
          <w:rFonts w:asciiTheme="majorBidi" w:hAnsiTheme="majorBidi" w:cstheme="majorBidi" w:hint="cs"/>
          <w:sz w:val="28"/>
          <w:szCs w:val="28"/>
          <w:rtl/>
          <w:lang w:bidi="ar-JO"/>
        </w:rPr>
        <w:t>ا</w:t>
      </w:r>
      <w:r w:rsidR="003716F1" w:rsidRPr="00BA54C1">
        <w:rPr>
          <w:rFonts w:asciiTheme="majorBidi" w:hAnsiTheme="majorBidi" w:cstheme="majorBidi"/>
          <w:b/>
          <w:bCs/>
          <w:sz w:val="32"/>
          <w:szCs w:val="32"/>
          <w:u w:val="single"/>
          <w:rtl/>
          <w:lang w:bidi="ar-JO"/>
        </w:rPr>
        <w:t>لملاحق:</w:t>
      </w:r>
    </w:p>
    <w:p w:rsidR="003716F1" w:rsidRPr="00BA54C1" w:rsidRDefault="003716F1" w:rsidP="00880FCA">
      <w:pPr>
        <w:bidi/>
        <w:spacing w:line="240" w:lineRule="auto"/>
        <w:jc w:val="both"/>
        <w:rPr>
          <w:rFonts w:asciiTheme="majorBidi" w:hAnsiTheme="majorBidi" w:cstheme="majorBidi"/>
          <w:sz w:val="28"/>
          <w:szCs w:val="28"/>
          <w:lang w:bidi="ar-JO"/>
        </w:rPr>
      </w:pPr>
      <w:r w:rsidRPr="00BA54C1">
        <w:rPr>
          <w:rFonts w:asciiTheme="majorBidi" w:hAnsiTheme="majorBidi" w:cstheme="majorBidi"/>
          <w:sz w:val="28"/>
          <w:szCs w:val="28"/>
          <w:rtl/>
          <w:lang w:bidi="ar-JO"/>
        </w:rPr>
        <w:t>(مرفق1) لقاءات حوارية بين الحكومة وأصحاب المصلحة.</w:t>
      </w:r>
    </w:p>
    <w:p w:rsidR="003716F1" w:rsidRPr="00BA54C1" w:rsidRDefault="003716F1" w:rsidP="00880FCA">
      <w:pPr>
        <w:pStyle w:val="ListParagraph"/>
        <w:bidi/>
        <w:spacing w:line="240" w:lineRule="auto"/>
        <w:ind w:left="0"/>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(مرفق2) إقرار وتعديل العديد من القوانين التي تهدف إلى تعزيز حقوق الإنسان وحمايتها .</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(مرفق3)الخطة الوطنية الشاملة لحقوق الإنسان 2016-2025.</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(مرفق4)الخطة الوطنية لتفعيل قرار مجلس الأمن رقم 1325.</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(مرفق5) الخطة الوطنية لتنفيذ أهداف التنمية المستدامة 2030.</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 xml:space="preserve">(مرفق6) الخطة الوطنية لمواجهة التطرف 2014. </w:t>
      </w:r>
    </w:p>
    <w:p w:rsidR="003716F1" w:rsidRPr="00BA54C1" w:rsidRDefault="003716F1" w:rsidP="00880FCA">
      <w:pPr>
        <w:bidi/>
        <w:spacing w:after="0"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 xml:space="preserve"> (مرفق7)خطة الاستجابة الأردنية للأزمة السورية 2017.</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(مرفق8)الخطة الإستراتيجية للتربية والتعليم 2018-2022.</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(مرفق9)الإستراتيجية الوطنية للأشخاص ذوي الإعاقات المرحلة الثانية 2010 – 2015.</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(مرفق10) الخطة التنفيذية لتعزيز استجابة المؤسسات لحالات العنف الأسري 2016-2018.</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 xml:space="preserve">(مرفق11) الإستراتيجية الوطنية الأردنية لكبار السن 2018-2022. </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(مرفق12) الإستراتيجية الوطنية للتنمية الزراعية 2016-2025.</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(مرفق13)إستراتيجية العدالة الجزائية 2017-2019.</w:t>
      </w:r>
    </w:p>
    <w:p w:rsidR="003716F1" w:rsidRPr="00BA54C1" w:rsidRDefault="003716F1" w:rsidP="00880FCA">
      <w:pPr>
        <w:bidi/>
        <w:spacing w:after="0" w:line="360" w:lineRule="auto"/>
        <w:ind w:left="333" w:hanging="284"/>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(مرفق14)الإستراتيجية الوطنية لعدالة الأحداث 2017-2019.</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(مرفق15)الورقة النقاشية السادسة  لصاحب الجلالة الملك عبدالله الثاني ابن الحسين حفظه الله .</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(مرفق16) تعليمات منح الأذن بالزواج (15-18).</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(مرفق17) المادة 72 من قانون العمل الأردني المؤقت رقم (26) لسنة 2010 .</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lastRenderedPageBreak/>
        <w:t>(مرفق18) قانون الانتخاب رقم(6) لسنة 2016 .</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(مرفق19) قانون الأحزاب السياسية رقم 53 لسنة 2016 .</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(مرفق20) قانون اللامركزية رقم 45 لسنة 2015.</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(مرفق21) قانون البلديات رقم 49 لسنة 2015.</w:t>
      </w:r>
    </w:p>
    <w:p w:rsidR="003716F1" w:rsidRPr="00BA54C1" w:rsidRDefault="003716F1" w:rsidP="00880FCA">
      <w:pPr>
        <w:bidi/>
        <w:spacing w:line="36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(مرفق22) البرنامج التنفيذي للحكومة للأعوام 2016 -2019 لتشجيع دخول المرأة إلى سوق العمل ورفع مشاركتها فيه.</w:t>
      </w:r>
    </w:p>
    <w:p w:rsidR="003716F1" w:rsidRPr="00BA54C1" w:rsidRDefault="003716F1" w:rsidP="00880FCA">
      <w:pPr>
        <w:bidi/>
        <w:spacing w:line="24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(مرفق23) نظام العمل المرن رقم 22 لسنة 2017.</w:t>
      </w:r>
    </w:p>
    <w:p w:rsidR="003716F1" w:rsidRPr="00BA54C1" w:rsidRDefault="003716F1" w:rsidP="00880FCA">
      <w:pPr>
        <w:bidi/>
        <w:spacing w:line="24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(مرفق24) قانون الحماية من العنف الأسري رقم 15 لسنة 2017 .</w:t>
      </w:r>
    </w:p>
    <w:p w:rsidR="003716F1" w:rsidRPr="00BA54C1" w:rsidRDefault="003716F1" w:rsidP="00880FCA">
      <w:pPr>
        <w:bidi/>
        <w:spacing w:line="240" w:lineRule="auto"/>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 25) قانون العقوبات  رقم 27 لسنة  2017 .</w:t>
      </w:r>
    </w:p>
    <w:p w:rsidR="003716F1" w:rsidRPr="00BA54C1" w:rsidRDefault="003716F1" w:rsidP="00880FCA">
      <w:pPr>
        <w:pStyle w:val="ListParagraph"/>
        <w:tabs>
          <w:tab w:val="right" w:pos="8306"/>
        </w:tabs>
        <w:bidi/>
        <w:spacing w:line="240" w:lineRule="auto"/>
        <w:ind w:left="473" w:hanging="473"/>
        <w:jc w:val="both"/>
        <w:rPr>
          <w:rFonts w:asciiTheme="majorBidi" w:hAnsiTheme="majorBidi" w:cstheme="majorBidi"/>
          <w:sz w:val="28"/>
          <w:szCs w:val="28"/>
          <w:lang w:bidi="ar-JO"/>
        </w:rPr>
      </w:pPr>
      <w:r w:rsidRPr="00BA54C1">
        <w:rPr>
          <w:rFonts w:asciiTheme="majorBidi" w:hAnsiTheme="majorBidi" w:cstheme="majorBidi"/>
          <w:sz w:val="28"/>
          <w:szCs w:val="28"/>
          <w:rtl/>
          <w:lang w:bidi="ar-JO"/>
        </w:rPr>
        <w:t>(مرفق 26) خدمات استقبال الشكاوى للإبلاغ عن حالات الإساءة الموجهة للطلبة من قبل المعلمين والعاملين في المدارس من خلال الخط الساخن، الشكاوى الخطية وفق نظام الخدمة المدنية رقم 83 لسنة 2013 وتعديلاته.</w:t>
      </w:r>
    </w:p>
    <w:p w:rsidR="003716F1" w:rsidRPr="00BA54C1" w:rsidRDefault="003716F1" w:rsidP="00880FCA">
      <w:pPr>
        <w:pStyle w:val="ListParagraph"/>
        <w:tabs>
          <w:tab w:val="right" w:pos="8306"/>
        </w:tabs>
        <w:bidi/>
        <w:spacing w:line="240" w:lineRule="auto"/>
        <w:ind w:left="473" w:hanging="473"/>
        <w:jc w:val="both"/>
        <w:rPr>
          <w:rFonts w:asciiTheme="majorBidi" w:hAnsiTheme="majorBidi" w:cstheme="majorBidi"/>
          <w:sz w:val="28"/>
          <w:szCs w:val="28"/>
          <w:lang w:bidi="ar-JO"/>
        </w:rPr>
      </w:pPr>
      <w:r w:rsidRPr="00BA54C1">
        <w:rPr>
          <w:rFonts w:asciiTheme="majorBidi" w:hAnsiTheme="majorBidi" w:cstheme="majorBidi"/>
          <w:sz w:val="28"/>
          <w:szCs w:val="28"/>
          <w:lang w:bidi="ar-JO"/>
        </w:rPr>
        <w:t>)</w:t>
      </w:r>
      <w:r w:rsidRPr="00BA54C1">
        <w:rPr>
          <w:rFonts w:asciiTheme="majorBidi" w:hAnsiTheme="majorBidi" w:cstheme="majorBidi"/>
          <w:sz w:val="28"/>
          <w:szCs w:val="28"/>
          <w:rtl/>
          <w:lang w:bidi="ar-JO"/>
        </w:rPr>
        <w:t>مرفق27) الدستور الأردني في المادتان (101،6،102) على المساواة ما بين الأردنيين كافة أمام القانون وضمن حق التقاضي أمام القضاء وبغض النظر عن الجنس أو العرق أو الدين.</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 xml:space="preserve">(مرفق28) قانون الأحداث رقم 32 لسنة 2014.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(مرفق29) صدور الأنظمة والتعليمات  لقانون الأحداث.</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 xml:space="preserve"> (مرفق30) أسس تطبيق العقوبات غير السالبة للحرية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(مرفق31) نظام حماية الطفل من العمل.</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(مرفق32) أنظمة وتعليمات تنظم قطاع العمالة المهاجرة المنزلية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(مرفق33) قانون حقوق الأشخاص ذوي الإعاقة رقم 20 لسنة 2017.</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(مرفق34) المادة (330) من قانون العقوبات المعدل رقم 27 لسنة 2017.</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lastRenderedPageBreak/>
        <w:t>(مرفق35) نظام</w:t>
      </w:r>
      <w:r w:rsidRPr="00BA54C1">
        <w:rPr>
          <w:rFonts w:asciiTheme="majorBidi" w:hAnsiTheme="majorBidi" w:cstheme="majorBidi"/>
          <w:sz w:val="28"/>
          <w:szCs w:val="28"/>
          <w:lang w:bidi="ar-JO"/>
        </w:rPr>
        <w:t xml:space="preserve"> </w:t>
      </w:r>
      <w:r w:rsidRPr="00BA54C1">
        <w:rPr>
          <w:rFonts w:asciiTheme="majorBidi" w:hAnsiTheme="majorBidi" w:cstheme="majorBidi"/>
          <w:sz w:val="28"/>
          <w:szCs w:val="28"/>
          <w:rtl/>
          <w:lang w:bidi="ar-JO"/>
        </w:rPr>
        <w:t>مراكز</w:t>
      </w:r>
      <w:r w:rsidRPr="00BA54C1">
        <w:rPr>
          <w:rFonts w:asciiTheme="majorBidi" w:hAnsiTheme="majorBidi" w:cstheme="majorBidi"/>
          <w:sz w:val="28"/>
          <w:szCs w:val="28"/>
          <w:lang w:bidi="ar-JO"/>
        </w:rPr>
        <w:t xml:space="preserve"> </w:t>
      </w:r>
      <w:r w:rsidRPr="00BA54C1">
        <w:rPr>
          <w:rFonts w:asciiTheme="majorBidi" w:hAnsiTheme="majorBidi" w:cstheme="majorBidi"/>
          <w:sz w:val="28"/>
          <w:szCs w:val="28"/>
          <w:rtl/>
          <w:lang w:bidi="ar-JO"/>
        </w:rPr>
        <w:t>التدخل</w:t>
      </w:r>
      <w:r w:rsidRPr="00BA54C1">
        <w:rPr>
          <w:rFonts w:asciiTheme="majorBidi" w:hAnsiTheme="majorBidi" w:cstheme="majorBidi"/>
          <w:sz w:val="28"/>
          <w:szCs w:val="28"/>
          <w:lang w:bidi="ar-JO"/>
        </w:rPr>
        <w:t xml:space="preserve"> </w:t>
      </w:r>
      <w:r w:rsidRPr="00BA54C1">
        <w:rPr>
          <w:rFonts w:asciiTheme="majorBidi" w:hAnsiTheme="majorBidi" w:cstheme="majorBidi"/>
          <w:sz w:val="28"/>
          <w:szCs w:val="28"/>
          <w:rtl/>
          <w:lang w:bidi="ar-JO"/>
        </w:rPr>
        <w:t>المبكر</w:t>
      </w:r>
      <w:r w:rsidRPr="00BA54C1">
        <w:rPr>
          <w:rFonts w:asciiTheme="majorBidi" w:hAnsiTheme="majorBidi" w:cstheme="majorBidi"/>
          <w:sz w:val="28"/>
          <w:szCs w:val="28"/>
          <w:lang w:bidi="ar-JO"/>
        </w:rPr>
        <w:t xml:space="preserve"> </w:t>
      </w:r>
      <w:r w:rsidRPr="00BA54C1">
        <w:rPr>
          <w:rFonts w:asciiTheme="majorBidi" w:hAnsiTheme="majorBidi" w:cstheme="majorBidi"/>
          <w:sz w:val="28"/>
          <w:szCs w:val="28"/>
          <w:rtl/>
          <w:lang w:bidi="ar-JO"/>
        </w:rPr>
        <w:t>للأطفال</w:t>
      </w:r>
      <w:r w:rsidRPr="00BA54C1">
        <w:rPr>
          <w:rFonts w:asciiTheme="majorBidi" w:hAnsiTheme="majorBidi" w:cstheme="majorBidi"/>
          <w:sz w:val="28"/>
          <w:szCs w:val="28"/>
          <w:lang w:bidi="ar-JO"/>
        </w:rPr>
        <w:t xml:space="preserve"> </w:t>
      </w:r>
      <w:r w:rsidRPr="00BA54C1">
        <w:rPr>
          <w:rFonts w:asciiTheme="majorBidi" w:hAnsiTheme="majorBidi" w:cstheme="majorBidi"/>
          <w:sz w:val="28"/>
          <w:szCs w:val="28"/>
          <w:rtl/>
          <w:lang w:bidi="ar-JO"/>
        </w:rPr>
        <w:t>ذوي</w:t>
      </w:r>
      <w:r w:rsidRPr="00BA54C1">
        <w:rPr>
          <w:rFonts w:asciiTheme="majorBidi" w:hAnsiTheme="majorBidi" w:cstheme="majorBidi"/>
          <w:sz w:val="28"/>
          <w:szCs w:val="28"/>
          <w:lang w:bidi="ar-JO"/>
        </w:rPr>
        <w:t xml:space="preserve"> </w:t>
      </w:r>
      <w:r w:rsidRPr="00BA54C1">
        <w:rPr>
          <w:rFonts w:asciiTheme="majorBidi" w:hAnsiTheme="majorBidi" w:cstheme="majorBidi"/>
          <w:sz w:val="28"/>
          <w:szCs w:val="28"/>
          <w:rtl/>
          <w:lang w:bidi="ar-JO"/>
        </w:rPr>
        <w:t>الإعاقة</w:t>
      </w:r>
      <w:r w:rsidRPr="00BA54C1">
        <w:rPr>
          <w:rFonts w:asciiTheme="majorBidi" w:hAnsiTheme="majorBidi" w:cstheme="majorBidi"/>
          <w:sz w:val="28"/>
          <w:szCs w:val="28"/>
          <w:lang w:bidi="ar-JO"/>
        </w:rPr>
        <w:t xml:space="preserve"> </w:t>
      </w:r>
      <w:r w:rsidRPr="00BA54C1">
        <w:rPr>
          <w:rFonts w:asciiTheme="majorBidi" w:hAnsiTheme="majorBidi" w:cstheme="majorBidi"/>
          <w:sz w:val="28"/>
          <w:szCs w:val="28"/>
          <w:rtl/>
          <w:lang w:bidi="ar-JO"/>
        </w:rPr>
        <w:t>لسنة 2017.</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(مرفق36) الزيارات التفتيشية على مواقع العمل والمنشئات المختلفة (خلال عام 2016)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 37) الدورات التدريبية وورش العمل لمفتشي العمل.</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(مرفق38) المادة (77/ب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 مرفق 39) عدد القضايا إساءة المعاملة.</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(مرفق40) تعديل المواد 208،20،54،100 من قانون العقوبات رقم 27 لسنة 2017 والمتعلقة بجريمة التعذيب.</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(مرفق41) دليل الإجراءات الوطنية الموحدة للوقاية من العنف المبني على النوع الاجتماعي والعنف الأسري والعنف ضد الأطفال.</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 xml:space="preserve"> (مرفق42) تعديل المواد (150،276) من قانون العقوبات المتعلقة بالتمييز العنصري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(مرفق43) قانون الاجتماعات العامة و تعديلاته رقم 7 لسنة 2004 في المادة 4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 44) قانون الحماية من العنف الأسري رقم 15 لسنة 2017 .</w:t>
      </w:r>
    </w:p>
    <w:p w:rsidR="003716F1" w:rsidRPr="00BA54C1" w:rsidRDefault="003716F1" w:rsidP="00880FCA">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 45) المادة (27) من نظام التأمين الصحي رقم (83) لسنة 2004 .</w:t>
      </w:r>
    </w:p>
    <w:p w:rsidR="00BF3E45" w:rsidRPr="00BA54C1" w:rsidRDefault="003716F1" w:rsidP="00AB272B">
      <w:pPr>
        <w:pStyle w:val="ListParagraph"/>
        <w:tabs>
          <w:tab w:val="right" w:pos="8306"/>
        </w:tabs>
        <w:bidi/>
        <w:spacing w:line="360" w:lineRule="auto"/>
        <w:ind w:left="473" w:hanging="473"/>
        <w:jc w:val="both"/>
        <w:rPr>
          <w:rFonts w:asciiTheme="majorBidi" w:hAnsiTheme="majorBidi" w:cstheme="majorBidi"/>
          <w:sz w:val="28"/>
          <w:szCs w:val="28"/>
          <w:rtl/>
          <w:lang w:bidi="ar-JO"/>
        </w:rPr>
      </w:pPr>
      <w:r w:rsidRPr="00BA54C1">
        <w:rPr>
          <w:rFonts w:asciiTheme="majorBidi" w:hAnsiTheme="majorBidi" w:cstheme="majorBidi"/>
          <w:sz w:val="28"/>
          <w:szCs w:val="28"/>
          <w:rtl/>
          <w:lang w:bidi="ar-JO"/>
        </w:rPr>
        <w:t>(مرفق46)إعداد مصفوفة المفاهيم المتعلقة بتعزيز "مفاهيم العدالة الاجتماعية وسيادة القانون واحترام حقوق الإنسان" وفق المستوى العمري للطلبة وتحليل الكتب المدرسية بناء على المصفوفة التي تم إعدادها للوقوف على مدى توفر هذه المفاهيم فيها.</w:t>
      </w:r>
    </w:p>
    <w:sectPr w:rsidR="00BF3E45" w:rsidRPr="00BA54C1" w:rsidSect="00BC5E2C">
      <w:footerReference w:type="default" r:id="rId8"/>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0C" w:rsidRDefault="000B460C" w:rsidP="00E56D97">
      <w:pPr>
        <w:spacing w:after="0" w:line="240" w:lineRule="auto"/>
      </w:pPr>
      <w:r>
        <w:separator/>
      </w:r>
    </w:p>
  </w:endnote>
  <w:endnote w:type="continuationSeparator" w:id="0">
    <w:p w:rsidR="000B460C" w:rsidRDefault="000B460C" w:rsidP="00E5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00"/>
      <w:docPartObj>
        <w:docPartGallery w:val="Page Numbers (Bottom of Page)"/>
        <w:docPartUnique/>
      </w:docPartObj>
    </w:sdtPr>
    <w:sdtEndPr/>
    <w:sdtContent>
      <w:p w:rsidR="00A50FEC" w:rsidRDefault="00427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50FEC" w:rsidRDefault="00A50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0C" w:rsidRDefault="000B460C" w:rsidP="00E56D97">
      <w:pPr>
        <w:spacing w:after="0" w:line="240" w:lineRule="auto"/>
      </w:pPr>
      <w:r>
        <w:separator/>
      </w:r>
    </w:p>
  </w:footnote>
  <w:footnote w:type="continuationSeparator" w:id="0">
    <w:p w:rsidR="000B460C" w:rsidRDefault="000B460C" w:rsidP="00E56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6C7"/>
    <w:multiLevelType w:val="hybridMultilevel"/>
    <w:tmpl w:val="A4027646"/>
    <w:lvl w:ilvl="0" w:tplc="B648824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482A1E"/>
    <w:multiLevelType w:val="hybridMultilevel"/>
    <w:tmpl w:val="025CDE90"/>
    <w:lvl w:ilvl="0" w:tplc="69CAD8BC">
      <w:start w:val="69"/>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4E32A22"/>
    <w:multiLevelType w:val="hybridMultilevel"/>
    <w:tmpl w:val="5836602E"/>
    <w:lvl w:ilvl="0" w:tplc="D4960B98">
      <w:numFmt w:val="bullet"/>
      <w:lvlText w:val="-"/>
      <w:lvlJc w:val="left"/>
      <w:pPr>
        <w:ind w:left="360" w:hanging="360"/>
      </w:pPr>
      <w:rPr>
        <w:rFonts w:ascii="Simplified Arabic" w:eastAsiaTheme="minorHAnsi" w:hAnsi="Simplified Arabic" w:cs="Simplified Arabic"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B7B4F"/>
    <w:multiLevelType w:val="hybridMultilevel"/>
    <w:tmpl w:val="A4027646"/>
    <w:lvl w:ilvl="0" w:tplc="B648824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C91CDD"/>
    <w:multiLevelType w:val="hybridMultilevel"/>
    <w:tmpl w:val="623648CA"/>
    <w:lvl w:ilvl="0" w:tplc="10B2ECEA">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7420C"/>
    <w:multiLevelType w:val="hybridMultilevel"/>
    <w:tmpl w:val="EA0A197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E4C1BA3"/>
    <w:multiLevelType w:val="hybridMultilevel"/>
    <w:tmpl w:val="01CEB014"/>
    <w:lvl w:ilvl="0" w:tplc="04090009">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0655DF"/>
    <w:multiLevelType w:val="hybridMultilevel"/>
    <w:tmpl w:val="9CA6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44BD0"/>
    <w:multiLevelType w:val="hybridMultilevel"/>
    <w:tmpl w:val="70025604"/>
    <w:lvl w:ilvl="0" w:tplc="B6488248">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50D66B39"/>
    <w:multiLevelType w:val="hybridMultilevel"/>
    <w:tmpl w:val="2F786FA8"/>
    <w:lvl w:ilvl="0" w:tplc="0BC4B5EC">
      <w:start w:val="1"/>
      <w:numFmt w:val="arabicAlpha"/>
      <w:lvlText w:val="%1-"/>
      <w:lvlJc w:val="left"/>
      <w:pPr>
        <w:ind w:left="125" w:hanging="360"/>
      </w:pPr>
      <w:rPr>
        <w:rFonts w:hint="default"/>
        <w:b w:val="0"/>
        <w:bCs w:val="0"/>
      </w:rPr>
    </w:lvl>
    <w:lvl w:ilvl="1" w:tplc="04090019" w:tentative="1">
      <w:start w:val="1"/>
      <w:numFmt w:val="lowerLetter"/>
      <w:lvlText w:val="%2."/>
      <w:lvlJc w:val="left"/>
      <w:pPr>
        <w:ind w:left="845" w:hanging="360"/>
      </w:pPr>
    </w:lvl>
    <w:lvl w:ilvl="2" w:tplc="0409001B" w:tentative="1">
      <w:start w:val="1"/>
      <w:numFmt w:val="lowerRoman"/>
      <w:lvlText w:val="%3."/>
      <w:lvlJc w:val="right"/>
      <w:pPr>
        <w:ind w:left="1565" w:hanging="180"/>
      </w:pPr>
    </w:lvl>
    <w:lvl w:ilvl="3" w:tplc="0409000F" w:tentative="1">
      <w:start w:val="1"/>
      <w:numFmt w:val="decimal"/>
      <w:lvlText w:val="%4."/>
      <w:lvlJc w:val="left"/>
      <w:pPr>
        <w:ind w:left="2285" w:hanging="360"/>
      </w:pPr>
    </w:lvl>
    <w:lvl w:ilvl="4" w:tplc="04090019" w:tentative="1">
      <w:start w:val="1"/>
      <w:numFmt w:val="lowerLetter"/>
      <w:lvlText w:val="%5."/>
      <w:lvlJc w:val="left"/>
      <w:pPr>
        <w:ind w:left="3005" w:hanging="360"/>
      </w:pPr>
    </w:lvl>
    <w:lvl w:ilvl="5" w:tplc="0409001B" w:tentative="1">
      <w:start w:val="1"/>
      <w:numFmt w:val="lowerRoman"/>
      <w:lvlText w:val="%6."/>
      <w:lvlJc w:val="right"/>
      <w:pPr>
        <w:ind w:left="3725" w:hanging="180"/>
      </w:pPr>
    </w:lvl>
    <w:lvl w:ilvl="6" w:tplc="0409000F" w:tentative="1">
      <w:start w:val="1"/>
      <w:numFmt w:val="decimal"/>
      <w:lvlText w:val="%7."/>
      <w:lvlJc w:val="left"/>
      <w:pPr>
        <w:ind w:left="4445" w:hanging="360"/>
      </w:pPr>
    </w:lvl>
    <w:lvl w:ilvl="7" w:tplc="04090019" w:tentative="1">
      <w:start w:val="1"/>
      <w:numFmt w:val="lowerLetter"/>
      <w:lvlText w:val="%8."/>
      <w:lvlJc w:val="left"/>
      <w:pPr>
        <w:ind w:left="5165" w:hanging="360"/>
      </w:pPr>
    </w:lvl>
    <w:lvl w:ilvl="8" w:tplc="0409001B" w:tentative="1">
      <w:start w:val="1"/>
      <w:numFmt w:val="lowerRoman"/>
      <w:lvlText w:val="%9."/>
      <w:lvlJc w:val="right"/>
      <w:pPr>
        <w:ind w:left="5885" w:hanging="180"/>
      </w:pPr>
    </w:lvl>
  </w:abstractNum>
  <w:abstractNum w:abstractNumId="10">
    <w:nsid w:val="518107EA"/>
    <w:multiLevelType w:val="hybridMultilevel"/>
    <w:tmpl w:val="82AEDB0E"/>
    <w:lvl w:ilvl="0" w:tplc="75664FA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C18B4"/>
    <w:multiLevelType w:val="hybridMultilevel"/>
    <w:tmpl w:val="17F42998"/>
    <w:lvl w:ilvl="0" w:tplc="75664FA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1B739AC"/>
    <w:multiLevelType w:val="hybridMultilevel"/>
    <w:tmpl w:val="369A3E26"/>
    <w:lvl w:ilvl="0" w:tplc="69CAD8BC">
      <w:start w:val="69"/>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12"/>
  </w:num>
  <w:num w:numId="3">
    <w:abstractNumId w:val="0"/>
  </w:num>
  <w:num w:numId="4">
    <w:abstractNumId w:val="9"/>
  </w:num>
  <w:num w:numId="5">
    <w:abstractNumId w:val="5"/>
  </w:num>
  <w:num w:numId="6">
    <w:abstractNumId w:val="6"/>
  </w:num>
  <w:num w:numId="7">
    <w:abstractNumId w:val="2"/>
  </w:num>
  <w:num w:numId="8">
    <w:abstractNumId w:val="8"/>
  </w:num>
  <w:num w:numId="9">
    <w:abstractNumId w:val="4"/>
  </w:num>
  <w:num w:numId="10">
    <w:abstractNumId w:val="3"/>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6D97"/>
    <w:rsid w:val="000013CB"/>
    <w:rsid w:val="00003538"/>
    <w:rsid w:val="00003F03"/>
    <w:rsid w:val="00006AD2"/>
    <w:rsid w:val="00006F29"/>
    <w:rsid w:val="0000739B"/>
    <w:rsid w:val="00007B43"/>
    <w:rsid w:val="00011D84"/>
    <w:rsid w:val="00020F98"/>
    <w:rsid w:val="00022747"/>
    <w:rsid w:val="00026E08"/>
    <w:rsid w:val="00027E8E"/>
    <w:rsid w:val="00030B4C"/>
    <w:rsid w:val="000332B3"/>
    <w:rsid w:val="000541C0"/>
    <w:rsid w:val="00056036"/>
    <w:rsid w:val="000648C0"/>
    <w:rsid w:val="00065C8F"/>
    <w:rsid w:val="00067C73"/>
    <w:rsid w:val="00073E0E"/>
    <w:rsid w:val="0008299A"/>
    <w:rsid w:val="00086012"/>
    <w:rsid w:val="00087AFD"/>
    <w:rsid w:val="000A1A70"/>
    <w:rsid w:val="000A464E"/>
    <w:rsid w:val="000A4E55"/>
    <w:rsid w:val="000A6660"/>
    <w:rsid w:val="000A7C38"/>
    <w:rsid w:val="000B24B5"/>
    <w:rsid w:val="000B460C"/>
    <w:rsid w:val="000B59FA"/>
    <w:rsid w:val="000C237C"/>
    <w:rsid w:val="000C2F24"/>
    <w:rsid w:val="000C4484"/>
    <w:rsid w:val="000D78B2"/>
    <w:rsid w:val="000E1B21"/>
    <w:rsid w:val="000E5D4A"/>
    <w:rsid w:val="000F1864"/>
    <w:rsid w:val="00103877"/>
    <w:rsid w:val="0010417A"/>
    <w:rsid w:val="00113F62"/>
    <w:rsid w:val="001259CB"/>
    <w:rsid w:val="001418C3"/>
    <w:rsid w:val="00145F43"/>
    <w:rsid w:val="00167AF3"/>
    <w:rsid w:val="00170306"/>
    <w:rsid w:val="00172DCA"/>
    <w:rsid w:val="00172E17"/>
    <w:rsid w:val="0019212B"/>
    <w:rsid w:val="001946F2"/>
    <w:rsid w:val="001A0281"/>
    <w:rsid w:val="001A3342"/>
    <w:rsid w:val="001A3D34"/>
    <w:rsid w:val="001B33CC"/>
    <w:rsid w:val="001B7949"/>
    <w:rsid w:val="001C37A9"/>
    <w:rsid w:val="001C52D0"/>
    <w:rsid w:val="001D4182"/>
    <w:rsid w:val="001D7771"/>
    <w:rsid w:val="001F36AF"/>
    <w:rsid w:val="00201D09"/>
    <w:rsid w:val="00204BE4"/>
    <w:rsid w:val="00207F47"/>
    <w:rsid w:val="00215EB0"/>
    <w:rsid w:val="00224597"/>
    <w:rsid w:val="002276E0"/>
    <w:rsid w:val="00233CBD"/>
    <w:rsid w:val="00237616"/>
    <w:rsid w:val="00241306"/>
    <w:rsid w:val="0024385C"/>
    <w:rsid w:val="00254EC2"/>
    <w:rsid w:val="00257334"/>
    <w:rsid w:val="00264C27"/>
    <w:rsid w:val="00267F5D"/>
    <w:rsid w:val="002760BF"/>
    <w:rsid w:val="0028667B"/>
    <w:rsid w:val="00294F6F"/>
    <w:rsid w:val="002A39C7"/>
    <w:rsid w:val="002A481D"/>
    <w:rsid w:val="002A5AEB"/>
    <w:rsid w:val="002B62EC"/>
    <w:rsid w:val="002B7B51"/>
    <w:rsid w:val="002C120F"/>
    <w:rsid w:val="002C632C"/>
    <w:rsid w:val="002D42BA"/>
    <w:rsid w:val="002E0CF2"/>
    <w:rsid w:val="002E173A"/>
    <w:rsid w:val="002E256E"/>
    <w:rsid w:val="002E2E75"/>
    <w:rsid w:val="002E4023"/>
    <w:rsid w:val="002E7A46"/>
    <w:rsid w:val="002F4C4C"/>
    <w:rsid w:val="002F5320"/>
    <w:rsid w:val="00303971"/>
    <w:rsid w:val="00305052"/>
    <w:rsid w:val="00313B17"/>
    <w:rsid w:val="00315927"/>
    <w:rsid w:val="003160E3"/>
    <w:rsid w:val="0032162A"/>
    <w:rsid w:val="003265BC"/>
    <w:rsid w:val="003352D7"/>
    <w:rsid w:val="00335401"/>
    <w:rsid w:val="00336C3D"/>
    <w:rsid w:val="00357E62"/>
    <w:rsid w:val="00363F8B"/>
    <w:rsid w:val="00365ED6"/>
    <w:rsid w:val="00367114"/>
    <w:rsid w:val="003716F1"/>
    <w:rsid w:val="00380218"/>
    <w:rsid w:val="00382DE7"/>
    <w:rsid w:val="0038467D"/>
    <w:rsid w:val="0038519A"/>
    <w:rsid w:val="00391A2E"/>
    <w:rsid w:val="00397FF2"/>
    <w:rsid w:val="003A33F9"/>
    <w:rsid w:val="003B5D0A"/>
    <w:rsid w:val="003C33F7"/>
    <w:rsid w:val="003C55C1"/>
    <w:rsid w:val="003D25AF"/>
    <w:rsid w:val="003D3D30"/>
    <w:rsid w:val="003D5092"/>
    <w:rsid w:val="003D7529"/>
    <w:rsid w:val="003E7895"/>
    <w:rsid w:val="003F3640"/>
    <w:rsid w:val="003F4644"/>
    <w:rsid w:val="00412CE7"/>
    <w:rsid w:val="00412CED"/>
    <w:rsid w:val="00423C24"/>
    <w:rsid w:val="004261AF"/>
    <w:rsid w:val="0042728A"/>
    <w:rsid w:val="00431728"/>
    <w:rsid w:val="00440E0B"/>
    <w:rsid w:val="00441444"/>
    <w:rsid w:val="00441FAE"/>
    <w:rsid w:val="004428E2"/>
    <w:rsid w:val="00446A52"/>
    <w:rsid w:val="004475C8"/>
    <w:rsid w:val="0045113E"/>
    <w:rsid w:val="00453A4B"/>
    <w:rsid w:val="00461108"/>
    <w:rsid w:val="004631C2"/>
    <w:rsid w:val="00470C61"/>
    <w:rsid w:val="0048024C"/>
    <w:rsid w:val="00481324"/>
    <w:rsid w:val="0048372C"/>
    <w:rsid w:val="004863AB"/>
    <w:rsid w:val="004A0CAF"/>
    <w:rsid w:val="004B4715"/>
    <w:rsid w:val="004C5E3A"/>
    <w:rsid w:val="004D5795"/>
    <w:rsid w:val="004D6EEE"/>
    <w:rsid w:val="004E0AD0"/>
    <w:rsid w:val="004E0C49"/>
    <w:rsid w:val="004E1420"/>
    <w:rsid w:val="004F24FC"/>
    <w:rsid w:val="004F4AC8"/>
    <w:rsid w:val="005063B2"/>
    <w:rsid w:val="0051297B"/>
    <w:rsid w:val="00514F82"/>
    <w:rsid w:val="00516591"/>
    <w:rsid w:val="00517A7C"/>
    <w:rsid w:val="00520DBF"/>
    <w:rsid w:val="00523B3E"/>
    <w:rsid w:val="00524B7B"/>
    <w:rsid w:val="005254AA"/>
    <w:rsid w:val="00531AE1"/>
    <w:rsid w:val="00533561"/>
    <w:rsid w:val="005400C3"/>
    <w:rsid w:val="00544DA7"/>
    <w:rsid w:val="00550A1C"/>
    <w:rsid w:val="0056235D"/>
    <w:rsid w:val="00563489"/>
    <w:rsid w:val="00593024"/>
    <w:rsid w:val="005A7479"/>
    <w:rsid w:val="005B63B0"/>
    <w:rsid w:val="005B7487"/>
    <w:rsid w:val="005B7802"/>
    <w:rsid w:val="005C5844"/>
    <w:rsid w:val="005C6D40"/>
    <w:rsid w:val="005D69FB"/>
    <w:rsid w:val="005F558F"/>
    <w:rsid w:val="00601374"/>
    <w:rsid w:val="006033A4"/>
    <w:rsid w:val="0060619D"/>
    <w:rsid w:val="00607ED4"/>
    <w:rsid w:val="006143CD"/>
    <w:rsid w:val="00615B9A"/>
    <w:rsid w:val="006228E8"/>
    <w:rsid w:val="00637479"/>
    <w:rsid w:val="006517AF"/>
    <w:rsid w:val="00651C4E"/>
    <w:rsid w:val="006604AE"/>
    <w:rsid w:val="00666BBF"/>
    <w:rsid w:val="00674FF1"/>
    <w:rsid w:val="00676B84"/>
    <w:rsid w:val="00680B8E"/>
    <w:rsid w:val="00681F1A"/>
    <w:rsid w:val="0068418C"/>
    <w:rsid w:val="006872A3"/>
    <w:rsid w:val="00691394"/>
    <w:rsid w:val="00692EB3"/>
    <w:rsid w:val="006A3AA1"/>
    <w:rsid w:val="006A5301"/>
    <w:rsid w:val="006B0FAD"/>
    <w:rsid w:val="006B40DA"/>
    <w:rsid w:val="006B7062"/>
    <w:rsid w:val="006C5693"/>
    <w:rsid w:val="006C6D01"/>
    <w:rsid w:val="006C7711"/>
    <w:rsid w:val="006D0ACA"/>
    <w:rsid w:val="006D71FD"/>
    <w:rsid w:val="006E57FF"/>
    <w:rsid w:val="006F0707"/>
    <w:rsid w:val="006F78F3"/>
    <w:rsid w:val="006F7A4F"/>
    <w:rsid w:val="006F7FFB"/>
    <w:rsid w:val="007030FD"/>
    <w:rsid w:val="00716B7D"/>
    <w:rsid w:val="007215AE"/>
    <w:rsid w:val="0073108C"/>
    <w:rsid w:val="00740DE9"/>
    <w:rsid w:val="007427C6"/>
    <w:rsid w:val="0074353E"/>
    <w:rsid w:val="007554EF"/>
    <w:rsid w:val="00761CB5"/>
    <w:rsid w:val="00762A11"/>
    <w:rsid w:val="0076636B"/>
    <w:rsid w:val="007673EB"/>
    <w:rsid w:val="00772F8C"/>
    <w:rsid w:val="00782DE1"/>
    <w:rsid w:val="00783F81"/>
    <w:rsid w:val="0078794F"/>
    <w:rsid w:val="007906ED"/>
    <w:rsid w:val="00792580"/>
    <w:rsid w:val="0079385B"/>
    <w:rsid w:val="007A0062"/>
    <w:rsid w:val="007A07B3"/>
    <w:rsid w:val="007A0C74"/>
    <w:rsid w:val="007A5206"/>
    <w:rsid w:val="007A60FE"/>
    <w:rsid w:val="007B22BF"/>
    <w:rsid w:val="007C69C4"/>
    <w:rsid w:val="007D56EE"/>
    <w:rsid w:val="007D771C"/>
    <w:rsid w:val="007E0306"/>
    <w:rsid w:val="007E3201"/>
    <w:rsid w:val="007F3ECB"/>
    <w:rsid w:val="007F6C6D"/>
    <w:rsid w:val="0080185D"/>
    <w:rsid w:val="0080784D"/>
    <w:rsid w:val="00813E80"/>
    <w:rsid w:val="00815337"/>
    <w:rsid w:val="00815759"/>
    <w:rsid w:val="008160CF"/>
    <w:rsid w:val="00821518"/>
    <w:rsid w:val="00823F11"/>
    <w:rsid w:val="00865AF0"/>
    <w:rsid w:val="00880FCA"/>
    <w:rsid w:val="0088654B"/>
    <w:rsid w:val="008A25A3"/>
    <w:rsid w:val="008B5928"/>
    <w:rsid w:val="008C125F"/>
    <w:rsid w:val="008C1D34"/>
    <w:rsid w:val="008C3831"/>
    <w:rsid w:val="008C38E4"/>
    <w:rsid w:val="008C4C21"/>
    <w:rsid w:val="008D0E46"/>
    <w:rsid w:val="008D2157"/>
    <w:rsid w:val="008D6921"/>
    <w:rsid w:val="008D7428"/>
    <w:rsid w:val="008F4106"/>
    <w:rsid w:val="008F56B1"/>
    <w:rsid w:val="008F586D"/>
    <w:rsid w:val="0091114B"/>
    <w:rsid w:val="00912C6C"/>
    <w:rsid w:val="0091432D"/>
    <w:rsid w:val="00921E38"/>
    <w:rsid w:val="009241AC"/>
    <w:rsid w:val="00924D55"/>
    <w:rsid w:val="009307E9"/>
    <w:rsid w:val="00932FDF"/>
    <w:rsid w:val="00941609"/>
    <w:rsid w:val="00946061"/>
    <w:rsid w:val="00947664"/>
    <w:rsid w:val="009507FB"/>
    <w:rsid w:val="00953E43"/>
    <w:rsid w:val="00954352"/>
    <w:rsid w:val="00956CF6"/>
    <w:rsid w:val="009677E2"/>
    <w:rsid w:val="009703CD"/>
    <w:rsid w:val="009704E3"/>
    <w:rsid w:val="0097340A"/>
    <w:rsid w:val="00985628"/>
    <w:rsid w:val="0099472D"/>
    <w:rsid w:val="009A27EA"/>
    <w:rsid w:val="009C4761"/>
    <w:rsid w:val="009C7E49"/>
    <w:rsid w:val="009D2AF6"/>
    <w:rsid w:val="009D40DC"/>
    <w:rsid w:val="009D71D7"/>
    <w:rsid w:val="009E6C47"/>
    <w:rsid w:val="009F7B02"/>
    <w:rsid w:val="00A020DD"/>
    <w:rsid w:val="00A03ECF"/>
    <w:rsid w:val="00A06501"/>
    <w:rsid w:val="00A07C2F"/>
    <w:rsid w:val="00A31EF0"/>
    <w:rsid w:val="00A4178A"/>
    <w:rsid w:val="00A45885"/>
    <w:rsid w:val="00A50FEC"/>
    <w:rsid w:val="00A616F6"/>
    <w:rsid w:val="00A7034E"/>
    <w:rsid w:val="00A704B9"/>
    <w:rsid w:val="00A76F42"/>
    <w:rsid w:val="00A80FFC"/>
    <w:rsid w:val="00A81515"/>
    <w:rsid w:val="00A8190E"/>
    <w:rsid w:val="00A86BE4"/>
    <w:rsid w:val="00A91B8F"/>
    <w:rsid w:val="00A96985"/>
    <w:rsid w:val="00AA00FA"/>
    <w:rsid w:val="00AA2F56"/>
    <w:rsid w:val="00AB272B"/>
    <w:rsid w:val="00AD6548"/>
    <w:rsid w:val="00AD6B60"/>
    <w:rsid w:val="00AF26FE"/>
    <w:rsid w:val="00AF6151"/>
    <w:rsid w:val="00AF6961"/>
    <w:rsid w:val="00B036C5"/>
    <w:rsid w:val="00B05F1C"/>
    <w:rsid w:val="00B31013"/>
    <w:rsid w:val="00B350EB"/>
    <w:rsid w:val="00B35F1E"/>
    <w:rsid w:val="00B41F73"/>
    <w:rsid w:val="00B4738A"/>
    <w:rsid w:val="00B54521"/>
    <w:rsid w:val="00B5553D"/>
    <w:rsid w:val="00B601D2"/>
    <w:rsid w:val="00B67CF9"/>
    <w:rsid w:val="00B703CD"/>
    <w:rsid w:val="00B81B54"/>
    <w:rsid w:val="00B97497"/>
    <w:rsid w:val="00BA0837"/>
    <w:rsid w:val="00BA0C18"/>
    <w:rsid w:val="00BA54C1"/>
    <w:rsid w:val="00BA5CD5"/>
    <w:rsid w:val="00BB19B7"/>
    <w:rsid w:val="00BB7103"/>
    <w:rsid w:val="00BC0BA1"/>
    <w:rsid w:val="00BC4177"/>
    <w:rsid w:val="00BC5E2C"/>
    <w:rsid w:val="00BC7DE4"/>
    <w:rsid w:val="00BE1716"/>
    <w:rsid w:val="00BE571F"/>
    <w:rsid w:val="00BF0D19"/>
    <w:rsid w:val="00BF1B87"/>
    <w:rsid w:val="00BF1BAB"/>
    <w:rsid w:val="00BF3E45"/>
    <w:rsid w:val="00C034D9"/>
    <w:rsid w:val="00C0480B"/>
    <w:rsid w:val="00C06A96"/>
    <w:rsid w:val="00C23359"/>
    <w:rsid w:val="00C263A8"/>
    <w:rsid w:val="00C27211"/>
    <w:rsid w:val="00C30281"/>
    <w:rsid w:val="00C44F6C"/>
    <w:rsid w:val="00C46EC3"/>
    <w:rsid w:val="00C47492"/>
    <w:rsid w:val="00C53A75"/>
    <w:rsid w:val="00C57229"/>
    <w:rsid w:val="00C573FB"/>
    <w:rsid w:val="00C61BEA"/>
    <w:rsid w:val="00C62B87"/>
    <w:rsid w:val="00C77090"/>
    <w:rsid w:val="00C80C8F"/>
    <w:rsid w:val="00C83BF2"/>
    <w:rsid w:val="00C8644B"/>
    <w:rsid w:val="00C940C0"/>
    <w:rsid w:val="00C96DCE"/>
    <w:rsid w:val="00CA60F3"/>
    <w:rsid w:val="00CB36D1"/>
    <w:rsid w:val="00CC0548"/>
    <w:rsid w:val="00CC5DFA"/>
    <w:rsid w:val="00CD11EF"/>
    <w:rsid w:val="00CD384D"/>
    <w:rsid w:val="00CD5DF1"/>
    <w:rsid w:val="00CD66E4"/>
    <w:rsid w:val="00D055E2"/>
    <w:rsid w:val="00D07D46"/>
    <w:rsid w:val="00D10188"/>
    <w:rsid w:val="00D12AE8"/>
    <w:rsid w:val="00D15838"/>
    <w:rsid w:val="00D22D69"/>
    <w:rsid w:val="00D237C6"/>
    <w:rsid w:val="00D27F15"/>
    <w:rsid w:val="00D41CBC"/>
    <w:rsid w:val="00D479EA"/>
    <w:rsid w:val="00D51D5E"/>
    <w:rsid w:val="00D54E24"/>
    <w:rsid w:val="00D61EEB"/>
    <w:rsid w:val="00D65389"/>
    <w:rsid w:val="00D75879"/>
    <w:rsid w:val="00D76408"/>
    <w:rsid w:val="00D900C3"/>
    <w:rsid w:val="00D91F1C"/>
    <w:rsid w:val="00D94C54"/>
    <w:rsid w:val="00DA059F"/>
    <w:rsid w:val="00DA39F3"/>
    <w:rsid w:val="00DA504D"/>
    <w:rsid w:val="00DB000D"/>
    <w:rsid w:val="00DB71F8"/>
    <w:rsid w:val="00DC1C6C"/>
    <w:rsid w:val="00DC2F30"/>
    <w:rsid w:val="00DC62F2"/>
    <w:rsid w:val="00DC6F99"/>
    <w:rsid w:val="00DD1614"/>
    <w:rsid w:val="00DD6B0D"/>
    <w:rsid w:val="00DE00B6"/>
    <w:rsid w:val="00DE48BA"/>
    <w:rsid w:val="00DE6FF1"/>
    <w:rsid w:val="00DF14DC"/>
    <w:rsid w:val="00E05CEF"/>
    <w:rsid w:val="00E131CD"/>
    <w:rsid w:val="00E24FE2"/>
    <w:rsid w:val="00E3399B"/>
    <w:rsid w:val="00E346DF"/>
    <w:rsid w:val="00E35EA1"/>
    <w:rsid w:val="00E36FC5"/>
    <w:rsid w:val="00E4308A"/>
    <w:rsid w:val="00E46891"/>
    <w:rsid w:val="00E56D97"/>
    <w:rsid w:val="00E618B3"/>
    <w:rsid w:val="00E6356E"/>
    <w:rsid w:val="00E64B74"/>
    <w:rsid w:val="00E67422"/>
    <w:rsid w:val="00E81228"/>
    <w:rsid w:val="00E81451"/>
    <w:rsid w:val="00E87436"/>
    <w:rsid w:val="00E910A8"/>
    <w:rsid w:val="00E96133"/>
    <w:rsid w:val="00EA3E9C"/>
    <w:rsid w:val="00EB0731"/>
    <w:rsid w:val="00EB65A9"/>
    <w:rsid w:val="00EC2920"/>
    <w:rsid w:val="00EC3568"/>
    <w:rsid w:val="00EC453D"/>
    <w:rsid w:val="00EC53AD"/>
    <w:rsid w:val="00ED4F85"/>
    <w:rsid w:val="00EE3584"/>
    <w:rsid w:val="00EE3780"/>
    <w:rsid w:val="00EF2F69"/>
    <w:rsid w:val="00F06132"/>
    <w:rsid w:val="00F110AD"/>
    <w:rsid w:val="00F11A68"/>
    <w:rsid w:val="00F11A8F"/>
    <w:rsid w:val="00F13DB0"/>
    <w:rsid w:val="00F21F51"/>
    <w:rsid w:val="00F33517"/>
    <w:rsid w:val="00F574E3"/>
    <w:rsid w:val="00F630E6"/>
    <w:rsid w:val="00F63D55"/>
    <w:rsid w:val="00F64953"/>
    <w:rsid w:val="00F66196"/>
    <w:rsid w:val="00F71B79"/>
    <w:rsid w:val="00F72549"/>
    <w:rsid w:val="00F76887"/>
    <w:rsid w:val="00F804F1"/>
    <w:rsid w:val="00F82A89"/>
    <w:rsid w:val="00F869C1"/>
    <w:rsid w:val="00F86C7F"/>
    <w:rsid w:val="00F903FB"/>
    <w:rsid w:val="00F94549"/>
    <w:rsid w:val="00FB6F1B"/>
    <w:rsid w:val="00FF2275"/>
    <w:rsid w:val="00FF5667"/>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04196-B9AA-4E3B-9AEC-DAF6FCCB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9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C Bulet,Style 3,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E56D97"/>
    <w:pPr>
      <w:ind w:left="720"/>
      <w:contextualSpacing/>
    </w:pPr>
  </w:style>
  <w:style w:type="character" w:customStyle="1" w:styleId="ListParagraphChar">
    <w:name w:val="List Paragraph Char"/>
    <w:aliases w:val="YC Bulet Char,Style 3 Char,Bullet List Char,FooterText Char,List Paragraph1 Char,Colorful List Accent 1 Char,numbered Char,Paragraphe de liste1 Char,列出段落 Char,列出段落1 Char,Bulletr List Paragraph Char,List Paragraph2 Char,リスト段落1 Char"/>
    <w:basedOn w:val="DefaultParagraphFont"/>
    <w:link w:val="ListParagraph"/>
    <w:uiPriority w:val="34"/>
    <w:rsid w:val="00E56D97"/>
    <w:rPr>
      <w:rFonts w:ascii="Calibri" w:eastAsia="Times New Roman" w:hAnsi="Calibri" w:cs="Arial"/>
    </w:rPr>
  </w:style>
  <w:style w:type="paragraph" w:styleId="Header">
    <w:name w:val="header"/>
    <w:basedOn w:val="Normal"/>
    <w:link w:val="HeaderChar"/>
    <w:uiPriority w:val="99"/>
    <w:semiHidden/>
    <w:unhideWhenUsed/>
    <w:rsid w:val="00E56D9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56D97"/>
    <w:rPr>
      <w:rFonts w:ascii="Calibri" w:eastAsia="Times New Roman" w:hAnsi="Calibri" w:cs="Arial"/>
    </w:rPr>
  </w:style>
  <w:style w:type="paragraph" w:styleId="Footer">
    <w:name w:val="footer"/>
    <w:basedOn w:val="Normal"/>
    <w:link w:val="FooterChar"/>
    <w:uiPriority w:val="99"/>
    <w:unhideWhenUsed/>
    <w:rsid w:val="00E56D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6D97"/>
    <w:rPr>
      <w:rFonts w:ascii="Calibri" w:eastAsia="Times New Roman" w:hAnsi="Calibri" w:cs="Arial"/>
    </w:rPr>
  </w:style>
  <w:style w:type="table" w:styleId="TableGrid">
    <w:name w:val="Table Grid"/>
    <w:basedOn w:val="TableNormal"/>
    <w:uiPriority w:val="59"/>
    <w:rsid w:val="00AF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38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B47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1B1CC-9A09-46E6-832D-01A7674BB09E}">
  <ds:schemaRefs>
    <ds:schemaRef ds:uri="http://schemas.openxmlformats.org/officeDocument/2006/bibliography"/>
  </ds:schemaRefs>
</ds:datastoreItem>
</file>

<file path=customXml/itemProps2.xml><?xml version="1.0" encoding="utf-8"?>
<ds:datastoreItem xmlns:ds="http://schemas.openxmlformats.org/officeDocument/2006/customXml" ds:itemID="{2CAFC15A-79BA-4516-A977-903998CC365F}"/>
</file>

<file path=customXml/itemProps3.xml><?xml version="1.0" encoding="utf-8"?>
<ds:datastoreItem xmlns:ds="http://schemas.openxmlformats.org/officeDocument/2006/customXml" ds:itemID="{A6AB74FF-86CC-4ABC-AF8C-FCBC4939EB99}"/>
</file>

<file path=customXml/itemProps4.xml><?xml version="1.0" encoding="utf-8"?>
<ds:datastoreItem xmlns:ds="http://schemas.openxmlformats.org/officeDocument/2006/customXml" ds:itemID="{E0AA2F16-7861-4BB4-B444-BE64A1DE5FF9}"/>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Office Word</Application>
  <DocSecurity>4</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mohammed.khr</dc:creator>
  <cp:lastModifiedBy>IHARA Sumiko</cp:lastModifiedBy>
  <cp:revision>2</cp:revision>
  <cp:lastPrinted>2018-08-09T08:52:00Z</cp:lastPrinted>
  <dcterms:created xsi:type="dcterms:W3CDTF">2018-08-20T11:33:00Z</dcterms:created>
  <dcterms:modified xsi:type="dcterms:W3CDTF">2018-08-20T11:33:00Z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1389700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