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25" w:rsidRPr="00487B25" w:rsidRDefault="00487B25" w:rsidP="00487B25">
      <w:pPr>
        <w:pStyle w:val="HChG"/>
        <w:rPr>
          <w:lang w:val="fr-FR" w:eastAsia="en-US"/>
        </w:rPr>
      </w:pPr>
      <w:bookmarkStart w:id="0" w:name="_Toc505591756"/>
      <w:r w:rsidRPr="00487B25">
        <w:rPr>
          <w:lang w:val="fr-FR" w:eastAsia="en-US"/>
        </w:rPr>
        <w:t>Annexe 1</w:t>
      </w:r>
      <w:bookmarkStart w:id="1" w:name="_GoBack"/>
      <w:bookmarkEnd w:id="0"/>
      <w:bookmarkEnd w:id="1"/>
    </w:p>
    <w:p w:rsidR="00487B25" w:rsidRPr="00487B25" w:rsidRDefault="00487B25" w:rsidP="00487B25">
      <w:pPr>
        <w:spacing w:line="276" w:lineRule="auto"/>
        <w:jc w:val="center"/>
        <w:rPr>
          <w:rFonts w:eastAsia="Times New Roman"/>
          <w:b/>
          <w:sz w:val="24"/>
          <w:szCs w:val="24"/>
          <w:lang w:val="fr-FR" w:eastAsia="fr-FR"/>
        </w:rPr>
      </w:pPr>
      <w:r w:rsidRPr="00487B25">
        <w:rPr>
          <w:rFonts w:eastAsia="Times New Roman"/>
          <w:b/>
          <w:sz w:val="24"/>
          <w:szCs w:val="24"/>
          <w:lang w:val="fr-FR" w:eastAsia="fr-FR"/>
        </w:rPr>
        <w:t>ETAT DE MISE EN ŒUVRE DES RECOMMANDATIONS FIGURANT DANS LE PARAGRAPHE 138 DU RAPPORT DU GROUPE DE TRAVAIL DE L’EPU QUI N’ONT PAS OBTENU LE SOUTIEN DU BURKINA FASO</w:t>
      </w:r>
    </w:p>
    <w:p w:rsidR="00487B25" w:rsidRPr="00487B25" w:rsidRDefault="00487B25" w:rsidP="00487B25">
      <w:pPr>
        <w:tabs>
          <w:tab w:val="left" w:pos="2143"/>
        </w:tabs>
        <w:spacing w:line="276" w:lineRule="auto"/>
        <w:jc w:val="both"/>
        <w:rPr>
          <w:rFonts w:eastAsia="Times New Roman"/>
          <w:b/>
          <w:sz w:val="24"/>
          <w:szCs w:val="24"/>
          <w:lang w:val="fr-FR" w:eastAsia="fr-FR"/>
        </w:rPr>
      </w:pPr>
      <w:r w:rsidRPr="00487B25">
        <w:rPr>
          <w:rFonts w:eastAsia="Times New Roman"/>
          <w:b/>
          <w:sz w:val="24"/>
          <w:szCs w:val="24"/>
          <w:lang w:val="fr-FR" w:eastAsia="fr-FR"/>
        </w:rPr>
        <w:tab/>
      </w:r>
    </w:p>
    <w:tbl>
      <w:tblPr>
        <w:tblStyle w:val="TableGrid1"/>
        <w:tblW w:w="0" w:type="auto"/>
        <w:tblLook w:val="04A0" w:firstRow="1" w:lastRow="0" w:firstColumn="1" w:lastColumn="0" w:noHBand="0" w:noVBand="1"/>
      </w:tblPr>
      <w:tblGrid>
        <w:gridCol w:w="9212"/>
      </w:tblGrid>
      <w:tr w:rsidR="00487B25" w:rsidRPr="00487B25" w:rsidTr="008D5BA8">
        <w:tc>
          <w:tcPr>
            <w:tcW w:w="9212" w:type="dxa"/>
          </w:tcPr>
          <w:p w:rsidR="00487B25" w:rsidRPr="00487B25" w:rsidRDefault="00487B25" w:rsidP="00487B25">
            <w:pPr>
              <w:spacing w:before="240" w:line="276" w:lineRule="auto"/>
              <w:jc w:val="both"/>
              <w:rPr>
                <w:rFonts w:eastAsia="Times New Roman"/>
                <w:b/>
                <w:i/>
                <w:sz w:val="24"/>
                <w:szCs w:val="24"/>
                <w:lang w:val="fr-FR" w:eastAsia="fr-FR"/>
              </w:rPr>
            </w:pPr>
            <w:r w:rsidRPr="00487B25">
              <w:rPr>
                <w:rFonts w:eastAsia="Times New Roman"/>
                <w:b/>
                <w:i/>
                <w:sz w:val="24"/>
                <w:szCs w:val="24"/>
                <w:lang w:val="fr-FR" w:eastAsia="fr-FR"/>
              </w:rPr>
              <w:t>Ratifier le deuxième protocole facultatif se rapportant au PIDCP en vue d’abolir la peine de mort (138.1, 2, 3, 4, 5, 6, 7, 8, 9, 10, 11, 13, 14,15, 16, 17, 18)</w:t>
            </w:r>
          </w:p>
        </w:tc>
      </w:tr>
    </w:tbl>
    <w:p w:rsidR="00487B25" w:rsidRPr="00487B25" w:rsidRDefault="00487B25" w:rsidP="00487B25">
      <w:pPr>
        <w:spacing w:before="240" w:line="276" w:lineRule="auto"/>
        <w:jc w:val="both"/>
        <w:rPr>
          <w:rFonts w:eastAsia="Times New Roman"/>
          <w:sz w:val="24"/>
          <w:szCs w:val="24"/>
          <w:lang w:val="fr-FR" w:eastAsia="fr-FR"/>
        </w:rPr>
      </w:pPr>
      <w:r w:rsidRPr="00487B25">
        <w:rPr>
          <w:rFonts w:eastAsia="Times New Roman"/>
          <w:sz w:val="24"/>
          <w:szCs w:val="24"/>
          <w:lang w:val="fr-FR" w:eastAsia="fr-FR"/>
        </w:rPr>
        <w:t xml:space="preserve"> Des consultations et des plaidoyers ont été menés mais aucun consensus n’a été trouvé.</w:t>
      </w:r>
    </w:p>
    <w:p w:rsidR="00487B25" w:rsidRPr="00487B25" w:rsidRDefault="00487B25" w:rsidP="00487B25">
      <w:pPr>
        <w:spacing w:before="240" w:line="276" w:lineRule="auto"/>
        <w:jc w:val="both"/>
        <w:rPr>
          <w:rFonts w:eastAsia="Times New Roman"/>
          <w:sz w:val="24"/>
          <w:szCs w:val="24"/>
          <w:lang w:val="fr-FR" w:eastAsia="fr-FR"/>
        </w:rPr>
      </w:pPr>
    </w:p>
    <w:tbl>
      <w:tblPr>
        <w:tblStyle w:val="TableGrid1"/>
        <w:tblW w:w="0" w:type="auto"/>
        <w:tblLook w:val="04A0" w:firstRow="1" w:lastRow="0" w:firstColumn="1" w:lastColumn="0" w:noHBand="0" w:noVBand="1"/>
      </w:tblPr>
      <w:tblGrid>
        <w:gridCol w:w="9212"/>
      </w:tblGrid>
      <w:tr w:rsidR="00487B25" w:rsidRPr="00487B25" w:rsidTr="008D5BA8">
        <w:tc>
          <w:tcPr>
            <w:tcW w:w="9212" w:type="dxa"/>
          </w:tcPr>
          <w:p w:rsidR="00487B25" w:rsidRPr="00487B25" w:rsidRDefault="00487B25" w:rsidP="00487B25">
            <w:pPr>
              <w:spacing w:before="240" w:line="276" w:lineRule="auto"/>
              <w:jc w:val="both"/>
              <w:rPr>
                <w:rFonts w:eastAsia="Times New Roman"/>
                <w:b/>
                <w:i/>
                <w:sz w:val="24"/>
                <w:szCs w:val="24"/>
                <w:lang w:val="fr-FR" w:eastAsia="fr-FR"/>
              </w:rPr>
            </w:pPr>
            <w:r w:rsidRPr="00487B25">
              <w:rPr>
                <w:rFonts w:eastAsia="Times New Roman"/>
                <w:b/>
                <w:i/>
                <w:sz w:val="24"/>
                <w:szCs w:val="24"/>
                <w:lang w:val="fr-FR" w:eastAsia="fr-FR"/>
              </w:rPr>
              <w:t>Envisager la ratification du nouveau protocole à la CDE relatif aux procédures de communication (138.12)</w:t>
            </w:r>
          </w:p>
          <w:p w:rsidR="00487B25" w:rsidRPr="00487B25" w:rsidRDefault="00487B25" w:rsidP="00487B25">
            <w:pPr>
              <w:spacing w:before="240" w:line="276" w:lineRule="auto"/>
              <w:jc w:val="both"/>
              <w:rPr>
                <w:rFonts w:eastAsia="Times New Roman"/>
                <w:b/>
                <w:i/>
                <w:sz w:val="24"/>
                <w:szCs w:val="24"/>
                <w:lang w:val="fr-FR" w:eastAsia="fr-FR"/>
              </w:rPr>
            </w:pPr>
            <w:r w:rsidRPr="00487B25">
              <w:rPr>
                <w:rFonts w:eastAsia="Times New Roman"/>
                <w:b/>
                <w:i/>
                <w:sz w:val="24"/>
                <w:szCs w:val="24"/>
                <w:lang w:val="fr-FR" w:eastAsia="fr-FR"/>
              </w:rPr>
              <w:t>Ratifier le protocole facultatif au pacte international relatif aux droits économiques, sociaux et culturels (138.1)</w:t>
            </w:r>
          </w:p>
        </w:tc>
      </w:tr>
    </w:tbl>
    <w:p w:rsidR="00487B25" w:rsidRPr="00487B25" w:rsidRDefault="00487B25" w:rsidP="00487B25">
      <w:pPr>
        <w:spacing w:before="240" w:line="276" w:lineRule="auto"/>
        <w:jc w:val="both"/>
        <w:rPr>
          <w:rFonts w:eastAsia="Times New Roman"/>
          <w:sz w:val="24"/>
          <w:szCs w:val="24"/>
          <w:lang w:val="fr-FR" w:eastAsia="fr-FR"/>
        </w:rPr>
      </w:pPr>
      <w:r w:rsidRPr="00487B25">
        <w:rPr>
          <w:rFonts w:eastAsia="Times New Roman"/>
          <w:sz w:val="24"/>
          <w:szCs w:val="24"/>
          <w:lang w:val="fr-FR" w:eastAsia="fr-FR"/>
        </w:rPr>
        <w:t xml:space="preserve">Des consultations ont été menées en 2014 sur l’opportunité de la ratification de ces protocoles. </w:t>
      </w:r>
    </w:p>
    <w:p w:rsidR="00487B25" w:rsidRPr="00487B25" w:rsidRDefault="00487B25" w:rsidP="00487B25">
      <w:pPr>
        <w:spacing w:before="240" w:line="276" w:lineRule="auto"/>
        <w:jc w:val="both"/>
        <w:rPr>
          <w:rFonts w:eastAsia="Times New Roman"/>
          <w:sz w:val="24"/>
          <w:szCs w:val="24"/>
          <w:lang w:val="fr-FR" w:eastAsia="fr-FR"/>
        </w:rPr>
      </w:pPr>
    </w:p>
    <w:tbl>
      <w:tblPr>
        <w:tblStyle w:val="TableGrid1"/>
        <w:tblW w:w="0" w:type="auto"/>
        <w:tblLook w:val="04A0" w:firstRow="1" w:lastRow="0" w:firstColumn="1" w:lastColumn="0" w:noHBand="0" w:noVBand="1"/>
      </w:tblPr>
      <w:tblGrid>
        <w:gridCol w:w="9212"/>
      </w:tblGrid>
      <w:tr w:rsidR="00487B25" w:rsidRPr="00487B25" w:rsidTr="008D5BA8">
        <w:tc>
          <w:tcPr>
            <w:tcW w:w="9212" w:type="dxa"/>
          </w:tcPr>
          <w:p w:rsidR="00487B25" w:rsidRPr="00487B25" w:rsidRDefault="00487B25" w:rsidP="00487B25">
            <w:pPr>
              <w:spacing w:before="240" w:line="276" w:lineRule="auto"/>
              <w:jc w:val="both"/>
              <w:rPr>
                <w:rFonts w:eastAsia="Times New Roman"/>
                <w:b/>
                <w:i/>
                <w:sz w:val="24"/>
                <w:szCs w:val="24"/>
                <w:lang w:val="fr-FR" w:eastAsia="fr-FR"/>
              </w:rPr>
            </w:pPr>
            <w:r w:rsidRPr="00487B25">
              <w:rPr>
                <w:rFonts w:eastAsia="Times New Roman"/>
                <w:b/>
                <w:i/>
                <w:sz w:val="24"/>
                <w:szCs w:val="24"/>
                <w:lang w:val="fr-FR" w:eastAsia="fr-FR"/>
              </w:rPr>
              <w:t>Lancer une invitation permanente aux procédures spéciales et à tout détenteur de mandat relatif aux droits humains (138.2, 3, 4, 5, 6, 7)</w:t>
            </w:r>
          </w:p>
        </w:tc>
      </w:tr>
    </w:tbl>
    <w:p w:rsidR="00487B25" w:rsidRPr="00487B25" w:rsidRDefault="00487B25" w:rsidP="00487B25">
      <w:pPr>
        <w:spacing w:line="276" w:lineRule="auto"/>
        <w:jc w:val="both"/>
        <w:rPr>
          <w:rFonts w:eastAsia="Times New Roman"/>
          <w:sz w:val="24"/>
          <w:szCs w:val="24"/>
          <w:lang w:val="fr-FR" w:eastAsia="fr-FR"/>
        </w:rPr>
      </w:pPr>
    </w:p>
    <w:p w:rsidR="00487B25" w:rsidRPr="00487B25" w:rsidRDefault="00487B25" w:rsidP="00487B25">
      <w:pPr>
        <w:spacing w:line="276" w:lineRule="auto"/>
        <w:jc w:val="both"/>
        <w:rPr>
          <w:rFonts w:eastAsia="Times New Roman"/>
          <w:sz w:val="24"/>
          <w:szCs w:val="24"/>
          <w:lang w:val="fr-FR" w:eastAsia="fr-FR"/>
        </w:rPr>
      </w:pPr>
      <w:r w:rsidRPr="00487B25">
        <w:rPr>
          <w:rFonts w:eastAsia="Times New Roman"/>
          <w:sz w:val="24"/>
          <w:szCs w:val="24"/>
          <w:lang w:val="fr-FR" w:eastAsia="fr-FR"/>
        </w:rPr>
        <w:t xml:space="preserve">Comme indiqué aux paragraphes 23 et 24 du présent rapport, le Burkina Faso est disposé à répondre favorablement aux demandes de visite des détenteurs de mandat. </w:t>
      </w:r>
    </w:p>
    <w:p w:rsidR="00487B25" w:rsidRPr="00487B25" w:rsidRDefault="00487B25" w:rsidP="00487B25">
      <w:pPr>
        <w:spacing w:line="276" w:lineRule="auto"/>
        <w:jc w:val="both"/>
        <w:rPr>
          <w:rFonts w:eastAsia="Times New Roman"/>
          <w:sz w:val="24"/>
          <w:szCs w:val="24"/>
          <w:lang w:val="fr-FR" w:eastAsia="fr-FR"/>
        </w:rPr>
      </w:pPr>
    </w:p>
    <w:tbl>
      <w:tblPr>
        <w:tblStyle w:val="TableGrid1"/>
        <w:tblW w:w="0" w:type="auto"/>
        <w:tblLook w:val="04A0" w:firstRow="1" w:lastRow="0" w:firstColumn="1" w:lastColumn="0" w:noHBand="0" w:noVBand="1"/>
      </w:tblPr>
      <w:tblGrid>
        <w:gridCol w:w="9212"/>
      </w:tblGrid>
      <w:tr w:rsidR="00487B25" w:rsidRPr="00487B25" w:rsidTr="008D5BA8">
        <w:tc>
          <w:tcPr>
            <w:tcW w:w="9212" w:type="dxa"/>
          </w:tcPr>
          <w:p w:rsidR="00487B25" w:rsidRPr="00487B25" w:rsidRDefault="00487B25" w:rsidP="00487B25">
            <w:pPr>
              <w:spacing w:line="276" w:lineRule="auto"/>
              <w:jc w:val="both"/>
              <w:rPr>
                <w:rFonts w:eastAsia="Times New Roman"/>
                <w:b/>
                <w:i/>
                <w:sz w:val="24"/>
                <w:szCs w:val="24"/>
                <w:lang w:val="fr-FR" w:eastAsia="fr-FR"/>
              </w:rPr>
            </w:pPr>
            <w:r w:rsidRPr="00487B25">
              <w:rPr>
                <w:rFonts w:eastAsia="Times New Roman"/>
                <w:b/>
                <w:i/>
                <w:sz w:val="24"/>
                <w:szCs w:val="24"/>
                <w:lang w:val="fr-FR" w:eastAsia="fr-FR"/>
              </w:rPr>
              <w:t>Eliminer les dispositions relatives à la polygamie et prévoir des actions pour combattre les violences contre les femmes et les enfants (138.8, 9)</w:t>
            </w:r>
          </w:p>
        </w:tc>
      </w:tr>
    </w:tbl>
    <w:p w:rsidR="00487B25" w:rsidRPr="00487B25" w:rsidRDefault="00487B25" w:rsidP="00487B25">
      <w:pPr>
        <w:spacing w:after="160" w:line="276" w:lineRule="auto"/>
        <w:jc w:val="both"/>
        <w:rPr>
          <w:rFonts w:eastAsia="Calibri"/>
          <w:sz w:val="24"/>
          <w:szCs w:val="24"/>
          <w:lang w:val="fr-FR" w:eastAsia="en-US"/>
        </w:rPr>
      </w:pPr>
    </w:p>
    <w:p w:rsidR="00487B25" w:rsidRPr="00487B25" w:rsidRDefault="00487B25" w:rsidP="00487B25">
      <w:pPr>
        <w:spacing w:line="276" w:lineRule="auto"/>
        <w:jc w:val="both"/>
        <w:rPr>
          <w:rFonts w:eastAsia="Calibri"/>
          <w:sz w:val="24"/>
          <w:szCs w:val="24"/>
          <w:lang w:val="fr-FR" w:eastAsia="en-US"/>
        </w:rPr>
      </w:pPr>
      <w:r w:rsidRPr="00487B25">
        <w:rPr>
          <w:rFonts w:eastAsia="Calibri"/>
          <w:sz w:val="24"/>
          <w:szCs w:val="24"/>
          <w:lang w:val="fr-FR" w:eastAsia="en-US"/>
        </w:rPr>
        <w:t xml:space="preserve">S’agissant des actions pour combattre les violences contre les femmes et les enfants, les informations fournies aux paragraphes 62 à 66 et 90 à 95 du présent rapport présentent les actions engagées par le Gouvernement pour donner effet à cette recommandation. </w:t>
      </w:r>
    </w:p>
    <w:p w:rsidR="00446FE5" w:rsidRPr="00770252" w:rsidRDefault="00446FE5" w:rsidP="00B55090">
      <w:pPr>
        <w:rPr>
          <w:lang w:val="en-US"/>
        </w:rPr>
      </w:pP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25" w:rsidRDefault="00487B25" w:rsidP="00F95C08"/>
  </w:endnote>
  <w:endnote w:type="continuationSeparator" w:id="0">
    <w:p w:rsidR="00487B25" w:rsidRPr="00AC3823" w:rsidRDefault="00487B25" w:rsidP="00AC3823">
      <w:pPr>
        <w:pStyle w:val="Footer"/>
      </w:pPr>
    </w:p>
  </w:endnote>
  <w:endnote w:type="continuationNotice" w:id="1">
    <w:p w:rsidR="00487B25" w:rsidRDefault="00487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25" w:rsidRPr="00AC3823" w:rsidRDefault="00487B25" w:rsidP="00AC3823">
      <w:pPr>
        <w:pStyle w:val="Footer"/>
        <w:tabs>
          <w:tab w:val="right" w:pos="2155"/>
        </w:tabs>
        <w:spacing w:after="80" w:line="240" w:lineRule="atLeast"/>
        <w:ind w:left="680"/>
        <w:rPr>
          <w:u w:val="single"/>
        </w:rPr>
      </w:pPr>
      <w:r>
        <w:rPr>
          <w:u w:val="single"/>
        </w:rPr>
        <w:tab/>
      </w:r>
    </w:p>
  </w:footnote>
  <w:footnote w:type="continuationSeparator" w:id="0">
    <w:p w:rsidR="00487B25" w:rsidRPr="00AC3823" w:rsidRDefault="00487B25" w:rsidP="00AC3823">
      <w:pPr>
        <w:pStyle w:val="Footer"/>
        <w:tabs>
          <w:tab w:val="right" w:pos="2155"/>
        </w:tabs>
        <w:spacing w:after="80" w:line="240" w:lineRule="atLeast"/>
        <w:ind w:left="680"/>
        <w:rPr>
          <w:u w:val="single"/>
        </w:rPr>
      </w:pPr>
      <w:r>
        <w:rPr>
          <w:u w:val="single"/>
        </w:rPr>
        <w:tab/>
      </w:r>
    </w:p>
  </w:footnote>
  <w:footnote w:type="continuationNotice" w:id="1">
    <w:p w:rsidR="00487B25" w:rsidRPr="00AC3823" w:rsidRDefault="00487B25">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B25"/>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87B25"/>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94068A-28FF-49C9-9F4F-AC1E3415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rPr>
      <w:lang w:val="fr-CH"/>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957790"/>
    <w:rPr>
      <w:color w:val="0000FF"/>
      <w:u w:val="none"/>
    </w:rPr>
  </w:style>
  <w:style w:type="character" w:styleId="FollowedHyperlink">
    <w:name w:val="FollowedHyperlink"/>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table" w:customStyle="1" w:styleId="TableGrid1">
    <w:name w:val="Table Grid1"/>
    <w:basedOn w:val="TableNormal"/>
    <w:next w:val="TableGrid"/>
    <w:uiPriority w:val="39"/>
    <w:rsid w:val="00487B2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5471B4-8CEF-45F5-A32C-3E3BF355733D}"/>
</file>

<file path=customXml/itemProps2.xml><?xml version="1.0" encoding="utf-8"?>
<ds:datastoreItem xmlns:ds="http://schemas.openxmlformats.org/officeDocument/2006/customXml" ds:itemID="{22085124-B60C-4965-BA13-374E55A26167}"/>
</file>

<file path=customXml/itemProps3.xml><?xml version="1.0" encoding="utf-8"?>
<ds:datastoreItem xmlns:ds="http://schemas.openxmlformats.org/officeDocument/2006/customXml" ds:itemID="{AC61396E-3035-4528-A74D-62AC688A023B}"/>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1284</Characters>
  <Application>Microsoft Office Word</Application>
  <DocSecurity>0</DocSecurity>
  <Lines>321</Lines>
  <Paragraphs>97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A_HRC_WG.6_30_BFA_1_Burkina Faso_Annex I_F</dc:title>
  <dc:subject/>
  <dc:creator>IHARA Sumiko</dc:creator>
  <cp:keywords/>
  <dc:description/>
  <cp:lastModifiedBy>IHARA Sumiko</cp:lastModifiedBy>
  <cp:revision>1</cp:revision>
  <cp:lastPrinted>2014-05-14T10:59:00Z</cp:lastPrinted>
  <dcterms:created xsi:type="dcterms:W3CDTF">2018-02-07T15:26:00Z</dcterms:created>
  <dcterms:modified xsi:type="dcterms:W3CDTF">2018-02-07T15:28:00Z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