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38" w:rsidRPr="009C0338" w:rsidRDefault="009C0338" w:rsidP="009C0338">
      <w:pPr>
        <w:pStyle w:val="HChG"/>
        <w:rPr>
          <w:lang w:val="fr-FR" w:eastAsia="en-US"/>
        </w:rPr>
      </w:pPr>
      <w:bookmarkStart w:id="0" w:name="_Toc505591757"/>
      <w:bookmarkStart w:id="1" w:name="_GoBack"/>
      <w:bookmarkEnd w:id="1"/>
      <w:r w:rsidRPr="009C0338">
        <w:rPr>
          <w:lang w:val="fr-FR" w:eastAsia="en-US"/>
        </w:rPr>
        <w:t>Annexe 2</w:t>
      </w:r>
      <w:bookmarkEnd w:id="0"/>
      <w:r w:rsidRPr="009C0338">
        <w:rPr>
          <w:lang w:val="fr-FR" w:eastAsia="en-US"/>
        </w:rPr>
        <w:t xml:space="preserve">  </w:t>
      </w:r>
    </w:p>
    <w:p w:rsidR="009C0338" w:rsidRPr="009C0338" w:rsidRDefault="009C0338" w:rsidP="009C0338">
      <w:pPr>
        <w:spacing w:after="120" w:line="276" w:lineRule="auto"/>
        <w:jc w:val="center"/>
        <w:rPr>
          <w:rFonts w:ascii="Garamond" w:eastAsia="Calibri" w:hAnsi="Garamond"/>
          <w:b/>
          <w:sz w:val="28"/>
          <w:szCs w:val="28"/>
          <w:lang w:val="fr-FR" w:eastAsia="en-US"/>
        </w:rPr>
      </w:pPr>
      <w:r w:rsidRPr="009C0338">
        <w:rPr>
          <w:rFonts w:ascii="Garamond" w:eastAsia="Calibri" w:hAnsi="Garamond"/>
          <w:b/>
          <w:sz w:val="28"/>
          <w:szCs w:val="28"/>
          <w:lang w:val="fr-FR" w:eastAsia="en-US"/>
        </w:rPr>
        <w:t>Synthèse des recommandations issues du 2</w:t>
      </w:r>
      <w:r w:rsidRPr="009C0338">
        <w:rPr>
          <w:rFonts w:ascii="Garamond" w:eastAsia="Calibri" w:hAnsi="Garamond"/>
          <w:b/>
          <w:sz w:val="28"/>
          <w:szCs w:val="28"/>
          <w:vertAlign w:val="superscript"/>
          <w:lang w:val="fr-FR" w:eastAsia="en-US"/>
        </w:rPr>
        <w:t>ième</w:t>
      </w:r>
      <w:r w:rsidRPr="009C0338">
        <w:rPr>
          <w:rFonts w:ascii="Garamond" w:eastAsia="Calibri" w:hAnsi="Garamond"/>
          <w:b/>
          <w:sz w:val="28"/>
          <w:szCs w:val="28"/>
          <w:lang w:val="fr-FR" w:eastAsia="en-US"/>
        </w:rPr>
        <w:t xml:space="preserve"> passage du Burkina Faso à l’EPU par thématique</w:t>
      </w:r>
    </w:p>
    <w:tbl>
      <w:tblPr>
        <w:tblStyle w:val="Grilledutableau11"/>
        <w:tblW w:w="15730" w:type="dxa"/>
        <w:jc w:val="center"/>
        <w:tblLayout w:type="fixed"/>
        <w:tblLook w:val="04A0" w:firstRow="1" w:lastRow="0" w:firstColumn="1" w:lastColumn="0" w:noHBand="0" w:noVBand="1"/>
      </w:tblPr>
      <w:tblGrid>
        <w:gridCol w:w="846"/>
        <w:gridCol w:w="8505"/>
        <w:gridCol w:w="2136"/>
        <w:gridCol w:w="4243"/>
      </w:tblGrid>
      <w:tr w:rsidR="009C0338" w:rsidRPr="009C0338" w:rsidTr="009C0338">
        <w:trPr>
          <w:tblHeader/>
          <w:jc w:val="center"/>
        </w:trPr>
        <w:tc>
          <w:tcPr>
            <w:tcW w:w="846" w:type="dxa"/>
            <w:shd w:val="clear" w:color="auto" w:fill="D9D9D9"/>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N° d’ordre</w:t>
            </w:r>
          </w:p>
        </w:tc>
        <w:tc>
          <w:tcPr>
            <w:tcW w:w="8505" w:type="dxa"/>
            <w:shd w:val="clear" w:color="auto" w:fill="D9D9D9"/>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Substance des recommandations</w:t>
            </w:r>
          </w:p>
        </w:tc>
        <w:tc>
          <w:tcPr>
            <w:tcW w:w="2136" w:type="dxa"/>
            <w:shd w:val="clear" w:color="auto" w:fill="D9D9D9"/>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N° du sous paragraphe</w:t>
            </w:r>
          </w:p>
        </w:tc>
        <w:tc>
          <w:tcPr>
            <w:tcW w:w="4243" w:type="dxa"/>
            <w:shd w:val="clear" w:color="auto" w:fill="D9D9D9"/>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Pays ayant formulé des recommandations</w:t>
            </w:r>
          </w:p>
        </w:tc>
      </w:tr>
      <w:tr w:rsidR="009C0338" w:rsidRPr="009C0338" w:rsidTr="009C0338">
        <w:trPr>
          <w:jc w:val="center"/>
        </w:trPr>
        <w:tc>
          <w:tcPr>
            <w:tcW w:w="15730" w:type="dxa"/>
            <w:gridSpan w:val="4"/>
            <w:shd w:val="clear" w:color="auto" w:fill="A8D08D"/>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Recommandations acceptées et figurant dans le paragraphe 135 du rapport du Groupe de travail de l’EPU</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Ratifier la Convention de 1954 relative au statut des apatrides et la Convention de 1961 sur la réduction des cas d’apatridie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Slovaquie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Ratifier les amendements de Kampala au Statut de la Cour pénale internationale  en vue de contribuer à l’activation de la compétence de la CPI sur les crimes d’agression en début 2017</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Liechtenstein</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la promotion des droits de la femme dans le cadre de la politique nationale Genre, adopter des mesures législatives spécifiques interdisant les violences et la discrimination à l’égard de la femme incluant l’exclusion sociale des femmes accusées de sorcellerie, les violences domestiques, les mariages forcés conformément à la CEDEF et poursuivre les efforts de lutte contre les discriminations liées au genre (en particulier celles liées aux pratiques traditionnelles néfastes)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3, 4, 5, 6, 7, 8, 9,10, 44, 45, 46, 52, 56, 58, 61, 77, 78, 86, 87, 88, 89, 95, 96, 112</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Brésil, Burundi, Djibouti, Chili, Costa Rica, Indonésie, Irlande, Palestine, Singapour, Guatemala, Cap vert, Luxembourg, Arménie, Kazakhstan, Malaisie, Ethiopie, Togo, Australie, Belgique, Hongrie, Suisse, Allemagne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4</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Entreprendre plus d’efforts en vue d’assurer l’accès universel à l’éducation</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10</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Etat de Palestine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5</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Rendre conforme la législation pénale à l’article 5 de la Charte africaine des droits et du bien-être de l’enfant qui interdit l’application de la peine de mort aux mineurs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11</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Belgique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6</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Entreprendre des consultations internes en vue d’accélérer l’adoption d’un code de protection de l’enfant en conformité avec la Convention sur les droits de l’enfant (CDE) et adopter un plan de mise en œuvre de cette nouvelle législation incluant un mécanisme de suivi évaluation</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12, 13, 14, 15, 16, 17, 23, 27</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Brésil, République de Moldavie, Chili, Irlande, Togo, Philippines, Cap vert, Italie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7</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le renforcement des politiques de protection des enfants vivant avec un handicap y compris leur inclusion dans le système éducatif classique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65, 66</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Egypte, Chypre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8</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Poursuivre la protection des enfants contre les abus sexuels, les châtiments corporels, la traite et les pires formes de travail notamment dans les mines et le phénomène des </w:t>
            </w:r>
            <w:r w:rsidRPr="009C0338">
              <w:rPr>
                <w:rFonts w:ascii="Book Antiqua" w:eastAsia="Times New Roman" w:hAnsi="Book Antiqua"/>
                <w:szCs w:val="18"/>
                <w:lang w:val="fr-FR" w:eastAsia="fr-FR"/>
              </w:rPr>
              <w:lastRenderedPageBreak/>
              <w:t>enfants de la rue et recruter, former et équiper des inspecteurs du travail pour lutter contre le travail des enfants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lastRenderedPageBreak/>
              <w:t xml:space="preserve">66, 87, 90, 91, 92, 93, 94, 97, 98, 99, </w:t>
            </w:r>
            <w:r w:rsidRPr="009C0338">
              <w:rPr>
                <w:rFonts w:ascii="Book Antiqua" w:eastAsia="Times New Roman" w:hAnsi="Book Antiqua"/>
                <w:szCs w:val="18"/>
                <w:lang w:val="fr-FR" w:eastAsia="fr-FR"/>
              </w:rPr>
              <w:lastRenderedPageBreak/>
              <w:t>100, 101, 102, 103, 105, 106, 113, 115</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lastRenderedPageBreak/>
              <w:t>Chypre, Belgique, Australie, Etats-Unis,</w:t>
            </w:r>
          </w:p>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Belarusse, Moldavie, Thaïlande, Nigéria, </w:t>
            </w:r>
            <w:r w:rsidRPr="009C0338">
              <w:rPr>
                <w:rFonts w:ascii="Book Antiqua" w:eastAsia="Times New Roman" w:hAnsi="Book Antiqua"/>
                <w:szCs w:val="18"/>
                <w:lang w:val="fr-FR" w:eastAsia="fr-FR"/>
              </w:rPr>
              <w:lastRenderedPageBreak/>
              <w:t>Singapour, Etats-Unis d’Amérique, Hongrie, Pays Bas, Slovaquie, Uruguay, Liechtenstein, Suisse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lastRenderedPageBreak/>
              <w:t>9</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Ratifier la Convention n°189 de l’OIT sur les travailleurs domestiques </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103</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Uruguay</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10</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Accélérer les efforts en vue d’établir un système d’enregistrement universel et gratuit des naissances à travers tout le pays </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18, 19, 20</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Uruguay, Australie, Turquie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11</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Accélérer les efforts en vue de permettre à la Commission Nationale des Droits Humains de mener effectivement des activités et renforcer ses capacités en vue de la rendre conforme aux principes de Paris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21, 28, 29,30, 31, 32, 33,34</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Azerbaïdjan, France, Indonésie, Nouvelle Zélande, Niger, Afrique du sud, Soudan, Tunisie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12</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les efforts dans le but de la promotion de la responsabilité civique et de l’amélioration d’une citoyenneté responsable à travers la culture des valeurs et du respect des droits humains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22</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Azerbaïdjan</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13</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Réviser suivant l’approche basée sur les droits humains le cadre législatif relatif à la promotion des investissements en prévoyant des dispositions en faveur du respect des droits humains et de l’environnement par les industries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24</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Costa Rica</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14</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ses efforts pour la mise en œuvre des programmes d’éducation aux droits humains et l’introduction de l’éducation aux droits humains dans les curricula à tous les niveaux scolaires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25, 36, 37, 38, 39, 40, 132, 133</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République Démocratique du Congo, Myanmar, Nigeria, Ouganda, Soudan, Emirats arabes unis, Ethiopie, Malaisie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15</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Continuer à promouvoir et à soutenir la société civile dans le pays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26</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Ethiopie </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16</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Renforcer le Ministère de la promotion de la femme en vue de lui permettre de pourvoir aux besoins spécifiques des femmes et des filles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35</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Tunisie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17</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Renforcer la collaboration avec les détenteurs des mandats (procédures spéciales) et les organes de traités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41, 43</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Côte d’Ivoire, Niger</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18</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Mettre en œuvre les recommandations acceptées dans le cadre de l’EPU</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42</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Nicaragua</w:t>
            </w:r>
          </w:p>
        </w:tc>
      </w:tr>
      <w:tr w:rsidR="009C0338" w:rsidRPr="009C0338" w:rsidTr="008D5BA8">
        <w:trPr>
          <w:trHeight w:val="600"/>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19</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Poursuivre la promotion du genre dans les activités socio-économiques et mener des campagnes pour promouvoir l’application effective de la loi relative à la propriété foncière, l’accès des femmes aux terres rurales et l’égalité de genre </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47, 48, 50, 51,53, 54, 56, 59</w:t>
            </w:r>
          </w:p>
        </w:tc>
        <w:tc>
          <w:tcPr>
            <w:tcW w:w="4243" w:type="dxa"/>
            <w:vAlign w:val="center"/>
          </w:tcPr>
          <w:p w:rsidR="009C0338" w:rsidRPr="009C0338" w:rsidRDefault="009C0338" w:rsidP="009C0338">
            <w:pPr>
              <w:spacing w:before="20" w:after="40"/>
              <w:rPr>
                <w:rFonts w:ascii="Book Antiqua" w:eastAsia="Times New Roman" w:hAnsi="Book Antiqua"/>
                <w:szCs w:val="18"/>
                <w:lang w:val="en-US" w:eastAsia="fr-FR"/>
              </w:rPr>
            </w:pPr>
            <w:r w:rsidRPr="009C0338">
              <w:rPr>
                <w:rFonts w:ascii="Book Antiqua" w:eastAsia="Times New Roman" w:hAnsi="Book Antiqua"/>
                <w:szCs w:val="18"/>
                <w:lang w:val="en-US" w:eastAsia="fr-FR"/>
              </w:rPr>
              <w:t xml:space="preserve">Canada, Vietnam, </w:t>
            </w:r>
            <w:r w:rsidRPr="009C0338">
              <w:rPr>
                <w:rFonts w:ascii="Book Antiqua" w:eastAsia="Times New Roman" w:hAnsi="Book Antiqua"/>
                <w:szCs w:val="18"/>
                <w:lang w:val="fr-FR" w:eastAsia="fr-FR"/>
              </w:rPr>
              <w:t>Algérie</w:t>
            </w:r>
            <w:r w:rsidRPr="009C0338">
              <w:rPr>
                <w:rFonts w:ascii="Book Antiqua" w:eastAsia="Times New Roman" w:hAnsi="Book Antiqua"/>
                <w:szCs w:val="18"/>
                <w:lang w:val="en-US" w:eastAsia="fr-FR"/>
              </w:rPr>
              <w:t>, Argentine, Cuba, Philippines,</w:t>
            </w:r>
            <w:r w:rsidRPr="009C0338">
              <w:rPr>
                <w:rFonts w:ascii="Book Antiqua" w:eastAsia="Times New Roman" w:hAnsi="Book Antiqua"/>
                <w:szCs w:val="18"/>
                <w:lang w:val="fr-FR" w:eastAsia="fr-FR"/>
              </w:rPr>
              <w:t xml:space="preserve"> Arménie,</w:t>
            </w:r>
            <w:r w:rsidRPr="009C0338">
              <w:rPr>
                <w:rFonts w:ascii="Book Antiqua" w:eastAsia="Times New Roman" w:hAnsi="Book Antiqua"/>
                <w:szCs w:val="18"/>
                <w:lang w:val="en-US" w:eastAsia="fr-FR"/>
              </w:rPr>
              <w:t xml:space="preserve"> Mexique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20</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Poursuivre les efforts pour améliorer la participation de la femme aux sphères de </w:t>
            </w:r>
            <w:r w:rsidRPr="009C0338">
              <w:rPr>
                <w:rFonts w:ascii="Book Antiqua" w:eastAsia="Times New Roman" w:hAnsi="Book Antiqua"/>
                <w:szCs w:val="18"/>
                <w:lang w:val="fr-FR" w:eastAsia="fr-FR"/>
              </w:rPr>
              <w:lastRenderedPageBreak/>
              <w:t>décisions y compris les femmes rurales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lastRenderedPageBreak/>
              <w:t>49, 57</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Algérie, Egypte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lastRenderedPageBreak/>
              <w:t>21</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Promouvoir des politiques axées sur la réduction des inégalités dans l’accès à la pleine jouissance des droits humains par toutes les catégories sociales notamment les femmes, les enfants, les personnes handicapées et les personnes âgées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60, 62, 63, 64</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Kazakhstan, Argentine,</w:t>
            </w:r>
          </w:p>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Sénégal, Bélarusse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22</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Mener des enquêtes sur les allégations de tortures et de mauvais traitements et mettre en place un mécanisme national de prévention de la torture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67</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Australie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23</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Améliorer les conditions de détention et le droit à un procès équitable des détenus et prendre en compte les normes des Nations Unies sur le traitement des femmes détenues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68, 69, 70, 72</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Danemark, Mexique, Thaïlande, France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24</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Assurer l’administration diligente de la justice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67</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Australie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25</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Poursuivre les efforts de sensibilisation en vue de l’éradication des mutilations génitales féminines et engager des procédures judiciaires et des sanctions contre les personnes qui les pratiquent </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73, 74, 75, 76,79, 80, 81, 82, 83, 84, 85</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Uruguay, Danemark, Canada, Burundi, Finlande, France, Allemagne, Pays Bas, Rwanda, Slovénie, Espagne,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26</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Prendre des mesures législatives et administratives en vue d’assurer l’indépendance de la justice et du Conseil supérieur de la magistrature et améliorer le secteur de la justice juvénile ainsi que la justice pénale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107, 108, 109, 110, 111</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Royaume Uni, Etats-Unis, Egypte, Ethiopie, Allemagne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27</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les efforts de promotion de l’emploi des jeunes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114</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Sri Lanka</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28</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la priorisation des politiques et programmes de lutte contre la pauvreté et le sous-développement, renforcer les droits économiques, sociaux et culturels en vue d’améliorer les conditions de vie des populations et éliminer les disparités entre les régions dans le domaine de l’accès à l’eau</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116, 117, 118, 124, 125, 126</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République Bolivarienne de Venezuela, Slovénie, Afrique du Sud, Sénégal, Cuba, Gabon, </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29</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Mettre comme priorité nationale le droit à l’eau et à l’assainissement</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119</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Espagne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30</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Continuer à prioriser l’allocation des ressources financières et humaines au secteur de la santé et améliorer la santé de la reproduction en fournissant des services appropriés aux femmes et aux filles en particulier celles du milieu rural</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120, 121, 122, 123</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Egypte, Nouvelle Zélande, Arabie Saoudite, Espagne,  </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31</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la promotion de l’accès   à l’éducation en particulier au profit des personnes handicapées et des filles et lutter contre l’analphabétisme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127, 128, 129, 130, 131, 133</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Arménie, Arabie Saoudite, Cuba, Sri Lanka, RDC, Malaisie</w:t>
            </w:r>
          </w:p>
        </w:tc>
      </w:tr>
      <w:tr w:rsidR="009C0338" w:rsidRPr="009C0338" w:rsidTr="009C0338">
        <w:trPr>
          <w:jc w:val="center"/>
        </w:trPr>
        <w:tc>
          <w:tcPr>
            <w:tcW w:w="15730" w:type="dxa"/>
            <w:gridSpan w:val="4"/>
            <w:shd w:val="clear" w:color="auto" w:fill="A8D08D"/>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Recommandations acceptées et considérées comme déjà mises en œuvre figurant dans le paragraphe 136 du rapport du Groupe de travail de l’EPU</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lastRenderedPageBreak/>
              <w:t>32</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Remplir davantage ses obligations internationales y  compris celles issues des conventions internationales récemment ratifiées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w:t>
            </w:r>
          </w:p>
        </w:tc>
        <w:tc>
          <w:tcPr>
            <w:tcW w:w="4243"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Kazakhstan</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33</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Adopter une législation incluant le paiement des services de l’environnement en vue de promouvoir le développement économique et industriel durable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w:t>
            </w:r>
          </w:p>
        </w:tc>
        <w:tc>
          <w:tcPr>
            <w:tcW w:w="4243"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Mexique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34</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Entreprendre des réformes en vue d’assurer l’indépendance de la justice et l’accès à la justice en particulier des groupes vulnérables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3</w:t>
            </w:r>
          </w:p>
        </w:tc>
        <w:tc>
          <w:tcPr>
            <w:tcW w:w="4243"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Slovaquie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35</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Mettre en place un programme de création d’emplois visant particulièrement les jeunes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4</w:t>
            </w:r>
          </w:p>
        </w:tc>
        <w:tc>
          <w:tcPr>
            <w:tcW w:w="4243"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Vietnam</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36</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Envisager l’adoption d’une stratégie pour l’éducation des filles au primaire et au post primaire</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5</w:t>
            </w:r>
          </w:p>
        </w:tc>
        <w:tc>
          <w:tcPr>
            <w:tcW w:w="4243"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Palestine</w:t>
            </w:r>
          </w:p>
        </w:tc>
      </w:tr>
      <w:tr w:rsidR="009C0338" w:rsidRPr="009C0338" w:rsidTr="009C0338">
        <w:trPr>
          <w:jc w:val="center"/>
        </w:trPr>
        <w:tc>
          <w:tcPr>
            <w:tcW w:w="15730" w:type="dxa"/>
            <w:gridSpan w:val="4"/>
            <w:shd w:val="clear" w:color="auto" w:fill="A8D08D"/>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Recommandations figurant dans le paragraphe 138 du rapport du Groupe de travail de l’EPU qui n’ont pas obtenu le soutien du Burkina Faso</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37</w:t>
            </w:r>
          </w:p>
        </w:tc>
        <w:tc>
          <w:tcPr>
            <w:tcW w:w="8505"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Ratifier le deuxième protocole facultatif se rapportant au PIDCP en vue d’abolir la peine de mort</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1, 2, 3, 4, 5, 6, 7, 8, 9, 10, 11, 14</w:t>
            </w:r>
          </w:p>
        </w:tc>
        <w:tc>
          <w:tcPr>
            <w:tcW w:w="4243"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Royaume Uni, Belgique, Uruguay, Djibouti, Suisse, Allemagne, Finlande, Espagne, Rwanda,  France, Monténégro, Turquie, Slovaquie, Australie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38</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Envisager la ratification du nouveau protocole à la CDE relatif aux procédures de communication</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12, </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Slovaquie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39</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Adopter des mesures visant l’abolition de la peine de mort et commuer les peines déjà prononcées en condamnation à perpétuité</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13, 15, 17, 18</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Nouvelle Zélande, Slovaquie, Burundi, Italie</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40</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Poursuivre les consultations en vue d’aboutir à l’abolition de la peine de mort</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16</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Togo</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41</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Ratifier le protocole facultatif au pacte international relatif aux droits économiques, sociaux et culturels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1</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 xml:space="preserve">France </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42</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Lancer une invitation permanente aux procédures spéciales et à tout détenteur de mandat relatif aux droits humains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2, 3, 4, 5, 6, 7</w:t>
            </w:r>
          </w:p>
        </w:tc>
        <w:tc>
          <w:tcPr>
            <w:tcW w:w="4243" w:type="dxa"/>
            <w:vAlign w:val="center"/>
          </w:tcPr>
          <w:p w:rsidR="009C0338" w:rsidRPr="009C0338" w:rsidRDefault="009C0338" w:rsidP="009C0338">
            <w:pPr>
              <w:spacing w:before="20" w:after="40"/>
              <w:rPr>
                <w:rFonts w:ascii="Book Antiqua" w:eastAsia="Times New Roman" w:hAnsi="Book Antiqua"/>
                <w:szCs w:val="18"/>
                <w:lang w:val="en-US" w:eastAsia="fr-FR"/>
              </w:rPr>
            </w:pPr>
            <w:r w:rsidRPr="009C0338">
              <w:rPr>
                <w:rFonts w:ascii="Book Antiqua" w:eastAsia="Times New Roman" w:hAnsi="Book Antiqua"/>
                <w:szCs w:val="18"/>
                <w:lang w:val="en-US" w:eastAsia="fr-FR"/>
              </w:rPr>
              <w:t>Uruguay, Latvia, Montenegro, Tunisie , Liechtenstein, Guatemala</w:t>
            </w:r>
          </w:p>
        </w:tc>
      </w:tr>
      <w:tr w:rsidR="009C0338" w:rsidRPr="009C0338" w:rsidTr="008D5BA8">
        <w:trPr>
          <w:jc w:val="center"/>
        </w:trPr>
        <w:tc>
          <w:tcPr>
            <w:tcW w:w="846" w:type="dxa"/>
            <w:vAlign w:val="center"/>
          </w:tcPr>
          <w:p w:rsidR="009C0338" w:rsidRPr="009C0338" w:rsidRDefault="009C0338" w:rsidP="009C0338">
            <w:pPr>
              <w:spacing w:before="20" w:after="40"/>
              <w:jc w:val="center"/>
              <w:rPr>
                <w:rFonts w:ascii="Book Antiqua" w:eastAsia="Times New Roman" w:hAnsi="Book Antiqua"/>
                <w:b/>
                <w:szCs w:val="18"/>
                <w:lang w:val="fr-FR" w:eastAsia="fr-FR"/>
              </w:rPr>
            </w:pPr>
            <w:r w:rsidRPr="009C0338">
              <w:rPr>
                <w:rFonts w:ascii="Book Antiqua" w:eastAsia="Times New Roman" w:hAnsi="Book Antiqua"/>
                <w:b/>
                <w:szCs w:val="18"/>
                <w:lang w:val="fr-FR" w:eastAsia="fr-FR"/>
              </w:rPr>
              <w:t>43</w:t>
            </w:r>
          </w:p>
        </w:tc>
        <w:tc>
          <w:tcPr>
            <w:tcW w:w="8505"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Eliminer les dispositions relatives à la polygamie et prévoir des actions pour combattre les violences contre les femmes et les enfants</w:t>
            </w:r>
          </w:p>
        </w:tc>
        <w:tc>
          <w:tcPr>
            <w:tcW w:w="2136" w:type="dxa"/>
            <w:vAlign w:val="center"/>
          </w:tcPr>
          <w:p w:rsidR="009C0338" w:rsidRPr="009C0338" w:rsidRDefault="009C0338" w:rsidP="009C0338">
            <w:pPr>
              <w:spacing w:before="20" w:after="40"/>
              <w:jc w:val="both"/>
              <w:rPr>
                <w:rFonts w:ascii="Book Antiqua" w:eastAsia="Times New Roman" w:hAnsi="Book Antiqua"/>
                <w:szCs w:val="18"/>
                <w:lang w:val="fr-FR" w:eastAsia="fr-FR"/>
              </w:rPr>
            </w:pPr>
            <w:r w:rsidRPr="009C0338">
              <w:rPr>
                <w:rFonts w:ascii="Book Antiqua" w:eastAsia="Times New Roman" w:hAnsi="Book Antiqua"/>
                <w:szCs w:val="18"/>
                <w:lang w:val="fr-FR" w:eastAsia="fr-FR"/>
              </w:rPr>
              <w:t>8, 9</w:t>
            </w:r>
          </w:p>
        </w:tc>
        <w:tc>
          <w:tcPr>
            <w:tcW w:w="4243" w:type="dxa"/>
            <w:vAlign w:val="center"/>
          </w:tcPr>
          <w:p w:rsidR="009C0338" w:rsidRPr="009C0338" w:rsidRDefault="009C0338" w:rsidP="009C0338">
            <w:pPr>
              <w:spacing w:before="20" w:after="40"/>
              <w:rPr>
                <w:rFonts w:ascii="Book Antiqua" w:eastAsia="Times New Roman" w:hAnsi="Book Antiqua"/>
                <w:szCs w:val="18"/>
                <w:lang w:val="fr-FR" w:eastAsia="fr-FR"/>
              </w:rPr>
            </w:pPr>
            <w:r w:rsidRPr="009C0338">
              <w:rPr>
                <w:rFonts w:ascii="Book Antiqua" w:eastAsia="Times New Roman" w:hAnsi="Book Antiqua"/>
                <w:szCs w:val="18"/>
                <w:lang w:val="fr-FR" w:eastAsia="fr-FR"/>
              </w:rPr>
              <w:t>Belgique, Hongrie</w:t>
            </w:r>
          </w:p>
        </w:tc>
      </w:tr>
    </w:tbl>
    <w:p w:rsidR="009C0338" w:rsidRPr="009C0338" w:rsidRDefault="009C0338" w:rsidP="009C0338">
      <w:pPr>
        <w:spacing w:after="160" w:line="276" w:lineRule="auto"/>
        <w:rPr>
          <w:rFonts w:ascii="Calibri" w:eastAsia="Calibri" w:hAnsi="Calibri"/>
          <w:sz w:val="22"/>
          <w:szCs w:val="22"/>
          <w:lang w:val="fr-FR" w:eastAsia="en-US"/>
        </w:rPr>
      </w:pPr>
    </w:p>
    <w:p w:rsidR="00446FE5" w:rsidRPr="00770252" w:rsidRDefault="00446FE5" w:rsidP="00B55090">
      <w:pPr>
        <w:rPr>
          <w:lang w:val="en-US"/>
        </w:rPr>
      </w:pPr>
    </w:p>
    <w:sectPr w:rsidR="00446FE5" w:rsidRPr="00770252" w:rsidSect="006D5942">
      <w:pgSz w:w="16838" w:h="11906" w:orient="landscape" w:code="9"/>
      <w:pgMar w:top="1418" w:right="1418"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38" w:rsidRDefault="009C0338" w:rsidP="00F95C08"/>
  </w:endnote>
  <w:endnote w:type="continuationSeparator" w:id="0">
    <w:p w:rsidR="009C0338" w:rsidRPr="00AC3823" w:rsidRDefault="009C0338" w:rsidP="00AC3823">
      <w:pPr>
        <w:pStyle w:val="Footer"/>
      </w:pPr>
    </w:p>
  </w:endnote>
  <w:endnote w:type="continuationNotice" w:id="1">
    <w:p w:rsidR="009C0338" w:rsidRDefault="009C0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38" w:rsidRPr="00AC3823" w:rsidRDefault="009C0338" w:rsidP="00AC3823">
      <w:pPr>
        <w:pStyle w:val="Footer"/>
        <w:tabs>
          <w:tab w:val="right" w:pos="2155"/>
        </w:tabs>
        <w:spacing w:after="80" w:line="240" w:lineRule="atLeast"/>
        <w:ind w:left="680"/>
        <w:rPr>
          <w:u w:val="single"/>
        </w:rPr>
      </w:pPr>
      <w:r>
        <w:rPr>
          <w:u w:val="single"/>
        </w:rPr>
        <w:tab/>
      </w:r>
    </w:p>
  </w:footnote>
  <w:footnote w:type="continuationSeparator" w:id="0">
    <w:p w:rsidR="009C0338" w:rsidRPr="00AC3823" w:rsidRDefault="009C0338" w:rsidP="00AC3823">
      <w:pPr>
        <w:pStyle w:val="Footer"/>
        <w:tabs>
          <w:tab w:val="right" w:pos="2155"/>
        </w:tabs>
        <w:spacing w:after="80" w:line="240" w:lineRule="atLeast"/>
        <w:ind w:left="680"/>
        <w:rPr>
          <w:u w:val="single"/>
        </w:rPr>
      </w:pPr>
      <w:r>
        <w:rPr>
          <w:u w:val="single"/>
        </w:rPr>
        <w:tab/>
      </w:r>
    </w:p>
  </w:footnote>
  <w:footnote w:type="continuationNotice" w:id="1">
    <w:p w:rsidR="009C0338" w:rsidRPr="00AC3823" w:rsidRDefault="009C0338">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338"/>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9C033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B360C-C037-4BB4-8B97-7717992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rPr>
      <w:lang w:val="fr-CH"/>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957790"/>
    <w:rPr>
      <w:color w:val="0000FF"/>
      <w:u w:val="none"/>
    </w:rPr>
  </w:style>
  <w:style w:type="character" w:styleId="FollowedHyperlink">
    <w:name w:val="FollowedHyperlink"/>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table" w:customStyle="1" w:styleId="Grilledutableau11">
    <w:name w:val="Grille du tableau11"/>
    <w:basedOn w:val="TableNormal"/>
    <w:next w:val="TableGrid"/>
    <w:uiPriority w:val="59"/>
    <w:rsid w:val="009C0338"/>
    <w:rPr>
      <w:rFonts w:ascii="Calibri" w:eastAsia="Calibri"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B07F8-4232-4CC6-A196-E064BC6F3B08}"/>
</file>

<file path=customXml/itemProps2.xml><?xml version="1.0" encoding="utf-8"?>
<ds:datastoreItem xmlns:ds="http://schemas.openxmlformats.org/officeDocument/2006/customXml" ds:itemID="{DFB58D17-699C-4D28-96FC-53803669CFAE}"/>
</file>

<file path=customXml/itemProps3.xml><?xml version="1.0" encoding="utf-8"?>
<ds:datastoreItem xmlns:ds="http://schemas.openxmlformats.org/officeDocument/2006/customXml" ds:itemID="{267052FF-33EF-47EE-AC71-A1E5EA2434B9}"/>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8664</Characters>
  <Application>Microsoft Office Word</Application>
  <DocSecurity>0</DocSecurity>
  <Lines>2166</Lines>
  <Paragraphs>657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A_HRC_WG.6_30_BFA_1_Burkina Faso_Annex II_F</dc:title>
  <dc:subject/>
  <dc:creator>IHARA Sumiko</dc:creator>
  <cp:keywords/>
  <dc:description/>
  <cp:lastModifiedBy>IHARA Sumiko</cp:lastModifiedBy>
  <cp:revision>1</cp:revision>
  <cp:lastPrinted>2014-05-14T10:59:00Z</cp:lastPrinted>
  <dcterms:created xsi:type="dcterms:W3CDTF">2018-02-07T15:28:00Z</dcterms:created>
  <dcterms:modified xsi:type="dcterms:W3CDTF">2018-02-07T15:29:00Z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