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4925E6" w:rsidP="004925E6">
            <w:pPr>
              <w:jc w:val="right"/>
            </w:pPr>
            <w:r w:rsidRPr="004925E6">
              <w:rPr>
                <w:sz w:val="40"/>
              </w:rPr>
              <w:t>A</w:t>
            </w:r>
            <w:r>
              <w:t>/HRC/38/9/Add.1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C2F9E"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4925E6" w:rsidP="004925E6">
            <w:pPr>
              <w:spacing w:before="240" w:line="240" w:lineRule="exact"/>
            </w:pPr>
            <w:r>
              <w:t>Distr.: General</w:t>
            </w:r>
          </w:p>
          <w:p w:rsidR="004925E6" w:rsidRDefault="004925E6" w:rsidP="004925E6">
            <w:pPr>
              <w:spacing w:line="240" w:lineRule="exact"/>
            </w:pPr>
            <w:r>
              <w:t>1</w:t>
            </w:r>
            <w:r w:rsidR="00287A36">
              <w:t>8</w:t>
            </w:r>
            <w:r>
              <w:t xml:space="preserve"> June 2018</w:t>
            </w:r>
          </w:p>
          <w:p w:rsidR="004925E6" w:rsidRDefault="004925E6" w:rsidP="004925E6">
            <w:pPr>
              <w:spacing w:line="240" w:lineRule="exact"/>
            </w:pPr>
          </w:p>
          <w:p w:rsidR="004925E6" w:rsidRDefault="004925E6" w:rsidP="004925E6">
            <w:pPr>
              <w:spacing w:line="240" w:lineRule="exact"/>
            </w:pPr>
            <w:r>
              <w:t>Original: English</w:t>
            </w:r>
          </w:p>
        </w:tc>
      </w:tr>
    </w:tbl>
    <w:p w:rsidR="004925E6" w:rsidRPr="006C7248" w:rsidRDefault="004925E6" w:rsidP="004925E6">
      <w:pPr>
        <w:spacing w:before="120"/>
        <w:rPr>
          <w:b/>
          <w:bCs/>
          <w:sz w:val="24"/>
          <w:szCs w:val="24"/>
        </w:rPr>
      </w:pPr>
      <w:r w:rsidRPr="006C7248">
        <w:rPr>
          <w:b/>
          <w:bCs/>
          <w:sz w:val="24"/>
          <w:szCs w:val="24"/>
        </w:rPr>
        <w:t>Human Rights Council</w:t>
      </w:r>
      <w:r w:rsidR="00AF716D">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4925E6" w:rsidRDefault="004925E6" w:rsidP="004925E6">
      <w:pPr>
        <w:rPr>
          <w:b/>
          <w:bCs/>
        </w:rPr>
      </w:pPr>
      <w:r w:rsidRPr="006C7248">
        <w:rPr>
          <w:b/>
          <w:bCs/>
        </w:rPr>
        <w:t>Thirty-</w:t>
      </w:r>
      <w:r>
        <w:rPr>
          <w:b/>
          <w:bCs/>
        </w:rPr>
        <w:t>eight</w:t>
      </w:r>
      <w:r w:rsidRPr="006C7248">
        <w:rPr>
          <w:b/>
          <w:bCs/>
        </w:rPr>
        <w:t>h session</w:t>
      </w:r>
    </w:p>
    <w:p w:rsidR="00287A36" w:rsidRPr="005E68DB" w:rsidRDefault="00287A36" w:rsidP="00287A36">
      <w:r w:rsidRPr="005E68DB">
        <w:t>18 June–6 July 2018</w:t>
      </w:r>
    </w:p>
    <w:p w:rsidR="004925E6" w:rsidRPr="006C7248" w:rsidRDefault="004925E6" w:rsidP="004925E6">
      <w:r w:rsidRPr="006C7248">
        <w:t>Agenda item 6</w:t>
      </w:r>
    </w:p>
    <w:p w:rsidR="004925E6" w:rsidRPr="006C7248" w:rsidRDefault="004925E6" w:rsidP="004925E6">
      <w:pPr>
        <w:rPr>
          <w:b/>
        </w:rPr>
      </w:pPr>
      <w:r w:rsidRPr="006C7248">
        <w:rPr>
          <w:b/>
        </w:rPr>
        <w:t>Universal Periodic Review</w:t>
      </w:r>
    </w:p>
    <w:p w:rsidR="004925E6" w:rsidRPr="006C7248" w:rsidRDefault="004925E6" w:rsidP="004925E6">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287A36">
        <w:footnoteReference w:customMarkFollows="1" w:id="2"/>
        <w:t>*</w:t>
      </w:r>
    </w:p>
    <w:p w:rsidR="004925E6" w:rsidRPr="006C7248" w:rsidRDefault="004925E6" w:rsidP="004925E6">
      <w:pPr>
        <w:keepNext/>
        <w:keepLines/>
        <w:tabs>
          <w:tab w:val="right" w:pos="851"/>
        </w:tabs>
        <w:spacing w:before="360" w:after="240" w:line="300" w:lineRule="exact"/>
        <w:ind w:left="1134" w:right="1134" w:hanging="1134"/>
        <w:rPr>
          <w:b/>
          <w:sz w:val="28"/>
        </w:rPr>
      </w:pPr>
      <w:r>
        <w:rPr>
          <w:b/>
          <w:sz w:val="28"/>
        </w:rPr>
        <w:tab/>
      </w:r>
      <w:r>
        <w:rPr>
          <w:b/>
          <w:sz w:val="28"/>
        </w:rPr>
        <w:tab/>
        <w:t>Bahamas</w:t>
      </w:r>
    </w:p>
    <w:p w:rsidR="004925E6" w:rsidRPr="006C7248" w:rsidRDefault="004925E6" w:rsidP="004925E6">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4925E6" w:rsidRPr="006C7248" w:rsidRDefault="004925E6" w:rsidP="004925E6">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4925E6" w:rsidRPr="004925E6" w:rsidRDefault="004925E6" w:rsidP="00491065">
      <w:pPr>
        <w:pStyle w:val="HChG"/>
        <w:ind w:firstLine="0"/>
        <w:rPr>
          <w:lang w:val="en-US"/>
        </w:rPr>
      </w:pPr>
      <w:r w:rsidRPr="006C7248">
        <w:br w:type="page"/>
      </w:r>
      <w:r w:rsidRPr="004925E6">
        <w:rPr>
          <w:lang w:val="en-US"/>
        </w:rPr>
        <w:lastRenderedPageBreak/>
        <w:t xml:space="preserve">Response of the Government of the Commonwealth of </w:t>
      </w:r>
      <w:r w:rsidR="00491065">
        <w:rPr>
          <w:lang w:val="en-US"/>
        </w:rPr>
        <w:t>t</w:t>
      </w:r>
      <w:r w:rsidRPr="004925E6">
        <w:rPr>
          <w:lang w:val="en-US"/>
        </w:rPr>
        <w:t>he Bahamas to its 141 recommendations</w:t>
      </w:r>
    </w:p>
    <w:p w:rsidR="004925E6" w:rsidRPr="004925E6" w:rsidRDefault="004925E6" w:rsidP="00491065">
      <w:pPr>
        <w:pStyle w:val="SingleTxtG"/>
        <w:rPr>
          <w:lang w:val="en-US"/>
        </w:rPr>
      </w:pPr>
      <w:r w:rsidRPr="004925E6">
        <w:rPr>
          <w:lang w:val="en-US"/>
        </w:rPr>
        <w:t>The Bahamas welcomes the recommendations made in the course of its Universal Periodic Review of 17</w:t>
      </w:r>
      <w:r w:rsidRPr="004925E6">
        <w:rPr>
          <w:vertAlign w:val="superscript"/>
          <w:lang w:val="en-US"/>
        </w:rPr>
        <w:t>th</w:t>
      </w:r>
      <w:r w:rsidRPr="004925E6">
        <w:rPr>
          <w:lang w:val="en-US"/>
        </w:rPr>
        <w:t xml:space="preserve"> January 2018. After broad consultation and careful evaluation of the recommendations, </w:t>
      </w:r>
      <w:r w:rsidR="00491065">
        <w:rPr>
          <w:lang w:val="en-US"/>
        </w:rPr>
        <w:t>t</w:t>
      </w:r>
      <w:r w:rsidRPr="004925E6">
        <w:rPr>
          <w:lang w:val="en-US"/>
        </w:rPr>
        <w:t>he Bahamas is pleased to provide the following responses:</w:t>
      </w:r>
    </w:p>
    <w:tbl>
      <w:tblPr>
        <w:tblW w:w="8505" w:type="dxa"/>
        <w:tblInd w:w="1134" w:type="dxa"/>
        <w:tblLayout w:type="fixed"/>
        <w:tblCellMar>
          <w:left w:w="0" w:type="dxa"/>
          <w:right w:w="0" w:type="dxa"/>
        </w:tblCellMar>
        <w:tblLook w:val="04A0" w:firstRow="1" w:lastRow="0" w:firstColumn="1" w:lastColumn="0" w:noHBand="0" w:noVBand="1"/>
      </w:tblPr>
      <w:tblGrid>
        <w:gridCol w:w="1418"/>
        <w:gridCol w:w="1984"/>
        <w:gridCol w:w="5103"/>
      </w:tblGrid>
      <w:tr w:rsidR="004925E6" w:rsidRPr="004925E6" w:rsidTr="00170FAA">
        <w:trPr>
          <w:tblHeader/>
        </w:trPr>
        <w:tc>
          <w:tcPr>
            <w:tcW w:w="1418" w:type="dxa"/>
            <w:tcBorders>
              <w:top w:val="single" w:sz="4" w:space="0" w:color="auto"/>
              <w:bottom w:val="single" w:sz="12" w:space="0" w:color="auto"/>
            </w:tcBorders>
            <w:shd w:val="clear" w:color="auto" w:fill="auto"/>
            <w:vAlign w:val="bottom"/>
          </w:tcPr>
          <w:p w:rsidR="004925E6" w:rsidRPr="00170FAA" w:rsidRDefault="004925E6" w:rsidP="00170FAA">
            <w:pPr>
              <w:spacing w:before="80" w:after="80" w:line="200" w:lineRule="exact"/>
              <w:ind w:right="113"/>
              <w:rPr>
                <w:i/>
                <w:sz w:val="16"/>
              </w:rPr>
            </w:pPr>
            <w:r w:rsidRPr="00170FAA">
              <w:rPr>
                <w:i/>
                <w:sz w:val="16"/>
              </w:rPr>
              <w:lastRenderedPageBreak/>
              <w:t>Recommendations</w:t>
            </w:r>
          </w:p>
        </w:tc>
        <w:tc>
          <w:tcPr>
            <w:tcW w:w="1984" w:type="dxa"/>
            <w:tcBorders>
              <w:top w:val="single" w:sz="4" w:space="0" w:color="auto"/>
              <w:bottom w:val="single" w:sz="12" w:space="0" w:color="auto"/>
            </w:tcBorders>
            <w:shd w:val="clear" w:color="auto" w:fill="auto"/>
            <w:vAlign w:val="bottom"/>
          </w:tcPr>
          <w:p w:rsidR="004925E6" w:rsidRPr="00170FAA" w:rsidRDefault="004925E6" w:rsidP="00170FAA">
            <w:pPr>
              <w:spacing w:before="80" w:after="80" w:line="200" w:lineRule="exact"/>
              <w:ind w:right="113"/>
              <w:rPr>
                <w:i/>
                <w:sz w:val="16"/>
              </w:rPr>
            </w:pPr>
            <w:r w:rsidRPr="00170FAA">
              <w:rPr>
                <w:i/>
                <w:sz w:val="16"/>
              </w:rPr>
              <w:t>Response</w:t>
            </w:r>
          </w:p>
        </w:tc>
        <w:tc>
          <w:tcPr>
            <w:tcW w:w="5103" w:type="dxa"/>
            <w:tcBorders>
              <w:top w:val="single" w:sz="4" w:space="0" w:color="auto"/>
              <w:bottom w:val="single" w:sz="12" w:space="0" w:color="auto"/>
            </w:tcBorders>
            <w:shd w:val="clear" w:color="auto" w:fill="auto"/>
            <w:vAlign w:val="bottom"/>
          </w:tcPr>
          <w:p w:rsidR="004925E6" w:rsidRPr="00170FAA" w:rsidRDefault="004925E6" w:rsidP="00170FAA">
            <w:pPr>
              <w:spacing w:before="80" w:after="80" w:line="200" w:lineRule="exact"/>
              <w:ind w:right="113"/>
              <w:rPr>
                <w:i/>
                <w:sz w:val="16"/>
              </w:rPr>
            </w:pPr>
            <w:r w:rsidRPr="00170FAA">
              <w:rPr>
                <w:i/>
                <w:sz w:val="16"/>
              </w:rPr>
              <w:t>Comments</w:t>
            </w:r>
          </w:p>
        </w:tc>
      </w:tr>
      <w:tr w:rsidR="004925E6" w:rsidRPr="004925E6" w:rsidTr="00170FAA">
        <w:trPr>
          <w:trHeight w:hRule="exact" w:val="113"/>
          <w:tblHeader/>
        </w:trPr>
        <w:tc>
          <w:tcPr>
            <w:tcW w:w="1418" w:type="dxa"/>
            <w:tcBorders>
              <w:top w:val="single" w:sz="12" w:space="0" w:color="auto"/>
            </w:tcBorders>
            <w:shd w:val="clear" w:color="auto" w:fill="auto"/>
            <w:vAlign w:val="bottom"/>
          </w:tcPr>
          <w:p w:rsidR="004925E6" w:rsidRPr="00170FAA" w:rsidRDefault="004925E6" w:rsidP="00170FAA">
            <w:pPr>
              <w:spacing w:before="80" w:after="80" w:line="200" w:lineRule="exact"/>
              <w:ind w:right="113"/>
              <w:rPr>
                <w:i/>
                <w:sz w:val="16"/>
              </w:rPr>
            </w:pPr>
          </w:p>
        </w:tc>
        <w:tc>
          <w:tcPr>
            <w:tcW w:w="1984" w:type="dxa"/>
            <w:tcBorders>
              <w:top w:val="single" w:sz="12" w:space="0" w:color="auto"/>
            </w:tcBorders>
            <w:shd w:val="clear" w:color="auto" w:fill="auto"/>
            <w:vAlign w:val="bottom"/>
          </w:tcPr>
          <w:p w:rsidR="004925E6" w:rsidRPr="00170FAA" w:rsidRDefault="004925E6" w:rsidP="00170FAA">
            <w:pPr>
              <w:spacing w:before="80" w:after="80" w:line="200" w:lineRule="exact"/>
              <w:ind w:right="113"/>
              <w:rPr>
                <w:i/>
                <w:sz w:val="16"/>
              </w:rPr>
            </w:pPr>
          </w:p>
        </w:tc>
        <w:tc>
          <w:tcPr>
            <w:tcW w:w="5103" w:type="dxa"/>
            <w:tcBorders>
              <w:top w:val="single" w:sz="12" w:space="0" w:color="auto"/>
            </w:tcBorders>
            <w:shd w:val="clear" w:color="auto" w:fill="auto"/>
            <w:vAlign w:val="bottom"/>
          </w:tcPr>
          <w:p w:rsidR="004925E6" w:rsidRPr="00170FAA" w:rsidRDefault="004925E6" w:rsidP="00170FAA">
            <w:pPr>
              <w:spacing w:before="80" w:after="80" w:line="200" w:lineRule="exact"/>
              <w:ind w:right="113"/>
              <w:rPr>
                <w:i/>
                <w:sz w:val="16"/>
              </w:rPr>
            </w:pP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105.1</w:t>
            </w:r>
          </w:p>
        </w:tc>
        <w:tc>
          <w:tcPr>
            <w:tcW w:w="1984" w:type="dxa"/>
            <w:shd w:val="clear" w:color="auto" w:fill="auto"/>
          </w:tcPr>
          <w:p w:rsidR="004925E6" w:rsidRPr="004925E6" w:rsidRDefault="004925E6" w:rsidP="00170FAA">
            <w:pPr>
              <w:spacing w:before="40" w:after="120"/>
              <w:ind w:right="113"/>
            </w:pPr>
            <w:r>
              <w:t>Note</w:t>
            </w:r>
          </w:p>
        </w:tc>
        <w:tc>
          <w:tcPr>
            <w:tcW w:w="5103" w:type="dxa"/>
            <w:shd w:val="clear" w:color="auto" w:fill="auto"/>
          </w:tcPr>
          <w:p w:rsidR="004925E6" w:rsidRPr="00170FAA" w:rsidRDefault="004925E6" w:rsidP="00170FAA">
            <w:pPr>
              <w:spacing w:before="40" w:after="120"/>
              <w:ind w:right="113"/>
              <w:rPr>
                <w:lang w:val="en-US"/>
              </w:rPr>
            </w:pPr>
            <w:r w:rsidRPr="00170FAA">
              <w:rPr>
                <w:i/>
                <w:iCs/>
                <w:lang w:val="en-US"/>
              </w:rPr>
              <w:t xml:space="preserve">De facto </w:t>
            </w:r>
            <w:r w:rsidRPr="00170FAA">
              <w:rPr>
                <w:lang w:val="en-US"/>
              </w:rPr>
              <w:t>moratorium exists; The Bahamas' current position on the death penalty is that it continues to recognize its lawfulness, on a discretionary basis and subject to conditions laid down in case law, as a punishment for the crimes of murder and treason.</w:t>
            </w:r>
          </w:p>
          <w:p w:rsidR="004925E6" w:rsidRPr="004925E6" w:rsidRDefault="004925E6" w:rsidP="00170FAA">
            <w:pPr>
              <w:spacing w:before="40" w:after="120"/>
              <w:ind w:right="113"/>
            </w:pPr>
            <w:r w:rsidRPr="00170FAA">
              <w:rPr>
                <w:lang w:val="en-US"/>
              </w:rPr>
              <w:t>Additionally, it is worth mentioning that the last mandated execution took place seventeen years ago, even in the absence of a formal moratorium.</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105.2</w:t>
            </w:r>
          </w:p>
        </w:tc>
        <w:tc>
          <w:tcPr>
            <w:tcW w:w="1984" w:type="dxa"/>
            <w:shd w:val="clear" w:color="auto" w:fill="auto"/>
          </w:tcPr>
          <w:p w:rsidR="004925E6" w:rsidRPr="004925E6" w:rsidRDefault="004925E6"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105.3</w:t>
            </w:r>
          </w:p>
        </w:tc>
        <w:tc>
          <w:tcPr>
            <w:tcW w:w="1984" w:type="dxa"/>
            <w:shd w:val="clear" w:color="auto" w:fill="auto"/>
          </w:tcPr>
          <w:p w:rsidR="004925E6" w:rsidRPr="004925E6" w:rsidRDefault="004925E6" w:rsidP="00170FAA">
            <w:pPr>
              <w:spacing w:before="40" w:after="120"/>
              <w:ind w:right="113"/>
            </w:pPr>
            <w:r>
              <w:t>Accept</w:t>
            </w:r>
          </w:p>
        </w:tc>
        <w:tc>
          <w:tcPr>
            <w:tcW w:w="5103" w:type="dxa"/>
            <w:shd w:val="clear" w:color="auto" w:fill="auto"/>
          </w:tcPr>
          <w:p w:rsidR="004925E6" w:rsidRPr="004925E6" w:rsidRDefault="004925E6" w:rsidP="00170FAA">
            <w:pPr>
              <w:spacing w:before="40" w:after="120"/>
              <w:ind w:right="113"/>
            </w:pPr>
            <w:r w:rsidRPr="00170FAA">
              <w:rPr>
                <w:lang w:val="en-US"/>
              </w:rPr>
              <w:t>In progress and on-going.</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105.4</w:t>
            </w:r>
          </w:p>
        </w:tc>
        <w:tc>
          <w:tcPr>
            <w:tcW w:w="1984" w:type="dxa"/>
            <w:shd w:val="clear" w:color="auto" w:fill="auto"/>
          </w:tcPr>
          <w:p w:rsidR="004925E6" w:rsidRPr="004925E6" w:rsidRDefault="004925E6"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105.5</w:t>
            </w:r>
          </w:p>
        </w:tc>
        <w:tc>
          <w:tcPr>
            <w:tcW w:w="1984" w:type="dxa"/>
            <w:shd w:val="clear" w:color="auto" w:fill="auto"/>
          </w:tcPr>
          <w:p w:rsidR="004925E6" w:rsidRPr="004925E6" w:rsidRDefault="004925E6"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105.6</w:t>
            </w:r>
          </w:p>
        </w:tc>
        <w:tc>
          <w:tcPr>
            <w:tcW w:w="1984" w:type="dxa"/>
            <w:shd w:val="clear" w:color="auto" w:fill="auto"/>
          </w:tcPr>
          <w:p w:rsidR="004925E6" w:rsidRPr="004925E6" w:rsidRDefault="0069101C" w:rsidP="00170FAA">
            <w:pPr>
              <w:spacing w:before="40" w:after="120"/>
              <w:ind w:right="113"/>
            </w:pPr>
            <w:r>
              <w:t>Note</w:t>
            </w:r>
          </w:p>
        </w:tc>
        <w:tc>
          <w:tcPr>
            <w:tcW w:w="5103" w:type="dxa"/>
            <w:shd w:val="clear" w:color="auto" w:fill="auto"/>
          </w:tcPr>
          <w:p w:rsidR="004925E6" w:rsidRPr="004925E6" w:rsidRDefault="0069101C"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105.7</w:t>
            </w:r>
          </w:p>
        </w:tc>
        <w:tc>
          <w:tcPr>
            <w:tcW w:w="1984" w:type="dxa"/>
            <w:shd w:val="clear" w:color="auto" w:fill="auto"/>
          </w:tcPr>
          <w:p w:rsidR="004925E6" w:rsidRPr="004925E6" w:rsidRDefault="0069101C"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105.8</w:t>
            </w:r>
          </w:p>
        </w:tc>
        <w:tc>
          <w:tcPr>
            <w:tcW w:w="1984" w:type="dxa"/>
            <w:shd w:val="clear" w:color="auto" w:fill="auto"/>
          </w:tcPr>
          <w:p w:rsidR="004925E6" w:rsidRPr="004925E6" w:rsidRDefault="0069101C"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105.9</w:t>
            </w:r>
          </w:p>
        </w:tc>
        <w:tc>
          <w:tcPr>
            <w:tcW w:w="1984" w:type="dxa"/>
            <w:shd w:val="clear" w:color="auto" w:fill="auto"/>
          </w:tcPr>
          <w:p w:rsidR="004925E6" w:rsidRPr="004925E6" w:rsidRDefault="0069101C" w:rsidP="00170FAA">
            <w:pPr>
              <w:spacing w:before="40" w:after="120"/>
              <w:ind w:right="113"/>
            </w:pPr>
            <w:r>
              <w:t>Accept/Note</w:t>
            </w:r>
          </w:p>
        </w:tc>
        <w:tc>
          <w:tcPr>
            <w:tcW w:w="5103" w:type="dxa"/>
            <w:shd w:val="clear" w:color="auto" w:fill="auto"/>
          </w:tcPr>
          <w:p w:rsidR="0069101C" w:rsidRPr="00170FAA" w:rsidRDefault="0069101C" w:rsidP="00491065">
            <w:pPr>
              <w:spacing w:before="40" w:after="120"/>
              <w:ind w:right="113"/>
              <w:rPr>
                <w:lang w:val="en-US"/>
              </w:rPr>
            </w:pPr>
            <w:r w:rsidRPr="00170FAA">
              <w:rPr>
                <w:lang w:val="en-US"/>
              </w:rPr>
              <w:t>The Bahamas ratified the UNCAT on May 2018.</w:t>
            </w:r>
          </w:p>
          <w:p w:rsidR="004925E6" w:rsidRPr="004925E6" w:rsidRDefault="0069101C" w:rsidP="00170FAA">
            <w:pPr>
              <w:spacing w:before="40" w:after="120"/>
              <w:ind w:right="113"/>
            </w:pPr>
            <w:r w:rsidRPr="00170FAA">
              <w:rPr>
                <w:lang w:val="en-US"/>
              </w:rPr>
              <w:t>However, we note the recommendation to ratify its Optional Protocol.</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105.10</w:t>
            </w:r>
          </w:p>
        </w:tc>
        <w:tc>
          <w:tcPr>
            <w:tcW w:w="1984" w:type="dxa"/>
            <w:shd w:val="clear" w:color="auto" w:fill="auto"/>
          </w:tcPr>
          <w:p w:rsidR="004925E6" w:rsidRPr="004925E6" w:rsidRDefault="0069101C"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105.11</w:t>
            </w:r>
          </w:p>
        </w:tc>
        <w:tc>
          <w:tcPr>
            <w:tcW w:w="1984" w:type="dxa"/>
            <w:shd w:val="clear" w:color="auto" w:fill="auto"/>
          </w:tcPr>
          <w:p w:rsidR="004925E6" w:rsidRPr="004925E6" w:rsidRDefault="0069101C" w:rsidP="00170FAA">
            <w:pPr>
              <w:spacing w:before="40" w:after="120"/>
              <w:ind w:right="113"/>
            </w:pPr>
            <w:r>
              <w:t>Accept</w:t>
            </w:r>
          </w:p>
        </w:tc>
        <w:tc>
          <w:tcPr>
            <w:tcW w:w="5103" w:type="dxa"/>
            <w:shd w:val="clear" w:color="auto" w:fill="auto"/>
          </w:tcPr>
          <w:p w:rsidR="004925E6" w:rsidRPr="004925E6" w:rsidRDefault="0069101C" w:rsidP="00170FAA">
            <w:pPr>
              <w:spacing w:before="40" w:after="120"/>
              <w:ind w:right="113"/>
            </w:pPr>
            <w:r w:rsidRPr="00170FAA">
              <w:rPr>
                <w:lang w:val="en-US"/>
              </w:rPr>
              <w:t>Same as 105.3.</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105.12</w:t>
            </w:r>
          </w:p>
        </w:tc>
        <w:tc>
          <w:tcPr>
            <w:tcW w:w="1984" w:type="dxa"/>
            <w:shd w:val="clear" w:color="auto" w:fill="auto"/>
          </w:tcPr>
          <w:p w:rsidR="004925E6" w:rsidRPr="004925E6" w:rsidRDefault="0069101C" w:rsidP="00170FAA">
            <w:pPr>
              <w:spacing w:before="40" w:after="120"/>
              <w:ind w:right="113"/>
            </w:pPr>
            <w:r w:rsidRPr="0069101C">
              <w:t>Accept/Note</w:t>
            </w:r>
          </w:p>
        </w:tc>
        <w:tc>
          <w:tcPr>
            <w:tcW w:w="5103" w:type="dxa"/>
            <w:shd w:val="clear" w:color="auto" w:fill="auto"/>
          </w:tcPr>
          <w:p w:rsidR="004925E6" w:rsidRPr="004925E6" w:rsidRDefault="0069101C" w:rsidP="00170FAA">
            <w:pPr>
              <w:spacing w:before="40" w:after="120"/>
              <w:ind w:right="113"/>
            </w:pPr>
            <w:r w:rsidRPr="00170FAA">
              <w:rPr>
                <w:lang w:val="en-US"/>
              </w:rPr>
              <w:t>Same as 105.9.</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105.13</w:t>
            </w:r>
          </w:p>
        </w:tc>
        <w:tc>
          <w:tcPr>
            <w:tcW w:w="1984" w:type="dxa"/>
            <w:shd w:val="clear" w:color="auto" w:fill="auto"/>
          </w:tcPr>
          <w:p w:rsidR="004925E6" w:rsidRPr="004925E6" w:rsidRDefault="0069101C" w:rsidP="00170FAA">
            <w:pPr>
              <w:spacing w:before="40" w:after="120"/>
              <w:ind w:right="113"/>
            </w:pPr>
            <w:r w:rsidRPr="0069101C">
              <w:t>Accept</w:t>
            </w:r>
          </w:p>
        </w:tc>
        <w:tc>
          <w:tcPr>
            <w:tcW w:w="5103" w:type="dxa"/>
            <w:shd w:val="clear" w:color="auto" w:fill="auto"/>
          </w:tcPr>
          <w:p w:rsidR="004925E6" w:rsidRPr="004925E6" w:rsidRDefault="0069101C" w:rsidP="00170FAA">
            <w:pPr>
              <w:spacing w:before="40" w:after="120"/>
              <w:ind w:right="113"/>
            </w:pPr>
            <w:r w:rsidRPr="00170FAA">
              <w:rPr>
                <w:lang w:val="en-US"/>
              </w:rPr>
              <w:t>Same as 105.9.</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lastRenderedPageBreak/>
              <w:t>105.14</w:t>
            </w:r>
          </w:p>
        </w:tc>
        <w:tc>
          <w:tcPr>
            <w:tcW w:w="1984" w:type="dxa"/>
            <w:shd w:val="clear" w:color="auto" w:fill="auto"/>
          </w:tcPr>
          <w:p w:rsidR="004925E6" w:rsidRPr="004925E6" w:rsidRDefault="0069101C" w:rsidP="00170FAA">
            <w:pPr>
              <w:spacing w:before="40" w:after="120"/>
              <w:ind w:right="113"/>
            </w:pPr>
            <w:r w:rsidRPr="0069101C">
              <w:t>Accept/Note</w:t>
            </w:r>
          </w:p>
        </w:tc>
        <w:tc>
          <w:tcPr>
            <w:tcW w:w="5103" w:type="dxa"/>
            <w:shd w:val="clear" w:color="auto" w:fill="auto"/>
          </w:tcPr>
          <w:p w:rsidR="0069101C" w:rsidRPr="00170FAA" w:rsidRDefault="0069101C" w:rsidP="00170FAA">
            <w:pPr>
              <w:spacing w:before="40" w:after="120"/>
              <w:ind w:right="113"/>
              <w:rPr>
                <w:lang w:val="en-US"/>
              </w:rPr>
            </w:pPr>
            <w:r w:rsidRPr="00170FAA">
              <w:rPr>
                <w:lang w:val="en-US"/>
              </w:rPr>
              <w:t>The Bahamas accepts the recommendation to ratify the UNCAT and is currently in the process of depositing the instrument of ratification.</w:t>
            </w:r>
          </w:p>
          <w:p w:rsidR="004925E6" w:rsidRPr="004925E6" w:rsidRDefault="0069101C" w:rsidP="00170FAA">
            <w:pPr>
              <w:spacing w:before="40" w:after="120"/>
              <w:ind w:right="113"/>
            </w:pPr>
            <w:r w:rsidRPr="00170FAA">
              <w:rPr>
                <w:lang w:val="en-US"/>
              </w:rPr>
              <w:t xml:space="preserve">However, we note the recommendation to ratify the International Convention on the Protection of the Rights of </w:t>
            </w:r>
            <w:r w:rsidR="00491065">
              <w:rPr>
                <w:lang w:val="en-US"/>
              </w:rPr>
              <w:t xml:space="preserve">All </w:t>
            </w:r>
            <w:r w:rsidRPr="00170FAA">
              <w:rPr>
                <w:lang w:val="en-US"/>
              </w:rPr>
              <w:t>Migrant Workers and Members of Their Families, which is currently under review.</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105.15</w:t>
            </w:r>
          </w:p>
        </w:tc>
        <w:tc>
          <w:tcPr>
            <w:tcW w:w="1984" w:type="dxa"/>
            <w:shd w:val="clear" w:color="auto" w:fill="auto"/>
          </w:tcPr>
          <w:p w:rsidR="004925E6" w:rsidRPr="004925E6" w:rsidRDefault="0069101C" w:rsidP="00170FAA">
            <w:pPr>
              <w:spacing w:before="40" w:after="120"/>
              <w:ind w:right="113"/>
            </w:pPr>
            <w:r w:rsidRPr="0069101C">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105.16</w:t>
            </w:r>
          </w:p>
        </w:tc>
        <w:tc>
          <w:tcPr>
            <w:tcW w:w="1984" w:type="dxa"/>
            <w:shd w:val="clear" w:color="auto" w:fill="auto"/>
          </w:tcPr>
          <w:p w:rsidR="004925E6" w:rsidRPr="004925E6" w:rsidRDefault="0069101C" w:rsidP="00170FAA">
            <w:pPr>
              <w:spacing w:before="40" w:after="120"/>
              <w:ind w:right="113"/>
            </w:pPr>
            <w:r w:rsidRPr="0069101C">
              <w:t>Accept/Note</w:t>
            </w:r>
          </w:p>
        </w:tc>
        <w:tc>
          <w:tcPr>
            <w:tcW w:w="5103" w:type="dxa"/>
            <w:shd w:val="clear" w:color="auto" w:fill="auto"/>
          </w:tcPr>
          <w:p w:rsidR="0069101C" w:rsidRPr="00170FAA" w:rsidRDefault="0069101C" w:rsidP="00491065">
            <w:pPr>
              <w:spacing w:before="40" w:after="120"/>
              <w:ind w:right="113"/>
              <w:rPr>
                <w:lang w:val="en-US"/>
              </w:rPr>
            </w:pPr>
            <w:r w:rsidRPr="00170FAA">
              <w:rPr>
                <w:lang w:val="en-US"/>
              </w:rPr>
              <w:t>UNCAT ratified May 2018.</w:t>
            </w:r>
          </w:p>
          <w:p w:rsidR="004925E6" w:rsidRPr="004925E6" w:rsidRDefault="0069101C" w:rsidP="00170FAA">
            <w:pPr>
              <w:spacing w:before="40" w:after="120"/>
              <w:ind w:right="113"/>
            </w:pPr>
            <w:r w:rsidRPr="00170FAA">
              <w:rPr>
                <w:lang w:val="en-US"/>
              </w:rPr>
              <w:t>However, we note the recommendation to accede to the Rome Statute.</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105.17</w:t>
            </w:r>
          </w:p>
        </w:tc>
        <w:tc>
          <w:tcPr>
            <w:tcW w:w="1984" w:type="dxa"/>
            <w:shd w:val="clear" w:color="auto" w:fill="auto"/>
          </w:tcPr>
          <w:p w:rsidR="004925E6" w:rsidRPr="004925E6" w:rsidRDefault="0069101C" w:rsidP="00170FAA">
            <w:pPr>
              <w:spacing w:before="40" w:after="120"/>
              <w:ind w:right="113"/>
            </w:pPr>
            <w:r w:rsidRPr="0069101C">
              <w:t>Accept</w:t>
            </w:r>
          </w:p>
        </w:tc>
        <w:tc>
          <w:tcPr>
            <w:tcW w:w="5103" w:type="dxa"/>
            <w:shd w:val="clear" w:color="auto" w:fill="auto"/>
          </w:tcPr>
          <w:p w:rsidR="004925E6" w:rsidRPr="004925E6" w:rsidRDefault="0069101C" w:rsidP="00170FAA">
            <w:pPr>
              <w:spacing w:before="40" w:after="120"/>
              <w:ind w:right="113"/>
            </w:pPr>
            <w:r w:rsidRPr="00170FAA">
              <w:rPr>
                <w:lang w:val="en-US"/>
              </w:rPr>
              <w:t>Same as 105.3.</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105.18</w:t>
            </w:r>
          </w:p>
        </w:tc>
        <w:tc>
          <w:tcPr>
            <w:tcW w:w="1984" w:type="dxa"/>
            <w:shd w:val="clear" w:color="auto" w:fill="auto"/>
          </w:tcPr>
          <w:p w:rsidR="004925E6" w:rsidRPr="004925E6" w:rsidRDefault="0069101C"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105.19</w:t>
            </w:r>
          </w:p>
        </w:tc>
        <w:tc>
          <w:tcPr>
            <w:tcW w:w="1984" w:type="dxa"/>
            <w:shd w:val="clear" w:color="auto" w:fill="auto"/>
          </w:tcPr>
          <w:p w:rsidR="004925E6" w:rsidRPr="004925E6" w:rsidRDefault="0069101C" w:rsidP="00170FAA">
            <w:pPr>
              <w:spacing w:before="40" w:after="120"/>
              <w:ind w:right="113"/>
            </w:pPr>
            <w:r w:rsidRPr="0069101C">
              <w:t>Accept</w:t>
            </w:r>
          </w:p>
        </w:tc>
        <w:tc>
          <w:tcPr>
            <w:tcW w:w="5103" w:type="dxa"/>
            <w:shd w:val="clear" w:color="auto" w:fill="auto"/>
          </w:tcPr>
          <w:p w:rsidR="004925E6" w:rsidRPr="004925E6" w:rsidRDefault="0069101C" w:rsidP="00491065">
            <w:pPr>
              <w:spacing w:before="40" w:after="120"/>
              <w:ind w:right="113"/>
            </w:pPr>
            <w:r w:rsidRPr="00170FAA">
              <w:rPr>
                <w:lang w:val="en-US"/>
              </w:rPr>
              <w:t>The Bahamas ratified the Optional Protocol to the Convention on the Rights of the Child on the sale of children, child prostitution and the use of children in pornography on 28</w:t>
            </w:r>
            <w:r w:rsidRPr="00170FAA">
              <w:rPr>
                <w:vertAlign w:val="superscript"/>
                <w:lang w:val="en-US"/>
              </w:rPr>
              <w:t>th</w:t>
            </w:r>
            <w:r w:rsidRPr="00170FAA">
              <w:rPr>
                <w:lang w:val="en-US"/>
              </w:rPr>
              <w:t xml:space="preserve"> September 2015.</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105.20</w:t>
            </w:r>
          </w:p>
        </w:tc>
        <w:tc>
          <w:tcPr>
            <w:tcW w:w="1984" w:type="dxa"/>
            <w:shd w:val="clear" w:color="auto" w:fill="auto"/>
          </w:tcPr>
          <w:p w:rsidR="004925E6" w:rsidRPr="004925E6" w:rsidRDefault="0069101C" w:rsidP="00170FAA">
            <w:pPr>
              <w:spacing w:before="40" w:after="120"/>
              <w:ind w:right="113"/>
            </w:pPr>
            <w:r>
              <w:t>Note</w:t>
            </w:r>
          </w:p>
        </w:tc>
        <w:tc>
          <w:tcPr>
            <w:tcW w:w="5103" w:type="dxa"/>
            <w:shd w:val="clear" w:color="auto" w:fill="auto"/>
          </w:tcPr>
          <w:p w:rsidR="004925E6" w:rsidRPr="004925E6" w:rsidRDefault="0069101C" w:rsidP="00170FAA">
            <w:pPr>
              <w:spacing w:before="40" w:after="120"/>
              <w:ind w:right="113"/>
            </w:pPr>
            <w:r w:rsidRPr="00170FAA">
              <w:rPr>
                <w:lang w:val="en-US"/>
              </w:rPr>
              <w:t>Currently under review.</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105.21</w:t>
            </w:r>
          </w:p>
        </w:tc>
        <w:tc>
          <w:tcPr>
            <w:tcW w:w="1984" w:type="dxa"/>
            <w:shd w:val="clear" w:color="auto" w:fill="auto"/>
          </w:tcPr>
          <w:p w:rsidR="004925E6" w:rsidRPr="004925E6" w:rsidRDefault="0069101C" w:rsidP="00170FAA">
            <w:pPr>
              <w:spacing w:before="40" w:after="120"/>
              <w:ind w:right="113"/>
            </w:pPr>
            <w:r w:rsidRPr="0069101C">
              <w:t>Note</w:t>
            </w:r>
          </w:p>
        </w:tc>
        <w:tc>
          <w:tcPr>
            <w:tcW w:w="5103" w:type="dxa"/>
            <w:shd w:val="clear" w:color="auto" w:fill="auto"/>
          </w:tcPr>
          <w:p w:rsidR="004925E6" w:rsidRPr="004925E6" w:rsidRDefault="0069101C" w:rsidP="00170FAA">
            <w:pPr>
              <w:spacing w:before="40" w:after="120"/>
              <w:ind w:right="113"/>
            </w:pPr>
            <w:r w:rsidRPr="00170FAA">
              <w:rPr>
                <w:lang w:val="en-US"/>
              </w:rPr>
              <w:t>Currently under review.</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105.22</w:t>
            </w:r>
          </w:p>
        </w:tc>
        <w:tc>
          <w:tcPr>
            <w:tcW w:w="1984" w:type="dxa"/>
            <w:shd w:val="clear" w:color="auto" w:fill="auto"/>
          </w:tcPr>
          <w:p w:rsidR="004925E6" w:rsidRPr="004925E6" w:rsidRDefault="0069101C" w:rsidP="00170FAA">
            <w:pPr>
              <w:spacing w:before="40" w:after="120"/>
              <w:ind w:right="113"/>
            </w:pPr>
            <w:r>
              <w:t>Note/Accept</w:t>
            </w:r>
          </w:p>
        </w:tc>
        <w:tc>
          <w:tcPr>
            <w:tcW w:w="5103" w:type="dxa"/>
            <w:shd w:val="clear" w:color="auto" w:fill="auto"/>
          </w:tcPr>
          <w:p w:rsidR="0069101C" w:rsidRPr="00170FAA" w:rsidRDefault="0069101C" w:rsidP="00491065">
            <w:pPr>
              <w:spacing w:before="40" w:after="120"/>
              <w:ind w:right="113"/>
              <w:rPr>
                <w:lang w:val="en-US"/>
              </w:rPr>
            </w:pPr>
            <w:r w:rsidRPr="00170FAA">
              <w:rPr>
                <w:lang w:val="en-US"/>
              </w:rPr>
              <w:t xml:space="preserve">The Bahamas notes the recommendation to ratify the International Convention for the Protection of All Persons from </w:t>
            </w:r>
            <w:r w:rsidR="00491065">
              <w:rPr>
                <w:lang w:val="en-US"/>
              </w:rPr>
              <w:t>E</w:t>
            </w:r>
            <w:r w:rsidRPr="00170FAA">
              <w:rPr>
                <w:lang w:val="en-US"/>
              </w:rPr>
              <w:t>nforced Disappearance, which is currently under review.</w:t>
            </w:r>
          </w:p>
          <w:p w:rsidR="004925E6" w:rsidRPr="004925E6" w:rsidRDefault="0069101C" w:rsidP="00491065">
            <w:pPr>
              <w:spacing w:before="40" w:after="120"/>
              <w:ind w:right="113"/>
            </w:pPr>
            <w:r w:rsidRPr="00170FAA">
              <w:rPr>
                <w:lang w:val="en-US"/>
              </w:rPr>
              <w:t>The Bahamas ratified the UNCAT May 2018.</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105.23</w:t>
            </w:r>
          </w:p>
        </w:tc>
        <w:tc>
          <w:tcPr>
            <w:tcW w:w="1984" w:type="dxa"/>
            <w:shd w:val="clear" w:color="auto" w:fill="auto"/>
          </w:tcPr>
          <w:p w:rsidR="004925E6" w:rsidRPr="004925E6" w:rsidRDefault="0069101C" w:rsidP="00170FAA">
            <w:pPr>
              <w:spacing w:before="40" w:after="120"/>
              <w:ind w:right="113"/>
            </w:pPr>
            <w:r w:rsidRPr="0069101C">
              <w:t>Note</w:t>
            </w:r>
          </w:p>
        </w:tc>
        <w:tc>
          <w:tcPr>
            <w:tcW w:w="5103" w:type="dxa"/>
            <w:shd w:val="clear" w:color="auto" w:fill="auto"/>
          </w:tcPr>
          <w:p w:rsidR="004925E6" w:rsidRPr="004925E6" w:rsidRDefault="0069101C" w:rsidP="00170FAA">
            <w:pPr>
              <w:spacing w:before="40" w:after="120"/>
              <w:ind w:right="113"/>
            </w:pPr>
            <w:r w:rsidRPr="00170FAA">
              <w:rPr>
                <w:lang w:val="en-US"/>
              </w:rPr>
              <w:t>Same as 105.21.</w:t>
            </w: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105.24</w:t>
            </w:r>
          </w:p>
        </w:tc>
        <w:tc>
          <w:tcPr>
            <w:tcW w:w="1984" w:type="dxa"/>
            <w:shd w:val="clear" w:color="auto" w:fill="auto"/>
          </w:tcPr>
          <w:p w:rsidR="004925E6" w:rsidRPr="004925E6" w:rsidRDefault="0069101C" w:rsidP="00170FAA">
            <w:pPr>
              <w:spacing w:before="40" w:after="120"/>
              <w:ind w:right="113"/>
            </w:pPr>
            <w:r w:rsidRPr="0069101C">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4925E6" w:rsidP="00170FAA">
            <w:pPr>
              <w:spacing w:before="40" w:after="120"/>
              <w:ind w:right="113"/>
            </w:pPr>
            <w:r>
              <w:t>105.25</w:t>
            </w:r>
          </w:p>
        </w:tc>
        <w:tc>
          <w:tcPr>
            <w:tcW w:w="1984" w:type="dxa"/>
            <w:shd w:val="clear" w:color="auto" w:fill="auto"/>
          </w:tcPr>
          <w:p w:rsidR="004925E6" w:rsidRPr="004925E6" w:rsidRDefault="0069101C" w:rsidP="00170FAA">
            <w:pPr>
              <w:spacing w:before="40" w:after="120"/>
              <w:ind w:right="113"/>
            </w:pPr>
            <w:r w:rsidRPr="0069101C">
              <w:t>Note</w:t>
            </w:r>
          </w:p>
        </w:tc>
        <w:tc>
          <w:tcPr>
            <w:tcW w:w="5103" w:type="dxa"/>
            <w:shd w:val="clear" w:color="auto" w:fill="auto"/>
          </w:tcPr>
          <w:p w:rsidR="004925E6" w:rsidRPr="004925E6" w:rsidRDefault="0069101C" w:rsidP="00170FAA">
            <w:pPr>
              <w:spacing w:before="40" w:after="120"/>
              <w:ind w:right="113"/>
            </w:pPr>
            <w:r w:rsidRPr="00170FAA">
              <w:rPr>
                <w:lang w:val="en-US"/>
              </w:rPr>
              <w:t>Currently under review.</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105.26</w:t>
            </w:r>
          </w:p>
        </w:tc>
        <w:tc>
          <w:tcPr>
            <w:tcW w:w="1984" w:type="dxa"/>
            <w:shd w:val="clear" w:color="auto" w:fill="auto"/>
          </w:tcPr>
          <w:p w:rsidR="004925E6" w:rsidRPr="004925E6" w:rsidRDefault="006D09C8" w:rsidP="00170FAA">
            <w:pPr>
              <w:spacing w:before="40" w:after="120"/>
              <w:ind w:right="113"/>
            </w:pPr>
            <w:r w:rsidRPr="006D09C8">
              <w:t>Note</w:t>
            </w:r>
          </w:p>
        </w:tc>
        <w:tc>
          <w:tcPr>
            <w:tcW w:w="5103" w:type="dxa"/>
            <w:shd w:val="clear" w:color="auto" w:fill="auto"/>
          </w:tcPr>
          <w:p w:rsidR="004925E6" w:rsidRPr="004925E6" w:rsidRDefault="006D09C8" w:rsidP="00170FAA">
            <w:pPr>
              <w:spacing w:before="40" w:after="120"/>
              <w:ind w:right="113"/>
            </w:pPr>
            <w:r w:rsidRPr="00170FAA">
              <w:rPr>
                <w:lang w:val="en-US"/>
              </w:rPr>
              <w:t>Same as 105.25.</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lastRenderedPageBreak/>
              <w:t>105.27</w:t>
            </w:r>
          </w:p>
        </w:tc>
        <w:tc>
          <w:tcPr>
            <w:tcW w:w="1984" w:type="dxa"/>
            <w:shd w:val="clear" w:color="auto" w:fill="auto"/>
          </w:tcPr>
          <w:p w:rsidR="004925E6" w:rsidRPr="004925E6" w:rsidRDefault="006D09C8" w:rsidP="00170FAA">
            <w:pPr>
              <w:spacing w:before="40" w:after="120"/>
              <w:ind w:right="113"/>
            </w:pPr>
            <w:r w:rsidRPr="006D09C8">
              <w:t>Note</w:t>
            </w:r>
          </w:p>
        </w:tc>
        <w:tc>
          <w:tcPr>
            <w:tcW w:w="5103" w:type="dxa"/>
            <w:shd w:val="clear" w:color="auto" w:fill="auto"/>
          </w:tcPr>
          <w:p w:rsidR="004925E6" w:rsidRPr="004925E6" w:rsidRDefault="006D09C8" w:rsidP="00170FAA">
            <w:pPr>
              <w:spacing w:before="40" w:after="120"/>
              <w:ind w:right="113"/>
            </w:pPr>
            <w:r w:rsidRPr="00170FAA">
              <w:rPr>
                <w:lang w:val="en-US"/>
              </w:rPr>
              <w:t>Same as 105.25.</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105.28</w:t>
            </w:r>
          </w:p>
        </w:tc>
        <w:tc>
          <w:tcPr>
            <w:tcW w:w="1984" w:type="dxa"/>
            <w:shd w:val="clear" w:color="auto" w:fill="auto"/>
          </w:tcPr>
          <w:p w:rsidR="004925E6" w:rsidRPr="004925E6" w:rsidRDefault="006D09C8" w:rsidP="00170FAA">
            <w:pPr>
              <w:spacing w:before="40" w:after="120"/>
              <w:ind w:right="113"/>
            </w:pPr>
            <w:r w:rsidRPr="006D09C8">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105.29</w:t>
            </w:r>
          </w:p>
        </w:tc>
        <w:tc>
          <w:tcPr>
            <w:tcW w:w="1984" w:type="dxa"/>
            <w:shd w:val="clear" w:color="auto" w:fill="auto"/>
          </w:tcPr>
          <w:p w:rsidR="004925E6" w:rsidRPr="004925E6" w:rsidRDefault="006D09C8" w:rsidP="00170FAA">
            <w:pPr>
              <w:spacing w:before="40" w:after="120"/>
              <w:ind w:right="113"/>
            </w:pPr>
            <w:r w:rsidRPr="006D09C8">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105.30</w:t>
            </w:r>
          </w:p>
        </w:tc>
        <w:tc>
          <w:tcPr>
            <w:tcW w:w="1984" w:type="dxa"/>
            <w:shd w:val="clear" w:color="auto" w:fill="auto"/>
          </w:tcPr>
          <w:p w:rsidR="004925E6" w:rsidRPr="004925E6" w:rsidRDefault="006D09C8" w:rsidP="00170FAA">
            <w:pPr>
              <w:spacing w:before="40" w:after="120"/>
              <w:ind w:right="113"/>
            </w:pPr>
            <w:r w:rsidRPr="006D09C8">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105.31</w:t>
            </w:r>
          </w:p>
        </w:tc>
        <w:tc>
          <w:tcPr>
            <w:tcW w:w="1984" w:type="dxa"/>
            <w:shd w:val="clear" w:color="auto" w:fill="auto"/>
          </w:tcPr>
          <w:p w:rsidR="004925E6" w:rsidRPr="004925E6" w:rsidRDefault="006D09C8" w:rsidP="00170FAA">
            <w:pPr>
              <w:spacing w:before="40" w:after="120"/>
              <w:ind w:right="113"/>
            </w:pPr>
            <w:r w:rsidRPr="006D09C8">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105.32</w:t>
            </w:r>
          </w:p>
        </w:tc>
        <w:tc>
          <w:tcPr>
            <w:tcW w:w="1984" w:type="dxa"/>
            <w:shd w:val="clear" w:color="auto" w:fill="auto"/>
          </w:tcPr>
          <w:p w:rsidR="004925E6" w:rsidRPr="004925E6" w:rsidRDefault="006D09C8" w:rsidP="00170FAA">
            <w:pPr>
              <w:spacing w:before="40" w:after="120"/>
              <w:ind w:right="113"/>
            </w:pPr>
            <w:r w:rsidRPr="006D09C8">
              <w:t>Note</w:t>
            </w:r>
          </w:p>
        </w:tc>
        <w:tc>
          <w:tcPr>
            <w:tcW w:w="5103" w:type="dxa"/>
            <w:shd w:val="clear" w:color="auto" w:fill="auto"/>
          </w:tcPr>
          <w:p w:rsidR="004925E6" w:rsidRPr="004925E6" w:rsidRDefault="006D09C8"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105.33</w:t>
            </w:r>
          </w:p>
        </w:tc>
        <w:tc>
          <w:tcPr>
            <w:tcW w:w="1984" w:type="dxa"/>
            <w:shd w:val="clear" w:color="auto" w:fill="auto"/>
          </w:tcPr>
          <w:p w:rsidR="004925E6" w:rsidRPr="004925E6" w:rsidRDefault="006D09C8" w:rsidP="00170FAA">
            <w:pPr>
              <w:spacing w:before="40" w:after="120"/>
              <w:ind w:right="113"/>
            </w:pPr>
            <w:r w:rsidRPr="006D09C8">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105.34</w:t>
            </w:r>
          </w:p>
        </w:tc>
        <w:tc>
          <w:tcPr>
            <w:tcW w:w="1984" w:type="dxa"/>
            <w:shd w:val="clear" w:color="auto" w:fill="auto"/>
          </w:tcPr>
          <w:p w:rsidR="004925E6" w:rsidRPr="004925E6" w:rsidRDefault="006D09C8" w:rsidP="00170FAA">
            <w:pPr>
              <w:spacing w:before="40" w:after="120"/>
              <w:ind w:right="113"/>
            </w:pPr>
            <w:r w:rsidRPr="006D09C8">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105.35</w:t>
            </w:r>
          </w:p>
        </w:tc>
        <w:tc>
          <w:tcPr>
            <w:tcW w:w="1984" w:type="dxa"/>
            <w:shd w:val="clear" w:color="auto" w:fill="auto"/>
          </w:tcPr>
          <w:p w:rsidR="004925E6" w:rsidRPr="004925E6" w:rsidRDefault="006D09C8" w:rsidP="00170FAA">
            <w:pPr>
              <w:spacing w:before="40" w:after="120"/>
              <w:ind w:right="113"/>
            </w:pPr>
            <w:r w:rsidRPr="006D09C8">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105.36</w:t>
            </w:r>
          </w:p>
        </w:tc>
        <w:tc>
          <w:tcPr>
            <w:tcW w:w="1984" w:type="dxa"/>
            <w:shd w:val="clear" w:color="auto" w:fill="auto"/>
          </w:tcPr>
          <w:p w:rsidR="004925E6" w:rsidRPr="004925E6" w:rsidRDefault="006D09C8" w:rsidP="00170FAA">
            <w:pPr>
              <w:spacing w:before="40" w:after="120"/>
              <w:ind w:right="113"/>
            </w:pPr>
            <w:r w:rsidRPr="006D09C8">
              <w:t>Accept</w:t>
            </w:r>
          </w:p>
        </w:tc>
        <w:tc>
          <w:tcPr>
            <w:tcW w:w="5103" w:type="dxa"/>
            <w:shd w:val="clear" w:color="auto" w:fill="auto"/>
          </w:tcPr>
          <w:p w:rsidR="006D09C8" w:rsidRPr="00170FAA" w:rsidRDefault="006D09C8" w:rsidP="00491065">
            <w:pPr>
              <w:spacing w:before="40" w:after="120"/>
              <w:ind w:right="113"/>
              <w:rPr>
                <w:lang w:val="en-US"/>
              </w:rPr>
            </w:pPr>
            <w:r w:rsidRPr="00170FAA">
              <w:rPr>
                <w:lang w:val="en-US"/>
              </w:rPr>
              <w:t>The Bahamas issued an open Standing Invitation to the Human Rights Council Special Procedures in 6</w:t>
            </w:r>
            <w:r w:rsidRPr="00170FAA">
              <w:rPr>
                <w:vertAlign w:val="superscript"/>
                <w:lang w:val="en-US"/>
              </w:rPr>
              <w:t>th</w:t>
            </w:r>
            <w:r w:rsidRPr="00170FAA">
              <w:rPr>
                <w:lang w:val="en-US"/>
              </w:rPr>
              <w:t xml:space="preserve"> June 2013.</w:t>
            </w:r>
          </w:p>
          <w:p w:rsidR="004925E6" w:rsidRPr="004925E6" w:rsidRDefault="006D09C8" w:rsidP="00491065">
            <w:pPr>
              <w:spacing w:before="40" w:after="120"/>
              <w:ind w:right="113"/>
            </w:pPr>
            <w:r w:rsidRPr="00170FAA">
              <w:rPr>
                <w:lang w:val="en-US"/>
              </w:rPr>
              <w:t xml:space="preserve">The Special Rapporteur on Trafficking visited </w:t>
            </w:r>
            <w:r w:rsidR="00491065">
              <w:rPr>
                <w:lang w:val="en-US"/>
              </w:rPr>
              <w:t>t</w:t>
            </w:r>
            <w:r w:rsidRPr="00170FAA">
              <w:rPr>
                <w:lang w:val="en-US"/>
              </w:rPr>
              <w:t>he Bahamas in 2013 and the Special Rapporteur on Violence Against Women visited in 2017.</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105.37</w:t>
            </w:r>
          </w:p>
        </w:tc>
        <w:tc>
          <w:tcPr>
            <w:tcW w:w="1984" w:type="dxa"/>
            <w:shd w:val="clear" w:color="auto" w:fill="auto"/>
          </w:tcPr>
          <w:p w:rsidR="004925E6" w:rsidRPr="004925E6" w:rsidRDefault="006D09C8" w:rsidP="00170FAA">
            <w:pPr>
              <w:spacing w:before="40" w:after="120"/>
              <w:ind w:right="113"/>
            </w:pPr>
            <w:r w:rsidRPr="006D09C8">
              <w:t>Accept</w:t>
            </w:r>
          </w:p>
        </w:tc>
        <w:tc>
          <w:tcPr>
            <w:tcW w:w="5103" w:type="dxa"/>
            <w:shd w:val="clear" w:color="auto" w:fill="auto"/>
          </w:tcPr>
          <w:p w:rsidR="004925E6" w:rsidRPr="004925E6" w:rsidRDefault="006D09C8" w:rsidP="00170FAA">
            <w:pPr>
              <w:spacing w:before="40" w:after="120"/>
              <w:ind w:right="113"/>
            </w:pPr>
            <w:r w:rsidRPr="00170FAA">
              <w:rPr>
                <w:lang w:val="en-US"/>
              </w:rPr>
              <w:t>Same as 105.36.</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105.38</w:t>
            </w:r>
          </w:p>
        </w:tc>
        <w:tc>
          <w:tcPr>
            <w:tcW w:w="1984" w:type="dxa"/>
            <w:shd w:val="clear" w:color="auto" w:fill="auto"/>
          </w:tcPr>
          <w:p w:rsidR="004925E6" w:rsidRPr="004925E6" w:rsidRDefault="006D09C8" w:rsidP="00170FAA">
            <w:pPr>
              <w:spacing w:before="40" w:after="120"/>
              <w:ind w:right="113"/>
            </w:pPr>
            <w:r w:rsidRPr="006D09C8">
              <w:t>Accept</w:t>
            </w:r>
          </w:p>
        </w:tc>
        <w:tc>
          <w:tcPr>
            <w:tcW w:w="5103" w:type="dxa"/>
            <w:shd w:val="clear" w:color="auto" w:fill="auto"/>
          </w:tcPr>
          <w:p w:rsidR="004925E6" w:rsidRPr="004925E6" w:rsidRDefault="006D09C8" w:rsidP="00491065">
            <w:pPr>
              <w:spacing w:before="40" w:after="120"/>
              <w:ind w:right="113"/>
            </w:pPr>
            <w:r w:rsidRPr="00170FAA">
              <w:rPr>
                <w:lang w:val="en-US"/>
              </w:rPr>
              <w:t xml:space="preserve">The Government of </w:t>
            </w:r>
            <w:r w:rsidR="00491065">
              <w:rPr>
                <w:lang w:val="en-US"/>
              </w:rPr>
              <w:t>t</w:t>
            </w:r>
            <w:r w:rsidRPr="00170FAA">
              <w:rPr>
                <w:lang w:val="en-US"/>
              </w:rPr>
              <w:t>he Bahamas maintains that it has taken an open, merit-based approach when selecting national candidates for UN Treaty Body elections.</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105.39</w:t>
            </w:r>
          </w:p>
        </w:tc>
        <w:tc>
          <w:tcPr>
            <w:tcW w:w="1984" w:type="dxa"/>
            <w:shd w:val="clear" w:color="auto" w:fill="auto"/>
          </w:tcPr>
          <w:p w:rsidR="004925E6" w:rsidRPr="004925E6" w:rsidRDefault="006D09C8" w:rsidP="00170FAA">
            <w:pPr>
              <w:spacing w:before="40" w:after="120"/>
              <w:ind w:right="113"/>
            </w:pPr>
            <w:r w:rsidRPr="006D09C8">
              <w:t>Accept</w:t>
            </w:r>
          </w:p>
        </w:tc>
        <w:tc>
          <w:tcPr>
            <w:tcW w:w="5103" w:type="dxa"/>
            <w:shd w:val="clear" w:color="auto" w:fill="auto"/>
          </w:tcPr>
          <w:p w:rsidR="004925E6" w:rsidRPr="004925E6" w:rsidRDefault="006D09C8" w:rsidP="00491065">
            <w:pPr>
              <w:spacing w:before="40" w:after="120"/>
              <w:ind w:right="113"/>
            </w:pPr>
            <w:r w:rsidRPr="00170FAA">
              <w:rPr>
                <w:lang w:val="en-US"/>
              </w:rPr>
              <w:t>The Ombudsman Bill, 2017 was laid before Parliament on 23</w:t>
            </w:r>
            <w:r w:rsidRPr="00170FAA">
              <w:rPr>
                <w:vertAlign w:val="superscript"/>
                <w:lang w:val="en-US"/>
              </w:rPr>
              <w:t>rd</w:t>
            </w:r>
            <w:r w:rsidRPr="00170FAA">
              <w:rPr>
                <w:lang w:val="en-US"/>
              </w:rPr>
              <w:t xml:space="preserve"> October 2017. The Bill is currently under review to ensure that it is in compliance with the Paris Principles.</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105.40</w:t>
            </w:r>
          </w:p>
        </w:tc>
        <w:tc>
          <w:tcPr>
            <w:tcW w:w="1984" w:type="dxa"/>
            <w:shd w:val="clear" w:color="auto" w:fill="auto"/>
          </w:tcPr>
          <w:p w:rsidR="004925E6" w:rsidRPr="004925E6" w:rsidRDefault="006D09C8" w:rsidP="00170FAA">
            <w:pPr>
              <w:spacing w:before="40" w:after="120"/>
              <w:ind w:right="113"/>
            </w:pPr>
            <w:r w:rsidRPr="006D09C8">
              <w:t>Accept</w:t>
            </w:r>
          </w:p>
        </w:tc>
        <w:tc>
          <w:tcPr>
            <w:tcW w:w="5103" w:type="dxa"/>
            <w:shd w:val="clear" w:color="auto" w:fill="auto"/>
          </w:tcPr>
          <w:p w:rsidR="004925E6" w:rsidRPr="004925E6" w:rsidRDefault="006D09C8" w:rsidP="00170FAA">
            <w:pPr>
              <w:spacing w:before="40" w:after="120"/>
              <w:ind w:right="113"/>
            </w:pPr>
            <w:r w:rsidRPr="00170FAA">
              <w:rPr>
                <w:lang w:val="en-US"/>
              </w:rPr>
              <w:t>Same as 105.39.</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105.41</w:t>
            </w:r>
          </w:p>
        </w:tc>
        <w:tc>
          <w:tcPr>
            <w:tcW w:w="1984" w:type="dxa"/>
            <w:shd w:val="clear" w:color="auto" w:fill="auto"/>
          </w:tcPr>
          <w:p w:rsidR="004925E6" w:rsidRPr="004925E6" w:rsidRDefault="006D09C8" w:rsidP="00170FAA">
            <w:pPr>
              <w:spacing w:before="40" w:after="120"/>
              <w:ind w:right="113"/>
            </w:pPr>
            <w:r w:rsidRPr="006D09C8">
              <w:t>Accept</w:t>
            </w:r>
          </w:p>
        </w:tc>
        <w:tc>
          <w:tcPr>
            <w:tcW w:w="5103" w:type="dxa"/>
            <w:shd w:val="clear" w:color="auto" w:fill="auto"/>
          </w:tcPr>
          <w:p w:rsidR="004925E6" w:rsidRPr="004925E6" w:rsidRDefault="006D09C8" w:rsidP="00170FAA">
            <w:pPr>
              <w:spacing w:before="40" w:after="120"/>
              <w:ind w:right="113"/>
            </w:pPr>
            <w:r w:rsidRPr="00170FAA">
              <w:rPr>
                <w:lang w:val="en-US"/>
              </w:rPr>
              <w:t>Same as 105.39.</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105.42</w:t>
            </w:r>
          </w:p>
        </w:tc>
        <w:tc>
          <w:tcPr>
            <w:tcW w:w="1984" w:type="dxa"/>
            <w:shd w:val="clear" w:color="auto" w:fill="auto"/>
          </w:tcPr>
          <w:p w:rsidR="004925E6" w:rsidRPr="004925E6" w:rsidRDefault="006D09C8" w:rsidP="00170FAA">
            <w:pPr>
              <w:spacing w:before="40" w:after="120"/>
              <w:ind w:right="113"/>
            </w:pPr>
            <w:r w:rsidRPr="006D09C8">
              <w:t>Accept</w:t>
            </w:r>
          </w:p>
        </w:tc>
        <w:tc>
          <w:tcPr>
            <w:tcW w:w="5103" w:type="dxa"/>
            <w:shd w:val="clear" w:color="auto" w:fill="auto"/>
          </w:tcPr>
          <w:p w:rsidR="004925E6" w:rsidRPr="004925E6" w:rsidRDefault="006D09C8" w:rsidP="00170FAA">
            <w:pPr>
              <w:spacing w:before="40" w:after="120"/>
              <w:ind w:right="113"/>
            </w:pPr>
            <w:r w:rsidRPr="00170FAA">
              <w:rPr>
                <w:lang w:val="en-US"/>
              </w:rPr>
              <w:t>Same as 105.39.</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lastRenderedPageBreak/>
              <w:t>105.43</w:t>
            </w:r>
          </w:p>
        </w:tc>
        <w:tc>
          <w:tcPr>
            <w:tcW w:w="1984" w:type="dxa"/>
            <w:shd w:val="clear" w:color="auto" w:fill="auto"/>
          </w:tcPr>
          <w:p w:rsidR="004925E6" w:rsidRPr="004925E6" w:rsidRDefault="00CD0A2B" w:rsidP="00170FAA">
            <w:pPr>
              <w:spacing w:before="40" w:after="120"/>
              <w:ind w:right="113"/>
            </w:pPr>
            <w:r>
              <w:t>Accept/Note</w:t>
            </w:r>
          </w:p>
        </w:tc>
        <w:tc>
          <w:tcPr>
            <w:tcW w:w="5103" w:type="dxa"/>
            <w:shd w:val="clear" w:color="auto" w:fill="auto"/>
          </w:tcPr>
          <w:p w:rsidR="00CD0A2B" w:rsidRPr="00170FAA" w:rsidRDefault="00CD0A2B" w:rsidP="00170FAA">
            <w:pPr>
              <w:spacing w:before="40" w:after="120"/>
              <w:ind w:right="113"/>
              <w:rPr>
                <w:lang w:val="en-US"/>
              </w:rPr>
            </w:pPr>
            <w:r w:rsidRPr="00170FAA">
              <w:rPr>
                <w:lang w:val="en-US"/>
              </w:rPr>
              <w:t>The Bahamas accepts the recommendation to increase efforts to combat discrimination based on gender.</w:t>
            </w:r>
          </w:p>
          <w:p w:rsidR="004925E6" w:rsidRPr="004925E6" w:rsidRDefault="00CD0A2B" w:rsidP="00491065">
            <w:pPr>
              <w:spacing w:before="40" w:after="120"/>
              <w:ind w:right="113"/>
            </w:pPr>
            <w:r w:rsidRPr="00170FAA">
              <w:rPr>
                <w:lang w:val="en-US"/>
              </w:rPr>
              <w:t xml:space="preserve">In relation to the recommendations to combat discrimination based on sexual orientation or gender identity, </w:t>
            </w:r>
            <w:r w:rsidR="00491065">
              <w:rPr>
                <w:lang w:val="en-US"/>
              </w:rPr>
              <w:t>t</w:t>
            </w:r>
            <w:r w:rsidRPr="00170FAA">
              <w:rPr>
                <w:lang w:val="en-US"/>
              </w:rPr>
              <w:t xml:space="preserve">he Bahamas maintains that there is no formal or legal discrimination against persons in </w:t>
            </w:r>
            <w:r w:rsidR="00491065">
              <w:rPr>
                <w:lang w:val="en-US"/>
              </w:rPr>
              <w:t>t</w:t>
            </w:r>
            <w:r w:rsidRPr="00170FAA">
              <w:rPr>
                <w:lang w:val="en-US"/>
              </w:rPr>
              <w:t xml:space="preserve">he Bahamas based on sexual orientation or gender identity. Neither have there been any formally reported case where anyone has alleged discrimination on the basis of sexual orientation or gender identity. It should be noted that </w:t>
            </w:r>
            <w:r w:rsidR="00491065">
              <w:rPr>
                <w:lang w:val="en-US"/>
              </w:rPr>
              <w:t>t</w:t>
            </w:r>
            <w:r w:rsidRPr="00170FAA">
              <w:rPr>
                <w:lang w:val="en-US"/>
              </w:rPr>
              <w:t>he Bahamas is generally supportive of efforts to combat all forms of discrimination against persons and to promote tolerance.</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105.44</w:t>
            </w:r>
          </w:p>
        </w:tc>
        <w:tc>
          <w:tcPr>
            <w:tcW w:w="1984" w:type="dxa"/>
            <w:shd w:val="clear" w:color="auto" w:fill="auto"/>
          </w:tcPr>
          <w:p w:rsidR="004925E6" w:rsidRPr="004925E6" w:rsidRDefault="00CD0A2B" w:rsidP="00170FAA">
            <w:pPr>
              <w:spacing w:before="40" w:after="120"/>
              <w:ind w:right="113"/>
            </w:pPr>
            <w:r>
              <w:t>Note</w:t>
            </w:r>
          </w:p>
        </w:tc>
        <w:tc>
          <w:tcPr>
            <w:tcW w:w="5103" w:type="dxa"/>
            <w:shd w:val="clear" w:color="auto" w:fill="auto"/>
          </w:tcPr>
          <w:p w:rsidR="004925E6" w:rsidRPr="004925E6" w:rsidRDefault="00CD0A2B" w:rsidP="00491065">
            <w:pPr>
              <w:spacing w:before="40" w:after="120"/>
              <w:ind w:right="113"/>
            </w:pPr>
            <w:r w:rsidRPr="00170FAA">
              <w:rPr>
                <w:lang w:val="en-US"/>
              </w:rPr>
              <w:t xml:space="preserve">The Bahamas maintains that there is no formal or legal discrimination against persons in </w:t>
            </w:r>
            <w:r w:rsidR="00491065">
              <w:rPr>
                <w:lang w:val="en-US"/>
              </w:rPr>
              <w:t>t</w:t>
            </w:r>
            <w:r w:rsidRPr="00170FAA">
              <w:rPr>
                <w:lang w:val="en-US"/>
              </w:rPr>
              <w:t xml:space="preserve">he Bahamas based on sexual orientation or gender identity. Neither have there been any formally reported case where anyone has alleged discrimination on the basis of sexual orientation or gender identity. It should be noted that </w:t>
            </w:r>
            <w:r w:rsidR="00491065">
              <w:rPr>
                <w:lang w:val="en-US"/>
              </w:rPr>
              <w:t>t</w:t>
            </w:r>
            <w:r w:rsidRPr="00170FAA">
              <w:rPr>
                <w:lang w:val="en-US"/>
              </w:rPr>
              <w:t>he Bahamas is generally supportive of efforts to combat all forms of discrimination against persons and to promote tolerance. Persons who are in a same-sex relationship are able to avail themselves of the regular protection and remedies available under the law in respect to violence or assault of property rights.</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105.45</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105.44.</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105.46</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105.44.</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105.47</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105.44.</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105.48</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105.44.</w:t>
            </w:r>
          </w:p>
        </w:tc>
      </w:tr>
      <w:tr w:rsidR="004925E6" w:rsidRPr="004925E6" w:rsidTr="00170FAA">
        <w:trPr>
          <w:tblHeader/>
        </w:trPr>
        <w:tc>
          <w:tcPr>
            <w:tcW w:w="1418" w:type="dxa"/>
            <w:shd w:val="clear" w:color="auto" w:fill="auto"/>
          </w:tcPr>
          <w:p w:rsidR="004925E6" w:rsidRPr="004925E6" w:rsidRDefault="0069101C" w:rsidP="00170FAA">
            <w:pPr>
              <w:spacing w:before="40" w:after="120"/>
              <w:ind w:right="113"/>
            </w:pPr>
            <w:r>
              <w:t>105.49</w:t>
            </w:r>
          </w:p>
        </w:tc>
        <w:tc>
          <w:tcPr>
            <w:tcW w:w="1984" w:type="dxa"/>
            <w:shd w:val="clear" w:color="auto" w:fill="auto"/>
          </w:tcPr>
          <w:p w:rsidR="004925E6" w:rsidRPr="004925E6" w:rsidRDefault="006D09C8" w:rsidP="00170FAA">
            <w:pPr>
              <w:spacing w:before="40" w:after="120"/>
              <w:ind w:right="113"/>
            </w:pPr>
            <w:r w:rsidRPr="006D09C8">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105.50</w:t>
            </w:r>
          </w:p>
        </w:tc>
        <w:tc>
          <w:tcPr>
            <w:tcW w:w="1984" w:type="dxa"/>
            <w:shd w:val="clear" w:color="auto" w:fill="auto"/>
          </w:tcPr>
          <w:p w:rsidR="004925E6" w:rsidRPr="004925E6" w:rsidRDefault="00CD0A2B" w:rsidP="00170FAA">
            <w:pPr>
              <w:spacing w:before="40" w:after="120"/>
              <w:ind w:right="113"/>
            </w:pPr>
            <w:r w:rsidRPr="00CD0A2B">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105.51</w:t>
            </w:r>
          </w:p>
        </w:tc>
        <w:tc>
          <w:tcPr>
            <w:tcW w:w="1984" w:type="dxa"/>
            <w:shd w:val="clear" w:color="auto" w:fill="auto"/>
          </w:tcPr>
          <w:p w:rsidR="004925E6" w:rsidRPr="004925E6" w:rsidRDefault="00CD0A2B" w:rsidP="00170FAA">
            <w:pPr>
              <w:spacing w:before="40" w:after="120"/>
              <w:ind w:right="113"/>
            </w:pPr>
            <w:r w:rsidRPr="00CD0A2B">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105.52</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lastRenderedPageBreak/>
              <w:t>105.53</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105.54</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105.55</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105.56</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105.57</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105.58</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105.59</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105.60</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105.61</w:t>
            </w:r>
          </w:p>
        </w:tc>
        <w:tc>
          <w:tcPr>
            <w:tcW w:w="1984" w:type="dxa"/>
            <w:shd w:val="clear" w:color="auto" w:fill="auto"/>
          </w:tcPr>
          <w:p w:rsidR="004925E6" w:rsidRPr="004925E6" w:rsidRDefault="00CD0A2B" w:rsidP="00170FAA">
            <w:pPr>
              <w:spacing w:before="40" w:after="120"/>
              <w:ind w:right="113"/>
            </w:pPr>
            <w:r w:rsidRPr="00CD0A2B">
              <w:t>Note</w:t>
            </w:r>
          </w:p>
        </w:tc>
        <w:tc>
          <w:tcPr>
            <w:tcW w:w="5103" w:type="dxa"/>
            <w:shd w:val="clear" w:color="auto" w:fill="auto"/>
          </w:tcPr>
          <w:p w:rsidR="004925E6" w:rsidRPr="004925E6" w:rsidRDefault="00CD0A2B" w:rsidP="00170FAA">
            <w:pPr>
              <w:spacing w:before="40" w:after="120"/>
              <w:ind w:right="113"/>
            </w:pPr>
            <w:r w:rsidRPr="00170FAA">
              <w:rPr>
                <w:lang w:val="en-US"/>
              </w:rPr>
              <w:t>Same as 105.1.</w:t>
            </w: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105.62</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105.63</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105.64</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105.65</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105.66</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105.67</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105.68</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105.69</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105.70</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105.71</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105.72</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105.73</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105.74</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94136F" w:rsidP="00491065">
            <w:pPr>
              <w:spacing w:before="40" w:after="120"/>
              <w:ind w:right="113"/>
            </w:pPr>
            <w:r w:rsidRPr="00170FAA">
              <w:rPr>
                <w:lang w:val="en-US"/>
              </w:rPr>
              <w:t>The Freedom of Information Act (No. 1 of 2017) enacted on 21</w:t>
            </w:r>
            <w:r w:rsidRPr="00170FAA">
              <w:rPr>
                <w:vertAlign w:val="superscript"/>
                <w:lang w:val="en-US"/>
              </w:rPr>
              <w:t>st</w:t>
            </w:r>
            <w:r w:rsidRPr="00170FAA">
              <w:rPr>
                <w:lang w:val="en-US"/>
              </w:rPr>
              <w:t xml:space="preserve"> April 2017.</w:t>
            </w: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105.75</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lastRenderedPageBreak/>
              <w:t>105.76</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105.77</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105.78</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105.79</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105.80</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105.81</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105.82</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105.83</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105.84</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105.85</w:t>
            </w:r>
          </w:p>
        </w:tc>
        <w:tc>
          <w:tcPr>
            <w:tcW w:w="1984" w:type="dxa"/>
            <w:shd w:val="clear" w:color="auto" w:fill="auto"/>
          </w:tcPr>
          <w:p w:rsidR="004925E6" w:rsidRPr="004925E6" w:rsidRDefault="0094136F"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105.86</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105.87</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105.88</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105.89</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105.90</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105.91</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105.92</w:t>
            </w:r>
          </w:p>
        </w:tc>
        <w:tc>
          <w:tcPr>
            <w:tcW w:w="1984" w:type="dxa"/>
            <w:shd w:val="clear" w:color="auto" w:fill="auto"/>
          </w:tcPr>
          <w:p w:rsidR="004925E6" w:rsidRPr="004925E6" w:rsidRDefault="0094136F"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105.93</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105.94</w:t>
            </w:r>
          </w:p>
        </w:tc>
        <w:tc>
          <w:tcPr>
            <w:tcW w:w="1984" w:type="dxa"/>
            <w:shd w:val="clear" w:color="auto" w:fill="auto"/>
          </w:tcPr>
          <w:p w:rsidR="004925E6" w:rsidRPr="004925E6" w:rsidRDefault="0094136F"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105.95</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105.96</w:t>
            </w:r>
          </w:p>
        </w:tc>
        <w:tc>
          <w:tcPr>
            <w:tcW w:w="1984" w:type="dxa"/>
            <w:shd w:val="clear" w:color="auto" w:fill="auto"/>
          </w:tcPr>
          <w:p w:rsidR="004925E6" w:rsidRPr="004925E6" w:rsidRDefault="0094136F"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105.97</w:t>
            </w:r>
          </w:p>
        </w:tc>
        <w:tc>
          <w:tcPr>
            <w:tcW w:w="1984" w:type="dxa"/>
            <w:shd w:val="clear" w:color="auto" w:fill="auto"/>
          </w:tcPr>
          <w:p w:rsidR="004925E6" w:rsidRPr="004925E6" w:rsidRDefault="0094136F"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t>105.98</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CD0A2B" w:rsidP="00170FAA">
            <w:pPr>
              <w:spacing w:before="40" w:after="120"/>
              <w:ind w:right="113"/>
            </w:pPr>
            <w:r>
              <w:lastRenderedPageBreak/>
              <w:t>105.99</w:t>
            </w:r>
          </w:p>
        </w:tc>
        <w:tc>
          <w:tcPr>
            <w:tcW w:w="1984" w:type="dxa"/>
            <w:shd w:val="clear" w:color="auto" w:fill="auto"/>
          </w:tcPr>
          <w:p w:rsidR="004925E6" w:rsidRPr="004925E6" w:rsidRDefault="0094136F" w:rsidP="00170FAA">
            <w:pPr>
              <w:spacing w:before="40" w:after="120"/>
              <w:ind w:right="113"/>
            </w:pPr>
            <w:r w:rsidRPr="0094136F">
              <w:t>Accept</w:t>
            </w:r>
          </w:p>
        </w:tc>
        <w:tc>
          <w:tcPr>
            <w:tcW w:w="5103" w:type="dxa"/>
            <w:shd w:val="clear" w:color="auto" w:fill="auto"/>
          </w:tcPr>
          <w:p w:rsidR="0094136F" w:rsidRPr="00170FAA" w:rsidRDefault="0094136F" w:rsidP="00170FAA">
            <w:pPr>
              <w:spacing w:before="40" w:after="120"/>
              <w:ind w:right="113"/>
              <w:rPr>
                <w:lang w:val="en-US"/>
              </w:rPr>
            </w:pPr>
            <w:r w:rsidRPr="00170FAA">
              <w:rPr>
                <w:lang w:val="en-US"/>
              </w:rPr>
              <w:t>The Sexual Offences Act, Chapter 99, section 3 provides the following definition of rape:</w:t>
            </w:r>
          </w:p>
          <w:p w:rsidR="0094136F" w:rsidRPr="00170FAA" w:rsidRDefault="0094136F" w:rsidP="00170FAA">
            <w:pPr>
              <w:spacing w:before="40" w:after="120"/>
              <w:ind w:right="113"/>
              <w:rPr>
                <w:lang w:val="en-US"/>
              </w:rPr>
            </w:pPr>
            <w:r w:rsidRPr="00170FAA">
              <w:rPr>
                <w:lang w:val="en-US"/>
              </w:rPr>
              <w:t>“Rape is the act of any person not under fourteen years of age having sexual intercourse with another person who is not his spouse —</w:t>
            </w:r>
          </w:p>
          <w:p w:rsidR="0094136F" w:rsidRPr="00170FAA" w:rsidRDefault="0094136F" w:rsidP="00170FAA">
            <w:pPr>
              <w:spacing w:before="40" w:after="120"/>
              <w:ind w:right="113"/>
              <w:rPr>
                <w:lang w:val="en-US"/>
              </w:rPr>
            </w:pPr>
            <w:r w:rsidRPr="00170FAA">
              <w:rPr>
                <w:lang w:val="en-US"/>
              </w:rPr>
              <w:t>(a) without the consent of that other person;</w:t>
            </w:r>
          </w:p>
          <w:p w:rsidR="0094136F" w:rsidRPr="00170FAA" w:rsidRDefault="0094136F" w:rsidP="00170FAA">
            <w:pPr>
              <w:spacing w:before="40" w:after="120"/>
              <w:ind w:right="113"/>
              <w:rPr>
                <w:lang w:val="en-US"/>
              </w:rPr>
            </w:pPr>
            <w:r w:rsidRPr="00170FAA">
              <w:rPr>
                <w:lang w:val="en-US"/>
              </w:rPr>
              <w:t>(b) without consent which has been extorted by threats or fear of bodily harm;</w:t>
            </w:r>
          </w:p>
          <w:p w:rsidR="0094136F" w:rsidRPr="00170FAA" w:rsidRDefault="0094136F" w:rsidP="00170FAA">
            <w:pPr>
              <w:spacing w:before="40" w:after="120"/>
              <w:ind w:right="113"/>
              <w:rPr>
                <w:lang w:val="en-US"/>
              </w:rPr>
            </w:pPr>
            <w:r w:rsidRPr="00170FAA">
              <w:rPr>
                <w:lang w:val="en-US"/>
              </w:rPr>
              <w:t>(c) with consent obtained by personating the spouse of that other person; or</w:t>
            </w:r>
          </w:p>
          <w:p w:rsidR="0094136F" w:rsidRPr="00170FAA" w:rsidRDefault="0094136F" w:rsidP="00170FAA">
            <w:pPr>
              <w:spacing w:before="40" w:after="120"/>
              <w:ind w:right="113"/>
              <w:rPr>
                <w:lang w:val="en-US"/>
              </w:rPr>
            </w:pPr>
            <w:r w:rsidRPr="00170FAA">
              <w:rPr>
                <w:lang w:val="en-US"/>
              </w:rPr>
              <w:t>(d) with consent obtained by false and fraudulent representations as to the nature and quality of the act.”</w:t>
            </w:r>
          </w:p>
          <w:p w:rsidR="004925E6" w:rsidRPr="004925E6" w:rsidRDefault="0094136F" w:rsidP="00491065">
            <w:pPr>
              <w:spacing w:before="40" w:after="120"/>
              <w:ind w:right="113"/>
            </w:pPr>
            <w:r w:rsidRPr="00170FAA">
              <w:rPr>
                <w:lang w:val="en-US"/>
              </w:rPr>
              <w:t xml:space="preserve">The Government of </w:t>
            </w:r>
            <w:r w:rsidR="00491065">
              <w:rPr>
                <w:lang w:val="en-US"/>
              </w:rPr>
              <w:t>t</w:t>
            </w:r>
            <w:r w:rsidRPr="00170FAA">
              <w:rPr>
                <w:lang w:val="en-US"/>
              </w:rPr>
              <w:t>he Bahamas is currently in the process of consultation regarding the proposed amendment to the Sexual Offences Act to criminalize 'spousal sexual abuse', which includes all of the elements of rape but within the context of a marriage.</w:t>
            </w: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105.100</w:t>
            </w:r>
          </w:p>
        </w:tc>
        <w:tc>
          <w:tcPr>
            <w:tcW w:w="1984" w:type="dxa"/>
            <w:shd w:val="clear" w:color="auto" w:fill="auto"/>
          </w:tcPr>
          <w:p w:rsidR="004925E6" w:rsidRPr="004925E6" w:rsidRDefault="00D368F3"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105.101</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D368F3" w:rsidP="00491065">
            <w:pPr>
              <w:spacing w:before="40" w:after="120"/>
              <w:ind w:right="113"/>
            </w:pPr>
            <w:r w:rsidRPr="00170FAA">
              <w:rPr>
                <w:lang w:val="en-US"/>
              </w:rPr>
              <w:t xml:space="preserve">The Government of </w:t>
            </w:r>
            <w:r w:rsidR="00491065">
              <w:rPr>
                <w:lang w:val="en-US"/>
              </w:rPr>
              <w:t>t</w:t>
            </w:r>
            <w:r w:rsidRPr="00170FAA">
              <w:rPr>
                <w:lang w:val="en-US"/>
              </w:rPr>
              <w:t>he Bahamas is currently in the process of consultation regarding the proposed amendment to the Sexual Offences Act to criminalize 'spousal sexual abuse', which includes all of the elements of rape but within the context of a marriage.</w:t>
            </w: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105.102</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D368F3" w:rsidP="00170FAA">
            <w:pPr>
              <w:spacing w:before="40" w:after="120"/>
              <w:ind w:right="113"/>
            </w:pPr>
            <w:r w:rsidRPr="00170FAA">
              <w:rPr>
                <w:lang w:val="en-US"/>
              </w:rPr>
              <w:t>Same as 105.101.</w:t>
            </w: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105.103</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105.104</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105.105</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105.106</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D368F3" w:rsidP="00170FAA">
            <w:pPr>
              <w:spacing w:before="40" w:after="120"/>
              <w:ind w:right="113"/>
            </w:pPr>
            <w:r w:rsidRPr="00170FAA">
              <w:rPr>
                <w:lang w:val="en-US"/>
              </w:rPr>
              <w:t>Same as 105.101.</w:t>
            </w: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lastRenderedPageBreak/>
              <w:t>105.107</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D368F3" w:rsidP="00170FAA">
            <w:pPr>
              <w:spacing w:before="40" w:after="120"/>
              <w:ind w:right="113"/>
            </w:pPr>
            <w:r w:rsidRPr="00170FAA">
              <w:rPr>
                <w:lang w:val="en-US"/>
              </w:rPr>
              <w:t>The Convention on the Right of the Child was domesticated by virtue of the Child Protection Act, Chapter 132 in 2007.</w:t>
            </w: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105.108</w:t>
            </w:r>
          </w:p>
        </w:tc>
        <w:tc>
          <w:tcPr>
            <w:tcW w:w="1984" w:type="dxa"/>
            <w:shd w:val="clear" w:color="auto" w:fill="auto"/>
          </w:tcPr>
          <w:p w:rsidR="004925E6" w:rsidRPr="004925E6" w:rsidRDefault="00D368F3"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105.109</w:t>
            </w:r>
          </w:p>
        </w:tc>
        <w:tc>
          <w:tcPr>
            <w:tcW w:w="1984" w:type="dxa"/>
            <w:shd w:val="clear" w:color="auto" w:fill="auto"/>
          </w:tcPr>
          <w:p w:rsidR="004925E6" w:rsidRPr="004925E6" w:rsidRDefault="00D368F3"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105.110</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105.111</w:t>
            </w:r>
          </w:p>
        </w:tc>
        <w:tc>
          <w:tcPr>
            <w:tcW w:w="1984" w:type="dxa"/>
            <w:shd w:val="clear" w:color="auto" w:fill="auto"/>
          </w:tcPr>
          <w:p w:rsidR="004925E6" w:rsidRPr="004925E6" w:rsidRDefault="00D368F3"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105.112</w:t>
            </w:r>
          </w:p>
        </w:tc>
        <w:tc>
          <w:tcPr>
            <w:tcW w:w="1984" w:type="dxa"/>
            <w:shd w:val="clear" w:color="auto" w:fill="auto"/>
          </w:tcPr>
          <w:p w:rsidR="004925E6" w:rsidRPr="004925E6" w:rsidRDefault="00D368F3"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105.113</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105.114</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105.115</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105.116</w:t>
            </w:r>
          </w:p>
        </w:tc>
        <w:tc>
          <w:tcPr>
            <w:tcW w:w="1984" w:type="dxa"/>
            <w:shd w:val="clear" w:color="auto" w:fill="auto"/>
          </w:tcPr>
          <w:p w:rsidR="004925E6" w:rsidRPr="004925E6" w:rsidRDefault="00D368F3"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105.117</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105.118</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105.119</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105.120</w:t>
            </w:r>
          </w:p>
        </w:tc>
        <w:tc>
          <w:tcPr>
            <w:tcW w:w="1984" w:type="dxa"/>
            <w:shd w:val="clear" w:color="auto" w:fill="auto"/>
          </w:tcPr>
          <w:p w:rsidR="004925E6" w:rsidRPr="004925E6" w:rsidRDefault="00D368F3" w:rsidP="00170FAA">
            <w:pPr>
              <w:spacing w:before="40" w:after="120"/>
              <w:ind w:right="113"/>
            </w:pPr>
            <w:r w:rsidRPr="00D368F3">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105.121</w:t>
            </w:r>
          </w:p>
        </w:tc>
        <w:tc>
          <w:tcPr>
            <w:tcW w:w="1984" w:type="dxa"/>
            <w:shd w:val="clear" w:color="auto" w:fill="auto"/>
          </w:tcPr>
          <w:p w:rsidR="004925E6" w:rsidRPr="004925E6" w:rsidRDefault="00D368F3" w:rsidP="00170FAA">
            <w:pPr>
              <w:spacing w:before="40" w:after="120"/>
              <w:ind w:right="113"/>
            </w:pPr>
            <w:r>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D368F3" w:rsidP="00170FAA">
            <w:pPr>
              <w:spacing w:before="40" w:after="120"/>
              <w:ind w:right="113"/>
            </w:pPr>
            <w:r>
              <w:t>105.122</w:t>
            </w:r>
          </w:p>
        </w:tc>
        <w:tc>
          <w:tcPr>
            <w:tcW w:w="1984" w:type="dxa"/>
            <w:shd w:val="clear" w:color="auto" w:fill="auto"/>
          </w:tcPr>
          <w:p w:rsidR="004925E6" w:rsidRPr="004925E6" w:rsidRDefault="00D368F3" w:rsidP="00170FAA">
            <w:pPr>
              <w:spacing w:before="40" w:after="120"/>
              <w:ind w:right="113"/>
            </w:pPr>
            <w:r>
              <w:t>Note</w:t>
            </w:r>
          </w:p>
        </w:tc>
        <w:tc>
          <w:tcPr>
            <w:tcW w:w="5103" w:type="dxa"/>
            <w:shd w:val="clear" w:color="auto" w:fill="auto"/>
          </w:tcPr>
          <w:p w:rsidR="004925E6" w:rsidRPr="004925E6" w:rsidRDefault="00D368F3" w:rsidP="00170FAA">
            <w:pPr>
              <w:spacing w:before="40" w:after="120"/>
              <w:ind w:right="113"/>
            </w:pPr>
            <w:r w:rsidRPr="00170FAA">
              <w:rPr>
                <w:lang w:val="en-US"/>
              </w:rPr>
              <w:t>Same as 105.44.</w:t>
            </w: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105.123</w:t>
            </w:r>
          </w:p>
        </w:tc>
        <w:tc>
          <w:tcPr>
            <w:tcW w:w="1984" w:type="dxa"/>
            <w:shd w:val="clear" w:color="auto" w:fill="auto"/>
          </w:tcPr>
          <w:p w:rsidR="004925E6" w:rsidRPr="004925E6" w:rsidRDefault="00B22541" w:rsidP="00170FAA">
            <w:pPr>
              <w:spacing w:before="40" w:after="120"/>
              <w:ind w:right="113"/>
            </w:pPr>
            <w:r w:rsidRPr="00B22541">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105.124</w:t>
            </w:r>
          </w:p>
        </w:tc>
        <w:tc>
          <w:tcPr>
            <w:tcW w:w="1984" w:type="dxa"/>
            <w:shd w:val="clear" w:color="auto" w:fill="auto"/>
          </w:tcPr>
          <w:p w:rsidR="004925E6" w:rsidRPr="004925E6" w:rsidRDefault="00B22541" w:rsidP="00170FAA">
            <w:pPr>
              <w:spacing w:before="40" w:after="120"/>
              <w:ind w:right="113"/>
            </w:pPr>
            <w:r w:rsidRPr="00B22541">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105.125</w:t>
            </w:r>
          </w:p>
        </w:tc>
        <w:tc>
          <w:tcPr>
            <w:tcW w:w="1984" w:type="dxa"/>
            <w:shd w:val="clear" w:color="auto" w:fill="auto"/>
          </w:tcPr>
          <w:p w:rsidR="004925E6" w:rsidRPr="004925E6" w:rsidRDefault="00B22541" w:rsidP="00170FAA">
            <w:pPr>
              <w:spacing w:before="40" w:after="120"/>
              <w:ind w:right="113"/>
            </w:pPr>
            <w:r w:rsidRPr="00B22541">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105.126</w:t>
            </w:r>
          </w:p>
        </w:tc>
        <w:tc>
          <w:tcPr>
            <w:tcW w:w="1984" w:type="dxa"/>
            <w:shd w:val="clear" w:color="auto" w:fill="auto"/>
          </w:tcPr>
          <w:p w:rsidR="004925E6" w:rsidRPr="004925E6" w:rsidRDefault="00B22541" w:rsidP="00170FAA">
            <w:pPr>
              <w:spacing w:before="40" w:after="120"/>
              <w:ind w:right="113"/>
            </w:pPr>
            <w:r w:rsidRPr="00B22541">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105.127</w:t>
            </w:r>
          </w:p>
        </w:tc>
        <w:tc>
          <w:tcPr>
            <w:tcW w:w="1984" w:type="dxa"/>
            <w:shd w:val="clear" w:color="auto" w:fill="auto"/>
          </w:tcPr>
          <w:p w:rsidR="004925E6" w:rsidRPr="004925E6" w:rsidRDefault="00B22541" w:rsidP="00170FAA">
            <w:pPr>
              <w:spacing w:before="40" w:after="120"/>
              <w:ind w:right="113"/>
            </w:pPr>
            <w:r w:rsidRPr="00B22541">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105.128</w:t>
            </w:r>
          </w:p>
        </w:tc>
        <w:tc>
          <w:tcPr>
            <w:tcW w:w="1984" w:type="dxa"/>
            <w:shd w:val="clear" w:color="auto" w:fill="auto"/>
          </w:tcPr>
          <w:p w:rsidR="004925E6" w:rsidRPr="004925E6" w:rsidRDefault="00B22541" w:rsidP="00170FAA">
            <w:pPr>
              <w:spacing w:before="40" w:after="120"/>
              <w:ind w:right="113"/>
            </w:pPr>
            <w:r w:rsidRPr="00B22541">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105.129</w:t>
            </w:r>
          </w:p>
        </w:tc>
        <w:tc>
          <w:tcPr>
            <w:tcW w:w="1984" w:type="dxa"/>
            <w:shd w:val="clear" w:color="auto" w:fill="auto"/>
          </w:tcPr>
          <w:p w:rsidR="004925E6" w:rsidRPr="004925E6" w:rsidRDefault="00B22541" w:rsidP="00170FAA">
            <w:pPr>
              <w:spacing w:before="40" w:after="120"/>
              <w:ind w:right="113"/>
            </w:pPr>
            <w:r w:rsidRPr="00B22541">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lastRenderedPageBreak/>
              <w:t>105.130</w:t>
            </w:r>
          </w:p>
        </w:tc>
        <w:tc>
          <w:tcPr>
            <w:tcW w:w="1984" w:type="dxa"/>
            <w:shd w:val="clear" w:color="auto" w:fill="auto"/>
          </w:tcPr>
          <w:p w:rsidR="004925E6" w:rsidRPr="004925E6" w:rsidRDefault="00B22541" w:rsidP="00170FAA">
            <w:pPr>
              <w:spacing w:before="40" w:after="120"/>
              <w:ind w:right="113"/>
            </w:pPr>
            <w:r w:rsidRPr="00B22541">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105.131</w:t>
            </w:r>
          </w:p>
        </w:tc>
        <w:tc>
          <w:tcPr>
            <w:tcW w:w="1984" w:type="dxa"/>
            <w:shd w:val="clear" w:color="auto" w:fill="auto"/>
          </w:tcPr>
          <w:p w:rsidR="004925E6" w:rsidRPr="004925E6" w:rsidRDefault="00B22541" w:rsidP="00170FAA">
            <w:pPr>
              <w:spacing w:before="40" w:after="120"/>
              <w:ind w:right="113"/>
            </w:pPr>
            <w:r w:rsidRPr="00B22541">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105.132</w:t>
            </w:r>
          </w:p>
        </w:tc>
        <w:tc>
          <w:tcPr>
            <w:tcW w:w="1984" w:type="dxa"/>
            <w:shd w:val="clear" w:color="auto" w:fill="auto"/>
          </w:tcPr>
          <w:p w:rsidR="004925E6" w:rsidRPr="004925E6" w:rsidRDefault="00B22541" w:rsidP="00170FAA">
            <w:pPr>
              <w:spacing w:before="40" w:after="120"/>
              <w:ind w:right="113"/>
            </w:pPr>
            <w:r w:rsidRPr="00B22541">
              <w:t>Accept</w:t>
            </w:r>
          </w:p>
        </w:tc>
        <w:tc>
          <w:tcPr>
            <w:tcW w:w="5103" w:type="dxa"/>
            <w:shd w:val="clear" w:color="auto" w:fill="auto"/>
          </w:tcPr>
          <w:p w:rsidR="00B22541" w:rsidRPr="00170FAA" w:rsidRDefault="00B22541" w:rsidP="00170FAA">
            <w:pPr>
              <w:spacing w:before="40" w:after="120"/>
              <w:ind w:right="113"/>
              <w:rPr>
                <w:lang w:val="en-US"/>
              </w:rPr>
            </w:pPr>
            <w:r w:rsidRPr="00170FAA">
              <w:rPr>
                <w:lang w:val="en-US"/>
              </w:rPr>
              <w:t>Persons, who are identified as asylum seekers and refugees, after being screened by the Department of Immigration, are provided with alternatives to detention.</w:t>
            </w:r>
          </w:p>
          <w:p w:rsidR="004925E6" w:rsidRPr="004925E6" w:rsidRDefault="00B22541" w:rsidP="00491065">
            <w:pPr>
              <w:spacing w:before="40" w:after="120"/>
              <w:ind w:right="113"/>
            </w:pPr>
            <w:r w:rsidRPr="00170FAA">
              <w:rPr>
                <w:lang w:val="en-US"/>
              </w:rPr>
              <w:t xml:space="preserve">In addition, it is worth noting that </w:t>
            </w:r>
            <w:r w:rsidR="00491065">
              <w:rPr>
                <w:lang w:val="en-US"/>
              </w:rPr>
              <w:t>t</w:t>
            </w:r>
            <w:r w:rsidRPr="00170FAA">
              <w:rPr>
                <w:lang w:val="en-US"/>
              </w:rPr>
              <w:t>he Bahamas is the first country in the region to provide ICAO readable refugee travel documents, in an effort to encourage free movement.</w:t>
            </w: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105.133</w:t>
            </w:r>
          </w:p>
        </w:tc>
        <w:tc>
          <w:tcPr>
            <w:tcW w:w="1984" w:type="dxa"/>
            <w:shd w:val="clear" w:color="auto" w:fill="auto"/>
          </w:tcPr>
          <w:p w:rsidR="004925E6" w:rsidRPr="004925E6" w:rsidRDefault="00B22541" w:rsidP="00170FAA">
            <w:pPr>
              <w:spacing w:before="40" w:after="120"/>
              <w:ind w:right="113"/>
            </w:pPr>
            <w:r w:rsidRPr="00B22541">
              <w:t>Accept</w:t>
            </w:r>
          </w:p>
        </w:tc>
        <w:tc>
          <w:tcPr>
            <w:tcW w:w="5103" w:type="dxa"/>
            <w:shd w:val="clear" w:color="auto" w:fill="auto"/>
          </w:tcPr>
          <w:p w:rsidR="004925E6" w:rsidRPr="004925E6" w:rsidRDefault="00B22541" w:rsidP="00170FAA">
            <w:pPr>
              <w:spacing w:before="40" w:after="120"/>
              <w:ind w:right="113"/>
            </w:pPr>
            <w:r w:rsidRPr="00170FAA">
              <w:rPr>
                <w:lang w:val="en-US"/>
              </w:rPr>
              <w:t>Currently under review.</w:t>
            </w: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105.134</w:t>
            </w:r>
          </w:p>
        </w:tc>
        <w:tc>
          <w:tcPr>
            <w:tcW w:w="1984" w:type="dxa"/>
            <w:shd w:val="clear" w:color="auto" w:fill="auto"/>
          </w:tcPr>
          <w:p w:rsidR="004925E6" w:rsidRPr="004925E6" w:rsidRDefault="00B22541" w:rsidP="00170FAA">
            <w:pPr>
              <w:spacing w:before="40" w:after="120"/>
              <w:ind w:right="113"/>
            </w:pPr>
            <w:r w:rsidRPr="00B22541">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105.135</w:t>
            </w:r>
          </w:p>
        </w:tc>
        <w:tc>
          <w:tcPr>
            <w:tcW w:w="1984" w:type="dxa"/>
            <w:shd w:val="clear" w:color="auto" w:fill="auto"/>
          </w:tcPr>
          <w:p w:rsidR="004925E6" w:rsidRPr="004925E6" w:rsidRDefault="00B22541" w:rsidP="00170FAA">
            <w:pPr>
              <w:spacing w:before="40" w:after="120"/>
              <w:ind w:right="113"/>
            </w:pPr>
            <w:r w:rsidRPr="00B22541">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105.136</w:t>
            </w:r>
          </w:p>
        </w:tc>
        <w:tc>
          <w:tcPr>
            <w:tcW w:w="1984" w:type="dxa"/>
            <w:shd w:val="clear" w:color="auto" w:fill="auto"/>
          </w:tcPr>
          <w:p w:rsidR="004925E6" w:rsidRPr="004925E6" w:rsidRDefault="00B22541" w:rsidP="00170FAA">
            <w:pPr>
              <w:spacing w:before="40" w:after="120"/>
              <w:ind w:right="113"/>
            </w:pPr>
            <w:r w:rsidRPr="00B22541">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105.137</w:t>
            </w:r>
          </w:p>
        </w:tc>
        <w:tc>
          <w:tcPr>
            <w:tcW w:w="1984" w:type="dxa"/>
            <w:shd w:val="clear" w:color="auto" w:fill="auto"/>
          </w:tcPr>
          <w:p w:rsidR="004925E6" w:rsidRPr="004925E6" w:rsidRDefault="00B22541" w:rsidP="00170FAA">
            <w:pPr>
              <w:spacing w:before="40" w:after="120"/>
              <w:ind w:right="113"/>
            </w:pPr>
            <w:r w:rsidRPr="00B22541">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105.138</w:t>
            </w:r>
          </w:p>
        </w:tc>
        <w:tc>
          <w:tcPr>
            <w:tcW w:w="1984" w:type="dxa"/>
            <w:shd w:val="clear" w:color="auto" w:fill="auto"/>
          </w:tcPr>
          <w:p w:rsidR="004925E6" w:rsidRPr="004925E6" w:rsidRDefault="00B22541" w:rsidP="00170FAA">
            <w:pPr>
              <w:spacing w:before="40" w:after="120"/>
              <w:ind w:right="113"/>
            </w:pPr>
            <w:r w:rsidRPr="00B22541">
              <w:t>Accept</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105.139</w:t>
            </w:r>
          </w:p>
        </w:tc>
        <w:tc>
          <w:tcPr>
            <w:tcW w:w="1984" w:type="dxa"/>
            <w:shd w:val="clear" w:color="auto" w:fill="auto"/>
          </w:tcPr>
          <w:p w:rsidR="004925E6" w:rsidRPr="004925E6" w:rsidRDefault="00B22541" w:rsidP="00170FAA">
            <w:pPr>
              <w:spacing w:before="40" w:after="120"/>
              <w:ind w:right="113"/>
            </w:pPr>
            <w:r w:rsidRPr="00B22541">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shd w:val="clear" w:color="auto" w:fill="auto"/>
          </w:tcPr>
          <w:p w:rsidR="004925E6" w:rsidRPr="004925E6" w:rsidRDefault="00B22541" w:rsidP="00170FAA">
            <w:pPr>
              <w:spacing w:before="40" w:after="120"/>
              <w:ind w:right="113"/>
            </w:pPr>
            <w:r>
              <w:t>105.140</w:t>
            </w:r>
          </w:p>
        </w:tc>
        <w:tc>
          <w:tcPr>
            <w:tcW w:w="1984" w:type="dxa"/>
            <w:shd w:val="clear" w:color="auto" w:fill="auto"/>
          </w:tcPr>
          <w:p w:rsidR="004925E6" w:rsidRPr="004925E6" w:rsidRDefault="00B22541" w:rsidP="00170FAA">
            <w:pPr>
              <w:spacing w:before="40" w:after="120"/>
              <w:ind w:right="113"/>
            </w:pPr>
            <w:r w:rsidRPr="00B22541">
              <w:t>Note</w:t>
            </w:r>
          </w:p>
        </w:tc>
        <w:tc>
          <w:tcPr>
            <w:tcW w:w="5103" w:type="dxa"/>
            <w:shd w:val="clear" w:color="auto" w:fill="auto"/>
          </w:tcPr>
          <w:p w:rsidR="004925E6" w:rsidRPr="004925E6" w:rsidRDefault="004925E6" w:rsidP="00170FAA">
            <w:pPr>
              <w:spacing w:before="40" w:after="120"/>
              <w:ind w:right="113"/>
            </w:pPr>
          </w:p>
        </w:tc>
      </w:tr>
      <w:tr w:rsidR="004925E6" w:rsidRPr="004925E6" w:rsidTr="00170FAA">
        <w:trPr>
          <w:tblHeader/>
        </w:trPr>
        <w:tc>
          <w:tcPr>
            <w:tcW w:w="1418" w:type="dxa"/>
            <w:tcBorders>
              <w:bottom w:val="single" w:sz="12" w:space="0" w:color="auto"/>
            </w:tcBorders>
            <w:shd w:val="clear" w:color="auto" w:fill="auto"/>
          </w:tcPr>
          <w:p w:rsidR="004925E6" w:rsidRPr="004925E6" w:rsidRDefault="00B22541" w:rsidP="00170FAA">
            <w:pPr>
              <w:spacing w:before="40" w:after="120"/>
              <w:ind w:right="113"/>
            </w:pPr>
            <w:r>
              <w:t>105.141</w:t>
            </w:r>
          </w:p>
        </w:tc>
        <w:tc>
          <w:tcPr>
            <w:tcW w:w="1984" w:type="dxa"/>
            <w:tcBorders>
              <w:bottom w:val="single" w:sz="12" w:space="0" w:color="auto"/>
            </w:tcBorders>
            <w:shd w:val="clear" w:color="auto" w:fill="auto"/>
          </w:tcPr>
          <w:p w:rsidR="004925E6" w:rsidRPr="004925E6" w:rsidRDefault="00B22541" w:rsidP="00170FAA">
            <w:pPr>
              <w:spacing w:before="40" w:after="120"/>
              <w:ind w:right="113"/>
            </w:pPr>
            <w:r w:rsidRPr="00B22541">
              <w:t>Note</w:t>
            </w:r>
          </w:p>
        </w:tc>
        <w:tc>
          <w:tcPr>
            <w:tcW w:w="5103" w:type="dxa"/>
            <w:tcBorders>
              <w:bottom w:val="single" w:sz="12" w:space="0" w:color="auto"/>
            </w:tcBorders>
            <w:shd w:val="clear" w:color="auto" w:fill="auto"/>
          </w:tcPr>
          <w:p w:rsidR="004925E6" w:rsidRPr="004925E6" w:rsidRDefault="004925E6" w:rsidP="00170FAA">
            <w:pPr>
              <w:spacing w:before="40" w:after="120"/>
              <w:ind w:right="113"/>
            </w:pPr>
          </w:p>
        </w:tc>
      </w:tr>
    </w:tbl>
    <w:p w:rsidR="00CF586F" w:rsidRPr="00B22541" w:rsidRDefault="00B22541" w:rsidP="00B22541">
      <w:pPr>
        <w:spacing w:before="240"/>
        <w:ind w:left="1134" w:right="1134"/>
        <w:jc w:val="center"/>
        <w:rPr>
          <w:u w:val="single"/>
        </w:rPr>
      </w:pPr>
      <w:r>
        <w:rPr>
          <w:u w:val="single"/>
        </w:rPr>
        <w:tab/>
      </w:r>
      <w:r>
        <w:rPr>
          <w:u w:val="single"/>
        </w:rPr>
        <w:tab/>
      </w:r>
      <w:r>
        <w:rPr>
          <w:u w:val="single"/>
        </w:rPr>
        <w:tab/>
      </w:r>
    </w:p>
    <w:sectPr w:rsidR="00CF586F" w:rsidRPr="00B22541" w:rsidSect="004925E6">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E6" w:rsidRDefault="004925E6"/>
  </w:endnote>
  <w:endnote w:type="continuationSeparator" w:id="0">
    <w:p w:rsidR="004925E6" w:rsidRDefault="004925E6"/>
  </w:endnote>
  <w:endnote w:type="continuationNotice" w:id="1">
    <w:p w:rsidR="004925E6" w:rsidRDefault="00492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E6" w:rsidRPr="004925E6" w:rsidRDefault="004925E6" w:rsidP="004925E6">
    <w:pPr>
      <w:pStyle w:val="Footer"/>
      <w:tabs>
        <w:tab w:val="right" w:pos="9638"/>
      </w:tabs>
      <w:rPr>
        <w:sz w:val="18"/>
      </w:rPr>
    </w:pPr>
    <w:r w:rsidRPr="004925E6">
      <w:rPr>
        <w:b/>
        <w:sz w:val="18"/>
      </w:rPr>
      <w:fldChar w:fldCharType="begin"/>
    </w:r>
    <w:r w:rsidRPr="004925E6">
      <w:rPr>
        <w:b/>
        <w:sz w:val="18"/>
      </w:rPr>
      <w:instrText xml:space="preserve"> PAGE  \* MERGEFORMAT </w:instrText>
    </w:r>
    <w:r w:rsidRPr="004925E6">
      <w:rPr>
        <w:b/>
        <w:sz w:val="18"/>
      </w:rPr>
      <w:fldChar w:fldCharType="separate"/>
    </w:r>
    <w:r w:rsidR="00AF716D">
      <w:rPr>
        <w:b/>
        <w:noProof/>
        <w:sz w:val="18"/>
      </w:rPr>
      <w:t>2</w:t>
    </w:r>
    <w:r w:rsidRPr="004925E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E6" w:rsidRPr="004925E6" w:rsidRDefault="004925E6" w:rsidP="004925E6">
    <w:pPr>
      <w:pStyle w:val="Footer"/>
      <w:tabs>
        <w:tab w:val="right" w:pos="9638"/>
      </w:tabs>
      <w:rPr>
        <w:b/>
        <w:sz w:val="18"/>
      </w:rPr>
    </w:pPr>
    <w:r>
      <w:tab/>
    </w:r>
    <w:r w:rsidRPr="004925E6">
      <w:rPr>
        <w:b/>
        <w:sz w:val="18"/>
      </w:rPr>
      <w:fldChar w:fldCharType="begin"/>
    </w:r>
    <w:r w:rsidRPr="004925E6">
      <w:rPr>
        <w:b/>
        <w:sz w:val="18"/>
      </w:rPr>
      <w:instrText xml:space="preserve"> PAGE  \* MERGEFORMAT </w:instrText>
    </w:r>
    <w:r w:rsidRPr="004925E6">
      <w:rPr>
        <w:b/>
        <w:sz w:val="18"/>
      </w:rPr>
      <w:fldChar w:fldCharType="separate"/>
    </w:r>
    <w:r w:rsidR="00AF716D">
      <w:rPr>
        <w:b/>
        <w:noProof/>
        <w:sz w:val="18"/>
      </w:rPr>
      <w:t>7</w:t>
    </w:r>
    <w:r w:rsidRPr="004925E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E6" w:rsidRPr="000B175B" w:rsidRDefault="004925E6" w:rsidP="000B175B">
      <w:pPr>
        <w:tabs>
          <w:tab w:val="right" w:pos="2155"/>
        </w:tabs>
        <w:spacing w:after="80"/>
        <w:ind w:left="680"/>
        <w:rPr>
          <w:u w:val="single"/>
        </w:rPr>
      </w:pPr>
      <w:r>
        <w:rPr>
          <w:u w:val="single"/>
        </w:rPr>
        <w:tab/>
      </w:r>
    </w:p>
  </w:footnote>
  <w:footnote w:type="continuationSeparator" w:id="0">
    <w:p w:rsidR="004925E6" w:rsidRPr="00FC68B7" w:rsidRDefault="004925E6" w:rsidP="00FC68B7">
      <w:pPr>
        <w:tabs>
          <w:tab w:val="left" w:pos="2155"/>
        </w:tabs>
        <w:spacing w:after="80"/>
        <w:ind w:left="680"/>
        <w:rPr>
          <w:u w:val="single"/>
        </w:rPr>
      </w:pPr>
      <w:r>
        <w:rPr>
          <w:u w:val="single"/>
        </w:rPr>
        <w:tab/>
      </w:r>
    </w:p>
  </w:footnote>
  <w:footnote w:type="continuationNotice" w:id="1">
    <w:p w:rsidR="004925E6" w:rsidRDefault="004925E6"/>
  </w:footnote>
  <w:footnote w:id="2">
    <w:p w:rsidR="004925E6" w:rsidRDefault="004925E6" w:rsidP="004925E6">
      <w:pPr>
        <w:pStyle w:val="FootnoteText"/>
        <w:rPr>
          <w:szCs w:val="18"/>
        </w:rPr>
      </w:pPr>
      <w:r>
        <w:tab/>
      </w:r>
      <w:r w:rsidRPr="00287A36">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E6" w:rsidRPr="004925E6" w:rsidRDefault="006C2F9E">
    <w:pPr>
      <w:pStyle w:val="Header"/>
    </w:pPr>
    <w:fldSimple w:instr=" TITLE  \* MERGEFORMAT ">
      <w:r w:rsidR="004925E6">
        <w:t>A/HRC/38/9/Add.1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E6" w:rsidRPr="004925E6" w:rsidRDefault="006C2F9E" w:rsidP="004925E6">
    <w:pPr>
      <w:pStyle w:val="Header"/>
      <w:jc w:val="right"/>
    </w:pPr>
    <w:fldSimple w:instr=" TITLE  \* MERGEFORMAT ">
      <w:r w:rsidR="004925E6">
        <w:t>A/HRC/38/9/Add.1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5E6"/>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70FA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7A36"/>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1065"/>
    <w:rsid w:val="004925E6"/>
    <w:rsid w:val="00496A15"/>
    <w:rsid w:val="004B515E"/>
    <w:rsid w:val="004B75D2"/>
    <w:rsid w:val="004D1140"/>
    <w:rsid w:val="004F55ED"/>
    <w:rsid w:val="0052176C"/>
    <w:rsid w:val="005261E5"/>
    <w:rsid w:val="0053638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101C"/>
    <w:rsid w:val="00696BD6"/>
    <w:rsid w:val="006A6B9D"/>
    <w:rsid w:val="006A7392"/>
    <w:rsid w:val="006B3189"/>
    <w:rsid w:val="006B7D65"/>
    <w:rsid w:val="006C2F9E"/>
    <w:rsid w:val="006D09C8"/>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136F"/>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AF716D"/>
    <w:rsid w:val="00B037F0"/>
    <w:rsid w:val="00B22541"/>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0A2B"/>
    <w:rsid w:val="00CD6995"/>
    <w:rsid w:val="00CE4A8F"/>
    <w:rsid w:val="00CF0214"/>
    <w:rsid w:val="00CF586F"/>
    <w:rsid w:val="00CF7D43"/>
    <w:rsid w:val="00D11129"/>
    <w:rsid w:val="00D2031B"/>
    <w:rsid w:val="00D22332"/>
    <w:rsid w:val="00D25FE2"/>
    <w:rsid w:val="00D368F3"/>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B0A298F-BC6D-49F7-94C1-6013479E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4925E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7C7D94-56B2-4F21-8DC1-6DBC88A64CC0}"/>
</file>

<file path=customXml/itemProps2.xml><?xml version="1.0" encoding="utf-8"?>
<ds:datastoreItem xmlns:ds="http://schemas.openxmlformats.org/officeDocument/2006/customXml" ds:itemID="{4B3B6E60-01CC-4FA6-BABC-734368D1F800}"/>
</file>

<file path=customXml/itemProps3.xml><?xml version="1.0" encoding="utf-8"?>
<ds:datastoreItem xmlns:ds="http://schemas.openxmlformats.org/officeDocument/2006/customXml" ds:itemID="{C5058F50-5A80-4532-A6A5-F2271DF93B4A}"/>
</file>

<file path=docProps/app.xml><?xml version="1.0" encoding="utf-8"?>
<Properties xmlns="http://schemas.openxmlformats.org/officeDocument/2006/extended-properties" xmlns:vt="http://schemas.openxmlformats.org/officeDocument/2006/docPropsVTypes">
  <Template>A_E.dotm</Template>
  <TotalTime>0</TotalTime>
  <Pages>7</Pages>
  <Words>1241</Words>
  <Characters>7079</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A/HRC/38/9/Add.1</vt:lpstr>
      <vt:lpstr/>
    </vt:vector>
  </TitlesOfParts>
  <Company>CSD</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A/HRC/38/9/Add.1</dc:title>
  <dc:creator>Sumiko IHARA</dc:creator>
  <cp:lastModifiedBy>IHARA Sumiko</cp:lastModifiedBy>
  <cp:revision>2</cp:revision>
  <cp:lastPrinted>2008-01-29T08:30:00Z</cp:lastPrinted>
  <dcterms:created xsi:type="dcterms:W3CDTF">2018-06-20T13:53:00Z</dcterms:created>
  <dcterms:modified xsi:type="dcterms:W3CDTF">2018-06-20T13:53:00Z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