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E806EE">
        <w:trPr>
          <w:trHeight w:val="851"/>
        </w:trPr>
        <w:tc>
          <w:tcPr>
            <w:tcW w:w="1259" w:type="dxa"/>
            <w:tcBorders>
              <w:top w:val="nil"/>
              <w:left w:val="nil"/>
              <w:bottom w:val="single" w:sz="4" w:space="0" w:color="auto"/>
              <w:right w:val="nil"/>
            </w:tcBorders>
          </w:tcPr>
          <w:p w:rsidR="00446DE4" w:rsidRPr="00E806EE" w:rsidRDefault="00446DE4" w:rsidP="00E806EE">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rsidR="00446DE4" w:rsidRPr="00963CBA" w:rsidRDefault="00B3317B" w:rsidP="0022130F">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rsidR="00446DE4" w:rsidRPr="00DE3EC0" w:rsidRDefault="007B5271" w:rsidP="007B5271">
            <w:pPr>
              <w:jc w:val="right"/>
            </w:pPr>
            <w:r w:rsidRPr="007B5271">
              <w:rPr>
                <w:sz w:val="40"/>
              </w:rPr>
              <w:t>A</w:t>
            </w:r>
            <w:r>
              <w:t>/HRC/WG.6/27/ZAF/1</w:t>
            </w:r>
          </w:p>
        </w:tc>
      </w:tr>
      <w:tr w:rsidR="003107FA" w:rsidTr="00E806EE">
        <w:trPr>
          <w:trHeight w:val="2835"/>
        </w:trPr>
        <w:tc>
          <w:tcPr>
            <w:tcW w:w="1259" w:type="dxa"/>
            <w:tcBorders>
              <w:top w:val="single" w:sz="4" w:space="0" w:color="auto"/>
              <w:left w:val="nil"/>
              <w:bottom w:val="single" w:sz="12" w:space="0" w:color="auto"/>
              <w:right w:val="nil"/>
            </w:tcBorders>
          </w:tcPr>
          <w:p w:rsidR="003107FA" w:rsidRDefault="003D57D1" w:rsidP="00956D9B">
            <w:pPr>
              <w:spacing w:before="120"/>
              <w:jc w:val="center"/>
            </w:pPr>
            <w:r>
              <w:rPr>
                <w:noProof/>
                <w:lang w:eastAsia="ja-JP"/>
              </w:rPr>
              <w:drawing>
                <wp:inline distT="0" distB="0" distL="0" distR="0">
                  <wp:extent cx="709930" cy="586740"/>
                  <wp:effectExtent l="0" t="0" r="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930" cy="58674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3107FA" w:rsidRPr="00B3317B" w:rsidRDefault="00B3317B" w:rsidP="00EF5BDB">
            <w:pPr>
              <w:spacing w:before="120" w:line="420" w:lineRule="exact"/>
              <w:rPr>
                <w:b/>
                <w:sz w:val="40"/>
                <w:szCs w:val="40"/>
              </w:rPr>
            </w:pPr>
            <w:r>
              <w:rPr>
                <w:b/>
                <w:sz w:val="40"/>
                <w:szCs w:val="40"/>
              </w:rPr>
              <w:t>General Assembly</w:t>
            </w:r>
          </w:p>
        </w:tc>
        <w:tc>
          <w:tcPr>
            <w:tcW w:w="2930" w:type="dxa"/>
            <w:tcBorders>
              <w:top w:val="single" w:sz="4" w:space="0" w:color="auto"/>
              <w:left w:val="nil"/>
              <w:bottom w:val="single" w:sz="12" w:space="0" w:color="auto"/>
              <w:right w:val="nil"/>
            </w:tcBorders>
          </w:tcPr>
          <w:p w:rsidR="003107FA" w:rsidRDefault="007B5271" w:rsidP="007B5271">
            <w:pPr>
              <w:spacing w:before="240" w:line="240" w:lineRule="exact"/>
            </w:pPr>
            <w:r>
              <w:t>Distr.: General</w:t>
            </w:r>
          </w:p>
          <w:p w:rsidR="007B5271" w:rsidRDefault="00B15E59" w:rsidP="007B5271">
            <w:pPr>
              <w:spacing w:line="240" w:lineRule="exact"/>
            </w:pPr>
            <w:r>
              <w:t>11</w:t>
            </w:r>
            <w:r w:rsidR="00F46244">
              <w:t xml:space="preserve"> April</w:t>
            </w:r>
            <w:r w:rsidR="007B5271">
              <w:t xml:space="preserve"> 2017</w:t>
            </w:r>
          </w:p>
          <w:p w:rsidR="007B5271" w:rsidRDefault="007B5271" w:rsidP="007B5271">
            <w:pPr>
              <w:spacing w:line="240" w:lineRule="exact"/>
            </w:pPr>
          </w:p>
          <w:p w:rsidR="007B5271" w:rsidRDefault="007B5271" w:rsidP="007B5271">
            <w:pPr>
              <w:spacing w:line="240" w:lineRule="exact"/>
            </w:pPr>
            <w:r>
              <w:t>Original: English</w:t>
            </w:r>
          </w:p>
        </w:tc>
      </w:tr>
    </w:tbl>
    <w:p w:rsidR="007B5271" w:rsidRPr="00A04522" w:rsidRDefault="007B5271" w:rsidP="007B5271">
      <w:pPr>
        <w:spacing w:before="120"/>
        <w:rPr>
          <w:rFonts w:eastAsia="MS Mincho"/>
          <w:b/>
          <w:sz w:val="24"/>
          <w:szCs w:val="24"/>
        </w:rPr>
      </w:pPr>
      <w:r w:rsidRPr="00A04522">
        <w:rPr>
          <w:rFonts w:eastAsia="MS Mincho"/>
          <w:b/>
          <w:sz w:val="24"/>
          <w:szCs w:val="24"/>
        </w:rPr>
        <w:t>Human Rights Council</w:t>
      </w:r>
    </w:p>
    <w:p w:rsidR="007B5271" w:rsidRPr="00A04522" w:rsidRDefault="007B5271" w:rsidP="007B5271">
      <w:pPr>
        <w:rPr>
          <w:rFonts w:eastAsia="MS Mincho"/>
          <w:b/>
        </w:rPr>
      </w:pPr>
      <w:r w:rsidRPr="00A04522">
        <w:rPr>
          <w:rFonts w:eastAsia="MS Mincho"/>
          <w:b/>
        </w:rPr>
        <w:t>Working Group on the Universal Periodic Review</w:t>
      </w:r>
    </w:p>
    <w:p w:rsidR="007B5271" w:rsidRPr="00A04522" w:rsidRDefault="007B5271" w:rsidP="007B5271">
      <w:pPr>
        <w:rPr>
          <w:rFonts w:eastAsia="MS Mincho"/>
          <w:b/>
        </w:rPr>
      </w:pPr>
      <w:r>
        <w:rPr>
          <w:rFonts w:eastAsia="MS Mincho"/>
          <w:b/>
        </w:rPr>
        <w:t xml:space="preserve">Twenty-seventh </w:t>
      </w:r>
      <w:proofErr w:type="gramStart"/>
      <w:r w:rsidRPr="00A04522">
        <w:rPr>
          <w:rFonts w:eastAsia="MS Mincho"/>
          <w:b/>
        </w:rPr>
        <w:t>session</w:t>
      </w:r>
      <w:proofErr w:type="gramEnd"/>
    </w:p>
    <w:p w:rsidR="007B5271" w:rsidRPr="00A04522" w:rsidRDefault="007B5271" w:rsidP="007B5271">
      <w:pPr>
        <w:rPr>
          <w:rFonts w:eastAsia="MS Mincho"/>
        </w:rPr>
      </w:pPr>
      <w:r>
        <w:rPr>
          <w:rFonts w:eastAsia="MS Mincho"/>
        </w:rPr>
        <w:t>1–12 May 2017</w:t>
      </w:r>
    </w:p>
    <w:p w:rsidR="007B5271" w:rsidRPr="00A04522" w:rsidRDefault="007B5271" w:rsidP="007B5271">
      <w:pPr>
        <w:pStyle w:val="HChG"/>
        <w:rPr>
          <w:rFonts w:eastAsia="MS Mincho"/>
        </w:rPr>
      </w:pPr>
      <w:r w:rsidRPr="00A04522">
        <w:rPr>
          <w:rFonts w:eastAsia="MS Mincho"/>
        </w:rPr>
        <w:tab/>
      </w:r>
      <w:r w:rsidRPr="00A04522">
        <w:rPr>
          <w:rFonts w:eastAsia="MS Mincho"/>
        </w:rPr>
        <w:tab/>
        <w:t>National report submitted in accordance with paragraph 5 of the annex to Human Rights Council resolution 16/21</w:t>
      </w:r>
      <w:r w:rsidRPr="00A74126">
        <w:rPr>
          <w:rFonts w:eastAsia="MS Mincho"/>
          <w:b w:val="0"/>
          <w:sz w:val="20"/>
        </w:rPr>
        <w:footnoteReference w:customMarkFollows="1" w:id="2"/>
        <w:t>*</w:t>
      </w:r>
    </w:p>
    <w:p w:rsidR="007B5271" w:rsidRPr="00A04522" w:rsidRDefault="007B5271" w:rsidP="007B5271">
      <w:pPr>
        <w:pStyle w:val="HChG"/>
        <w:rPr>
          <w:rFonts w:eastAsia="MS Mincho"/>
        </w:rPr>
      </w:pPr>
      <w:r>
        <w:rPr>
          <w:rFonts w:eastAsia="MS Mincho"/>
        </w:rPr>
        <w:tab/>
      </w:r>
      <w:r>
        <w:rPr>
          <w:rFonts w:eastAsia="MS Mincho"/>
        </w:rPr>
        <w:tab/>
        <w:t>South Africa</w:t>
      </w:r>
    </w:p>
    <w:p w:rsidR="00BA1DA0" w:rsidRDefault="007B5271" w:rsidP="00BA1DA0">
      <w:pPr>
        <w:pStyle w:val="HChG"/>
        <w:rPr>
          <w:rFonts w:eastAsia="MS Mincho"/>
        </w:rPr>
      </w:pPr>
      <w:r w:rsidRPr="00A04522">
        <w:rPr>
          <w:rFonts w:eastAsia="MS Mincho"/>
        </w:rPr>
        <w:br w:type="page"/>
      </w:r>
      <w:r w:rsidR="00BA1DA0">
        <w:rPr>
          <w:rFonts w:eastAsia="MS Mincho"/>
        </w:rPr>
        <w:lastRenderedPageBreak/>
        <w:tab/>
      </w:r>
      <w:r w:rsidR="00BA1DA0">
        <w:rPr>
          <w:rFonts w:eastAsia="MS Mincho"/>
        </w:rPr>
        <w:tab/>
        <w:t>Introduction</w:t>
      </w:r>
    </w:p>
    <w:p w:rsidR="00BA1DA0" w:rsidRPr="00BA1DA0" w:rsidRDefault="00BA1DA0" w:rsidP="00BA1DA0">
      <w:pPr>
        <w:pStyle w:val="SingleTxtG"/>
        <w:rPr>
          <w:rFonts w:eastAsia="MS Mincho"/>
          <w:i/>
          <w:lang w:val="en-ZA"/>
        </w:rPr>
      </w:pPr>
      <w:r w:rsidRPr="00BA1DA0">
        <w:rPr>
          <w:rFonts w:eastAsia="MS Mincho"/>
          <w:i/>
          <w:lang w:val="en-ZA"/>
        </w:rPr>
        <w:t>“To deny people their human rights is to challenge their very humanity.”</w:t>
      </w:r>
    </w:p>
    <w:p w:rsidR="00BA1DA0" w:rsidRDefault="00BA1DA0" w:rsidP="00BA1DA0">
      <w:pPr>
        <w:ind w:left="6840"/>
        <w:rPr>
          <w:rFonts w:eastAsia="MS Mincho"/>
          <w:lang w:val="en-ZA"/>
        </w:rPr>
      </w:pPr>
      <w:r w:rsidRPr="00BA1DA0">
        <w:rPr>
          <w:rFonts w:eastAsia="MS Mincho"/>
          <w:lang w:val="en-ZA"/>
        </w:rPr>
        <w:t>Nelson Mandela</w:t>
      </w:r>
    </w:p>
    <w:p w:rsidR="00BA1DA0" w:rsidRPr="00BA1DA0" w:rsidRDefault="00BA1DA0" w:rsidP="0008063F">
      <w:pPr>
        <w:pStyle w:val="SingleTxtG"/>
        <w:spacing w:before="240"/>
        <w:rPr>
          <w:rFonts w:eastAsia="MS Mincho"/>
          <w:lang w:val="en-ZA"/>
        </w:rPr>
      </w:pPr>
      <w:r>
        <w:rPr>
          <w:rFonts w:eastAsia="MS Mincho"/>
          <w:lang w:val="en-ZA"/>
        </w:rPr>
        <w:t>1.</w:t>
      </w:r>
      <w:r>
        <w:rPr>
          <w:rFonts w:eastAsia="MS Mincho"/>
          <w:lang w:val="en-ZA"/>
        </w:rPr>
        <w:tab/>
      </w:r>
      <w:r w:rsidRPr="00BA1DA0">
        <w:rPr>
          <w:rFonts w:eastAsia="MS Mincho"/>
          <w:lang w:val="en-ZA"/>
        </w:rPr>
        <w:t>The Republic of South Africa is honoured to present its 3</w:t>
      </w:r>
      <w:r w:rsidRPr="00BA1DA0">
        <w:rPr>
          <w:rFonts w:eastAsia="MS Mincho"/>
          <w:vertAlign w:val="superscript"/>
          <w:lang w:val="en-ZA"/>
        </w:rPr>
        <w:t>rd</w:t>
      </w:r>
      <w:r w:rsidRPr="00BA1DA0">
        <w:rPr>
          <w:rFonts w:eastAsia="MS Mincho"/>
          <w:lang w:val="en-ZA"/>
        </w:rPr>
        <w:t xml:space="preserve"> cycle Universal Periodic Review Report.</w:t>
      </w:r>
    </w:p>
    <w:p w:rsidR="00BA1DA0" w:rsidRDefault="00BA1DA0" w:rsidP="00BA1DA0">
      <w:pPr>
        <w:pStyle w:val="SingleTxtG"/>
        <w:rPr>
          <w:rFonts w:eastAsia="MS Mincho"/>
          <w:lang w:val="en-ZA"/>
        </w:rPr>
      </w:pPr>
      <w:r>
        <w:rPr>
          <w:rFonts w:eastAsia="MS Mincho"/>
          <w:lang w:val="en-ZA"/>
        </w:rPr>
        <w:t>2.</w:t>
      </w:r>
      <w:r>
        <w:rPr>
          <w:rFonts w:eastAsia="MS Mincho"/>
          <w:lang w:val="en-ZA"/>
        </w:rPr>
        <w:tab/>
      </w:r>
      <w:r w:rsidRPr="00BA1DA0">
        <w:rPr>
          <w:rFonts w:eastAsia="MS Mincho"/>
          <w:lang w:val="en-ZA"/>
        </w:rPr>
        <w:t xml:space="preserve">Since the advent of democracy in South Africa in 1994, the Government continues to pursue the </w:t>
      </w:r>
      <w:r w:rsidR="003361FA">
        <w:rPr>
          <w:rFonts w:eastAsia="MS Mincho"/>
          <w:lang w:val="en-ZA"/>
        </w:rPr>
        <w:t>c</w:t>
      </w:r>
      <w:r w:rsidRPr="00BA1DA0">
        <w:rPr>
          <w:rFonts w:eastAsia="MS Mincho"/>
          <w:lang w:val="en-ZA"/>
        </w:rPr>
        <w:t>ountry’s quest to attain its national ideals of the realisation of human rights and fundamental freedoms for all. The ideal of the South African democratic dispensation is to attain social cohesion and national identity by, among others, effectively addressing the glaring challenges of inequality, poverty and unemployment. In this regard, South Africa has registered considerable progress towards the achieving of its national ideals and has proven that its institutions of government are maturing. South Africa, as a full member of the United Nations, in its engagement with the global system of governance, continues to embrace the centrality of the Charter of the United Nations; the primacy of the principles of international law; commitment to multilateralism; and, respect for the rule of law.</w:t>
      </w:r>
    </w:p>
    <w:p w:rsidR="00BA1DA0" w:rsidRPr="00BA1DA0" w:rsidRDefault="00BA1DA0" w:rsidP="00BA1DA0">
      <w:pPr>
        <w:pStyle w:val="HChG"/>
        <w:rPr>
          <w:rFonts w:eastAsia="MS Mincho"/>
          <w:lang w:val="en-ZA"/>
        </w:rPr>
      </w:pPr>
      <w:r>
        <w:rPr>
          <w:rFonts w:eastAsia="MS Mincho"/>
          <w:lang w:val="en-ZA"/>
        </w:rPr>
        <w:tab/>
        <w:t>I.</w:t>
      </w:r>
      <w:r>
        <w:rPr>
          <w:rFonts w:eastAsia="MS Mincho"/>
          <w:lang w:val="en-ZA"/>
        </w:rPr>
        <w:tab/>
        <w:t>Methodology and cons</w:t>
      </w:r>
      <w:r w:rsidR="00F401AE">
        <w:rPr>
          <w:rFonts w:eastAsia="MS Mincho"/>
          <w:lang w:val="en-ZA"/>
        </w:rPr>
        <w:t xml:space="preserve"> </w:t>
      </w:r>
      <w:proofErr w:type="spellStart"/>
      <w:r>
        <w:rPr>
          <w:rFonts w:eastAsia="MS Mincho"/>
          <w:lang w:val="en-ZA"/>
        </w:rPr>
        <w:t>ultation</w:t>
      </w:r>
      <w:proofErr w:type="spellEnd"/>
    </w:p>
    <w:p w:rsidR="00BA1DA0" w:rsidRPr="00BA1DA0" w:rsidRDefault="00BA1DA0" w:rsidP="00BA1DA0">
      <w:pPr>
        <w:pStyle w:val="SingleTxtG"/>
        <w:rPr>
          <w:rFonts w:eastAsia="MS Mincho"/>
          <w:lang w:val="en-ZA"/>
        </w:rPr>
      </w:pPr>
      <w:r>
        <w:rPr>
          <w:rFonts w:eastAsia="MS Mincho"/>
          <w:lang w:val="en-ZA"/>
        </w:rPr>
        <w:t>3.</w:t>
      </w:r>
      <w:r>
        <w:rPr>
          <w:rFonts w:eastAsia="MS Mincho"/>
          <w:lang w:val="en-ZA"/>
        </w:rPr>
        <w:tab/>
      </w:r>
      <w:r w:rsidRPr="00BA1DA0">
        <w:rPr>
          <w:rFonts w:eastAsia="MS Mincho"/>
          <w:lang w:val="en-ZA"/>
        </w:rPr>
        <w:t xml:space="preserve">This report provides an update on the development of human rights and fundamental freedoms in South Africa, during the period under review, and highlights progress on the </w:t>
      </w:r>
      <w:r w:rsidR="005B4449">
        <w:rPr>
          <w:rFonts w:eastAsia="MS Mincho"/>
          <w:lang w:val="en-ZA"/>
        </w:rPr>
        <w:t>c</w:t>
      </w:r>
      <w:r w:rsidRPr="00BA1DA0">
        <w:rPr>
          <w:rFonts w:eastAsia="MS Mincho"/>
          <w:lang w:val="en-ZA"/>
        </w:rPr>
        <w:t xml:space="preserve">ountry’s implementation of the recommendations made by </w:t>
      </w:r>
      <w:r w:rsidR="003361FA">
        <w:rPr>
          <w:rFonts w:eastAsia="MS Mincho"/>
          <w:lang w:val="en-ZA"/>
        </w:rPr>
        <w:t>M</w:t>
      </w:r>
      <w:r w:rsidRPr="00BA1DA0">
        <w:rPr>
          <w:rFonts w:eastAsia="MS Mincho"/>
          <w:lang w:val="en-ZA"/>
        </w:rPr>
        <w:t xml:space="preserve">ember </w:t>
      </w:r>
      <w:r w:rsidR="003361FA">
        <w:rPr>
          <w:rFonts w:eastAsia="MS Mincho"/>
          <w:lang w:val="en-ZA"/>
        </w:rPr>
        <w:t>S</w:t>
      </w:r>
      <w:r w:rsidRPr="00BA1DA0">
        <w:rPr>
          <w:rFonts w:eastAsia="MS Mincho"/>
          <w:lang w:val="en-ZA"/>
        </w:rPr>
        <w:t xml:space="preserve">tates of the UNHRC towards the </w:t>
      </w:r>
      <w:r w:rsidR="00964706">
        <w:rPr>
          <w:rFonts w:eastAsia="MS Mincho"/>
          <w:lang w:val="en-ZA"/>
        </w:rPr>
        <w:t>beginning</w:t>
      </w:r>
      <w:r w:rsidR="00964706" w:rsidRPr="00BA1DA0">
        <w:rPr>
          <w:rFonts w:eastAsia="MS Mincho"/>
          <w:lang w:val="en-ZA"/>
        </w:rPr>
        <w:t xml:space="preserve"> </w:t>
      </w:r>
      <w:r w:rsidRPr="00BA1DA0">
        <w:rPr>
          <w:rFonts w:eastAsia="MS Mincho"/>
          <w:lang w:val="en-ZA"/>
        </w:rPr>
        <w:t>of the 2</w:t>
      </w:r>
      <w:r w:rsidRPr="00BA1DA0">
        <w:rPr>
          <w:rFonts w:eastAsia="MS Mincho"/>
          <w:vertAlign w:val="superscript"/>
          <w:lang w:val="en-ZA"/>
        </w:rPr>
        <w:t>nd</w:t>
      </w:r>
      <w:r w:rsidRPr="00BA1DA0">
        <w:rPr>
          <w:rFonts w:eastAsia="MS Mincho"/>
          <w:lang w:val="en-ZA"/>
        </w:rPr>
        <w:t xml:space="preserve"> cycle in 2012. During the 21</w:t>
      </w:r>
      <w:r w:rsidRPr="00BA1DA0">
        <w:rPr>
          <w:rFonts w:eastAsia="MS Mincho"/>
          <w:vertAlign w:val="superscript"/>
          <w:lang w:val="en-ZA"/>
        </w:rPr>
        <w:t>st</w:t>
      </w:r>
      <w:r w:rsidRPr="00BA1DA0">
        <w:rPr>
          <w:rFonts w:eastAsia="MS Mincho"/>
          <w:lang w:val="en-ZA"/>
        </w:rPr>
        <w:t xml:space="preserve"> session of the UNHRC, held in September 2012, South Africa accepted 152 recommendations and thereafter compiled a composite document setting out the draft responses </w:t>
      </w:r>
      <w:r>
        <w:rPr>
          <w:rFonts w:eastAsia="MS Mincho"/>
          <w:lang w:val="en-ZA"/>
        </w:rPr>
        <w:t>thereto.</w:t>
      </w:r>
    </w:p>
    <w:p w:rsidR="00BA1DA0" w:rsidRPr="00BA1DA0" w:rsidRDefault="00BA1DA0" w:rsidP="00BA1DA0">
      <w:pPr>
        <w:pStyle w:val="SingleTxtG"/>
        <w:rPr>
          <w:rFonts w:eastAsia="MS Mincho"/>
          <w:lang w:val="en-ZA"/>
        </w:rPr>
      </w:pPr>
      <w:r>
        <w:rPr>
          <w:rFonts w:eastAsia="MS Mincho"/>
          <w:lang w:val="en-ZA"/>
        </w:rPr>
        <w:t>4.</w:t>
      </w:r>
      <w:r>
        <w:rPr>
          <w:rFonts w:eastAsia="MS Mincho"/>
          <w:lang w:val="en-ZA"/>
        </w:rPr>
        <w:tab/>
      </w:r>
      <w:r w:rsidRPr="00BA1DA0">
        <w:rPr>
          <w:rFonts w:eastAsia="MS Mincho"/>
          <w:lang w:val="en-ZA"/>
        </w:rPr>
        <w:t>Accordingly, this report is essentially a synthesis document compiled on the basis of information drawn from various Government Departments verified through research and information or comments obtained from some non-governmental organizations.</w:t>
      </w:r>
    </w:p>
    <w:p w:rsidR="00BA1DA0" w:rsidRPr="00BA1DA0" w:rsidRDefault="00BA1DA0" w:rsidP="00BA1DA0">
      <w:pPr>
        <w:pStyle w:val="HChG"/>
        <w:rPr>
          <w:rFonts w:eastAsia="MS Mincho"/>
          <w:lang w:val="en-ZA"/>
        </w:rPr>
      </w:pPr>
      <w:bookmarkStart w:id="1" w:name="_Toc473904007"/>
      <w:r>
        <w:rPr>
          <w:rFonts w:eastAsia="MS Mincho"/>
          <w:lang w:val="en-ZA"/>
        </w:rPr>
        <w:tab/>
        <w:t>II.</w:t>
      </w:r>
      <w:r>
        <w:rPr>
          <w:rFonts w:eastAsia="MS Mincho"/>
          <w:lang w:val="en-ZA"/>
        </w:rPr>
        <w:tab/>
        <w:t>Developments since the previous review</w:t>
      </w:r>
      <w:bookmarkEnd w:id="1"/>
    </w:p>
    <w:p w:rsidR="00BA1DA0" w:rsidRPr="00BA1DA0" w:rsidRDefault="00BA1DA0" w:rsidP="00BA1DA0">
      <w:pPr>
        <w:pStyle w:val="H1G"/>
        <w:rPr>
          <w:rFonts w:eastAsia="MS Mincho"/>
          <w:lang w:val="en-ZA"/>
        </w:rPr>
      </w:pPr>
      <w:bookmarkStart w:id="2" w:name="_Toc473904008"/>
      <w:r>
        <w:rPr>
          <w:rFonts w:eastAsia="MS Mincho"/>
          <w:lang w:val="en-ZA"/>
        </w:rPr>
        <w:tab/>
      </w:r>
      <w:r>
        <w:rPr>
          <w:rFonts w:eastAsia="MS Mincho"/>
          <w:lang w:val="en-ZA"/>
        </w:rPr>
        <w:tab/>
      </w:r>
      <w:r w:rsidRPr="00BA1DA0">
        <w:rPr>
          <w:rFonts w:eastAsia="MS Mincho"/>
          <w:lang w:val="en-ZA"/>
        </w:rPr>
        <w:t>Constitutional, legislative and policy measures</w:t>
      </w:r>
      <w:bookmarkEnd w:id="2"/>
    </w:p>
    <w:p w:rsidR="00BA1DA0" w:rsidRPr="00BA1DA0" w:rsidRDefault="00BA1DA0" w:rsidP="00BA1DA0">
      <w:pPr>
        <w:pStyle w:val="SingleTxtG"/>
        <w:rPr>
          <w:rFonts w:eastAsia="MS Mincho"/>
          <w:lang w:val="en-ZA"/>
        </w:rPr>
      </w:pPr>
      <w:r>
        <w:rPr>
          <w:rFonts w:eastAsia="MS Mincho"/>
          <w:lang w:val="en-ZA"/>
        </w:rPr>
        <w:t>5.</w:t>
      </w:r>
      <w:r>
        <w:rPr>
          <w:rFonts w:eastAsia="MS Mincho"/>
          <w:lang w:val="en-ZA"/>
        </w:rPr>
        <w:tab/>
      </w:r>
      <w:r w:rsidRPr="00BA1DA0">
        <w:rPr>
          <w:rFonts w:eastAsia="MS Mincho"/>
          <w:lang w:val="en-ZA"/>
        </w:rPr>
        <w:t>The South African Constitution provides for both civil and political rights and economic, social and cultural rights, all of which are justiciable in the courts of the land. It incorporates a comprehensive set of human rights standards articulated in public international law, which form the bedrock of our constitutional order and places the attainment of human rights for all citizens at the centre of all Government policy and legislation.</w:t>
      </w:r>
      <w:r w:rsidRPr="00BA1DA0" w:rsidDel="006759AC">
        <w:rPr>
          <w:rFonts w:eastAsia="MS Mincho"/>
          <w:lang w:val="en-ZA"/>
        </w:rPr>
        <w:t xml:space="preserve"> </w:t>
      </w:r>
      <w:r w:rsidRPr="00BA1DA0">
        <w:rPr>
          <w:rFonts w:eastAsia="MS Mincho"/>
          <w:lang w:val="en-ZA"/>
        </w:rPr>
        <w:t>It forms the basis for, and consideration of, all human rights situations in the country</w:t>
      </w:r>
      <w:r>
        <w:rPr>
          <w:rFonts w:eastAsia="MS Mincho"/>
          <w:lang w:val="en-ZA"/>
        </w:rPr>
        <w:t>.</w:t>
      </w:r>
    </w:p>
    <w:p w:rsidR="00BA1DA0" w:rsidRPr="00BA1DA0" w:rsidRDefault="00BA1DA0" w:rsidP="00BA1DA0">
      <w:pPr>
        <w:pStyle w:val="SingleTxtG"/>
        <w:rPr>
          <w:rFonts w:eastAsia="MS Mincho"/>
          <w:lang w:val="en-ZA"/>
        </w:rPr>
      </w:pPr>
      <w:r>
        <w:rPr>
          <w:rFonts w:eastAsia="MS Mincho"/>
          <w:lang w:val="en-ZA"/>
        </w:rPr>
        <w:t>6.</w:t>
      </w:r>
      <w:r>
        <w:rPr>
          <w:rFonts w:eastAsia="MS Mincho"/>
          <w:lang w:val="en-ZA"/>
        </w:rPr>
        <w:tab/>
      </w:r>
      <w:r w:rsidRPr="00BA1DA0">
        <w:rPr>
          <w:rFonts w:eastAsia="MS Mincho"/>
          <w:lang w:val="en-ZA"/>
        </w:rPr>
        <w:t xml:space="preserve">The National Planning Commission (NPC), which was established in 2009, has drafted South Africa’s first long-range plan </w:t>
      </w:r>
      <w:r>
        <w:rPr>
          <w:rFonts w:eastAsia="MS Mincho"/>
          <w:lang w:val="en-ZA"/>
        </w:rPr>
        <w:t>–</w:t>
      </w:r>
      <w:r w:rsidRPr="00BA1DA0">
        <w:rPr>
          <w:rFonts w:eastAsia="MS Mincho"/>
          <w:lang w:val="en-ZA"/>
        </w:rPr>
        <w:t xml:space="preserve"> </w:t>
      </w:r>
      <w:r w:rsidRPr="00F46244">
        <w:rPr>
          <w:rFonts w:eastAsia="MS Mincho"/>
          <w:b/>
          <w:lang w:val="en-ZA"/>
        </w:rPr>
        <w:t>National Development Plan (NDP): Vision 2030, which aims to eliminate poverty and reduce inequality by 2030</w:t>
      </w:r>
      <w:r w:rsidRPr="00F46244">
        <w:rPr>
          <w:rFonts w:eastAsia="MS Mincho"/>
          <w:lang w:val="en-ZA"/>
        </w:rPr>
        <w:t>.</w:t>
      </w:r>
      <w:r w:rsidRPr="00BA1DA0">
        <w:rPr>
          <w:rFonts w:eastAsia="MS Mincho"/>
          <w:b/>
          <w:lang w:val="en-ZA"/>
        </w:rPr>
        <w:t xml:space="preserve"> </w:t>
      </w:r>
      <w:r w:rsidRPr="00BA1DA0">
        <w:rPr>
          <w:rFonts w:eastAsia="MS Mincho"/>
          <w:lang w:val="en-ZA"/>
        </w:rPr>
        <w:t>The NDP</w:t>
      </w:r>
      <w:r w:rsidRPr="00BA1DA0">
        <w:rPr>
          <w:rFonts w:eastAsia="MS Mincho"/>
          <w:b/>
          <w:lang w:val="en-ZA"/>
        </w:rPr>
        <w:t xml:space="preserve"> </w:t>
      </w:r>
      <w:r w:rsidRPr="00BA1DA0">
        <w:rPr>
          <w:rFonts w:eastAsia="MS Mincho"/>
          <w:lang w:val="en-ZA"/>
        </w:rPr>
        <w:t xml:space="preserve">was adopted in 2013 and primarily focuses on the development of South Africa for the benefit of </w:t>
      </w:r>
      <w:proofErr w:type="gramStart"/>
      <w:r w:rsidRPr="00BA1DA0">
        <w:rPr>
          <w:rFonts w:eastAsia="MS Mincho"/>
          <w:lang w:val="en-ZA"/>
        </w:rPr>
        <w:t>all its</w:t>
      </w:r>
      <w:proofErr w:type="gramEnd"/>
      <w:r w:rsidRPr="00BA1DA0">
        <w:rPr>
          <w:rFonts w:eastAsia="MS Mincho"/>
          <w:lang w:val="en-ZA"/>
        </w:rPr>
        <w:t xml:space="preserve"> people and the full realisation of human rights. Government’s five year plan </w:t>
      </w:r>
      <w:r>
        <w:rPr>
          <w:rFonts w:eastAsia="MS Mincho"/>
          <w:lang w:val="en-ZA"/>
        </w:rPr>
        <w:t>–</w:t>
      </w:r>
      <w:r w:rsidRPr="00BA1DA0">
        <w:rPr>
          <w:rFonts w:eastAsia="MS Mincho"/>
          <w:lang w:val="en-ZA"/>
        </w:rPr>
        <w:t xml:space="preserve"> </w:t>
      </w:r>
      <w:r w:rsidRPr="00BA1DA0">
        <w:rPr>
          <w:rFonts w:eastAsia="MS Mincho"/>
        </w:rPr>
        <w:t>t</w:t>
      </w:r>
      <w:r w:rsidRPr="00BA1DA0">
        <w:rPr>
          <w:rFonts w:eastAsia="MS Mincho"/>
          <w:lang w:val="en-ZA"/>
        </w:rPr>
        <w:t xml:space="preserve">he Medium Term Strategic Framework (MTSF), coincides with the five year term of government. The current MTSF pursues </w:t>
      </w:r>
      <w:r w:rsidRPr="00F46244">
        <w:rPr>
          <w:rFonts w:eastAsia="MS Mincho"/>
          <w:b/>
          <w:lang w:val="en-ZA"/>
        </w:rPr>
        <w:t>14 broad priority outcomes</w:t>
      </w:r>
      <w:r w:rsidRPr="00F46244">
        <w:rPr>
          <w:rFonts w:eastAsia="MS Mincho"/>
          <w:lang w:val="en-ZA"/>
        </w:rPr>
        <w:t>.</w:t>
      </w:r>
      <w:r w:rsidRPr="00BA1DA0">
        <w:rPr>
          <w:rFonts w:eastAsia="MS Mincho"/>
          <w:b/>
          <w:lang w:val="en-ZA"/>
        </w:rPr>
        <w:t xml:space="preserve"> </w:t>
      </w:r>
      <w:r w:rsidRPr="00BA1DA0">
        <w:rPr>
          <w:rFonts w:eastAsia="MS Mincho"/>
          <w:lang w:val="en-ZA"/>
        </w:rPr>
        <w:t xml:space="preserve">It represents the first </w:t>
      </w:r>
      <w:r w:rsidRPr="00BA1DA0">
        <w:rPr>
          <w:rFonts w:eastAsia="MS Mincho"/>
          <w:lang w:val="en-ZA"/>
        </w:rPr>
        <w:lastRenderedPageBreak/>
        <w:t>five-year implementation phase of the NDP. It covers the focus areas identified in the NDP and Government’s electoral mandate: education, health, safety and security, economic growth and employment, skills development, infrastructure, rural development, human settlements, local government, environment, international relations, public sector, social protection, nation-building and social cohesion.</w:t>
      </w:r>
    </w:p>
    <w:p w:rsidR="00BA1DA0" w:rsidRPr="00BA1DA0" w:rsidRDefault="00BA1DA0" w:rsidP="00BA1DA0">
      <w:pPr>
        <w:pStyle w:val="SingleTxtG"/>
        <w:rPr>
          <w:rFonts w:eastAsia="MS Mincho"/>
          <w:lang w:val="en-ZA"/>
        </w:rPr>
      </w:pPr>
      <w:r>
        <w:rPr>
          <w:rFonts w:eastAsia="MS Mincho"/>
          <w:lang w:val="en-ZA"/>
        </w:rPr>
        <w:t>7.</w:t>
      </w:r>
      <w:r>
        <w:rPr>
          <w:rFonts w:eastAsia="MS Mincho"/>
          <w:lang w:val="en-ZA"/>
        </w:rPr>
        <w:tab/>
      </w:r>
      <w:r w:rsidRPr="00BA1DA0">
        <w:rPr>
          <w:rFonts w:eastAsia="MS Mincho"/>
          <w:lang w:val="en-ZA"/>
        </w:rPr>
        <w:t>In pursuance of the 14 outcomes, Government employs its hierarchy of planning and budgeting instruments to focus its work on the implementation of the NDP. Accordingly, the NDP is broken down into the MTSF priorities which, in turn, are reviewed and updated annually by means of Annual Performance Plans of each Government Department; all of which aim to realise human rights enshrined in the Constitution,</w:t>
      </w:r>
      <w:r w:rsidR="00F7073B">
        <w:rPr>
          <w:rStyle w:val="EndnoteReference"/>
          <w:rFonts w:eastAsia="MS Mincho"/>
          <w:lang w:val="en-ZA"/>
        </w:rPr>
        <w:endnoteReference w:id="2"/>
      </w:r>
      <w:r w:rsidR="00F7073B">
        <w:rPr>
          <w:rFonts w:eastAsia="MS Mincho"/>
          <w:lang w:val="en-ZA"/>
        </w:rPr>
        <w:t xml:space="preserve"> </w:t>
      </w:r>
      <w:r>
        <w:rPr>
          <w:rFonts w:eastAsia="MS Mincho"/>
          <w:lang w:val="en-ZA"/>
        </w:rPr>
        <w:t>within available resources.</w:t>
      </w:r>
    </w:p>
    <w:p w:rsidR="00BA1DA0" w:rsidRPr="00BA1DA0" w:rsidRDefault="00BA1DA0" w:rsidP="00BA1DA0">
      <w:pPr>
        <w:pStyle w:val="SingleTxtG"/>
        <w:rPr>
          <w:rFonts w:eastAsia="MS Mincho"/>
          <w:lang w:val="en-ZA"/>
        </w:rPr>
      </w:pPr>
      <w:r>
        <w:rPr>
          <w:rFonts w:eastAsia="MS Mincho"/>
          <w:lang w:val="en-ZA"/>
        </w:rPr>
        <w:t>8.</w:t>
      </w:r>
      <w:r>
        <w:rPr>
          <w:rFonts w:eastAsia="MS Mincho"/>
          <w:lang w:val="en-ZA"/>
        </w:rPr>
        <w:tab/>
      </w:r>
      <w:r w:rsidRPr="00BA1DA0">
        <w:rPr>
          <w:rFonts w:eastAsia="MS Mincho"/>
          <w:lang w:val="en-ZA"/>
        </w:rPr>
        <w:t>In 2014, Government consolidated both its planning and monitoring and evaluation functions into a single Department of Planning, Monitoring and Evaluation with a view to institutionalising long-term planning across the three spheres of Government in order to ensure efficient and effective implementation</w:t>
      </w:r>
      <w:r>
        <w:rPr>
          <w:rFonts w:eastAsia="MS Mincho"/>
          <w:lang w:val="en-ZA"/>
        </w:rPr>
        <w:t xml:space="preserve"> of programmes.</w:t>
      </w:r>
    </w:p>
    <w:p w:rsidR="00BA1DA0" w:rsidRPr="00BA1DA0" w:rsidRDefault="00BA1DA0" w:rsidP="00BA1DA0">
      <w:pPr>
        <w:pStyle w:val="SingleTxtG"/>
        <w:rPr>
          <w:rFonts w:eastAsia="MS Mincho"/>
          <w:lang w:val="en-ZA"/>
        </w:rPr>
      </w:pPr>
      <w:r>
        <w:rPr>
          <w:rFonts w:eastAsia="MS Mincho"/>
          <w:lang w:val="en-ZA"/>
        </w:rPr>
        <w:t>9.</w:t>
      </w:r>
      <w:r>
        <w:rPr>
          <w:rFonts w:eastAsia="MS Mincho"/>
          <w:lang w:val="en-ZA"/>
        </w:rPr>
        <w:tab/>
      </w:r>
      <w:r w:rsidRPr="00BA1DA0">
        <w:rPr>
          <w:rFonts w:eastAsia="MS Mincho"/>
          <w:lang w:val="en-ZA"/>
        </w:rPr>
        <w:t>Chapter 2 of the Constitution provides for human rights and fundamental freedoms which inform the normative and institutional framework within which legislative steps can be taken to give legal effect to these rights and fundamental freedoms. It is notable, too, that the principle of constitutional supremacy demands accountability from Government as well as creating a framework for the justiciability of socio-economic and cultural rights. The Constitution, in Chapter 9, provides for institutions such as the Public Protector, the South African Human Rights Commission (SAHRC), the Commission for the Promotion and Protection of the Rights of Cultural, Religious and Linguistic Communities (CRL) and the Commission for Gender Equality (CGE), all of which are subject only to the Constitution and are required to exercise their powers and execute their functions impartially and independently</w:t>
      </w:r>
      <w:r>
        <w:rPr>
          <w:rFonts w:eastAsia="MS Mincho"/>
          <w:lang w:val="en-ZA"/>
        </w:rPr>
        <w:t>.</w:t>
      </w:r>
    </w:p>
    <w:p w:rsidR="00BA1DA0" w:rsidRPr="00BA1DA0" w:rsidRDefault="00BA1DA0" w:rsidP="00BA1DA0">
      <w:pPr>
        <w:pStyle w:val="SingleTxtG"/>
        <w:rPr>
          <w:rFonts w:eastAsia="MS Mincho"/>
          <w:lang w:val="en-ZA"/>
        </w:rPr>
      </w:pPr>
      <w:r>
        <w:rPr>
          <w:rFonts w:eastAsia="MS Mincho"/>
          <w:lang w:val="en-ZA"/>
        </w:rPr>
        <w:t>10.</w:t>
      </w:r>
      <w:r>
        <w:rPr>
          <w:rFonts w:eastAsia="MS Mincho"/>
          <w:lang w:val="en-ZA"/>
        </w:rPr>
        <w:tab/>
      </w:r>
      <w:r w:rsidRPr="00BA1DA0">
        <w:rPr>
          <w:rFonts w:eastAsia="MS Mincho"/>
          <w:lang w:val="en-ZA"/>
        </w:rPr>
        <w:t>These Chapter 9 institutions, together with an independent judiciary, contribute to a normative framework in which compliance with international human rights and constitutional imperatives is mandatory.</w:t>
      </w:r>
    </w:p>
    <w:p w:rsidR="00BA1DA0" w:rsidRDefault="00BA1DA0" w:rsidP="00BA1DA0">
      <w:pPr>
        <w:pStyle w:val="SingleTxtG"/>
        <w:rPr>
          <w:rFonts w:eastAsia="MS Mincho"/>
          <w:lang w:val="en-ZA"/>
        </w:rPr>
      </w:pPr>
      <w:r>
        <w:rPr>
          <w:rFonts w:eastAsia="MS Mincho"/>
          <w:lang w:val="en-ZA"/>
        </w:rPr>
        <w:t>11.</w:t>
      </w:r>
      <w:r>
        <w:rPr>
          <w:rFonts w:eastAsia="MS Mincho"/>
          <w:lang w:val="en-ZA"/>
        </w:rPr>
        <w:tab/>
      </w:r>
      <w:r w:rsidRPr="00BA1DA0">
        <w:rPr>
          <w:rFonts w:eastAsia="MS Mincho"/>
          <w:lang w:val="en-ZA"/>
        </w:rPr>
        <w:t>The Promotion of Equality and Prevention of Unfair Discrimination Act, 2000</w:t>
      </w:r>
      <w:r w:rsidR="00F7073B">
        <w:rPr>
          <w:rStyle w:val="EndnoteReference"/>
          <w:rFonts w:eastAsia="MS Mincho"/>
          <w:lang w:val="en-ZA"/>
        </w:rPr>
        <w:endnoteReference w:id="3"/>
      </w:r>
      <w:r w:rsidRPr="00BA1DA0">
        <w:rPr>
          <w:rFonts w:eastAsia="MS Mincho"/>
          <w:lang w:val="en-ZA"/>
        </w:rPr>
        <w:t xml:space="preserve"> (“PEPUDA”) prevents and prohibits unfair discrimination on the grounds set out in section 9 of the Constitution, the ‘equality’ clause, and provides a framework for its implementation. PEPUDA established the Equality Court which can be approached for relief by any person who feels aggrieved by any act of discrimination. The table below sets out the latest Equality Court figures:</w:t>
      </w:r>
    </w:p>
    <w:p w:rsidR="00BA1DA0" w:rsidRDefault="003D57D1" w:rsidP="00BA1DA0">
      <w:pPr>
        <w:pStyle w:val="SingleTxtG"/>
        <w:rPr>
          <w:rFonts w:ascii="Arial" w:hAnsi="Arial" w:cs="Arial"/>
          <w:noProof/>
          <w:lang w:eastAsia="ja-JP"/>
        </w:rPr>
      </w:pPr>
      <w:r>
        <w:rPr>
          <w:rFonts w:ascii="Arial" w:hAnsi="Arial" w:cs="Arial"/>
          <w:noProof/>
          <w:lang w:eastAsia="ja-JP"/>
        </w:rPr>
        <w:lastRenderedPageBreak/>
        <w:drawing>
          <wp:inline distT="0" distB="0" distL="0" distR="0">
            <wp:extent cx="5377180" cy="2429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180" cy="2429510"/>
                    </a:xfrm>
                    <a:prstGeom prst="rect">
                      <a:avLst/>
                    </a:prstGeom>
                    <a:noFill/>
                    <a:ln>
                      <a:noFill/>
                    </a:ln>
                  </pic:spPr>
                </pic:pic>
              </a:graphicData>
            </a:graphic>
          </wp:inline>
        </w:drawing>
      </w:r>
    </w:p>
    <w:p w:rsidR="00BA1DA0" w:rsidRPr="00BA1DA0" w:rsidRDefault="00BA1DA0" w:rsidP="00BA1DA0">
      <w:pPr>
        <w:pStyle w:val="SingleTxtG"/>
        <w:rPr>
          <w:rFonts w:eastAsiaTheme="minorHAnsi"/>
        </w:rPr>
      </w:pPr>
      <w:r>
        <w:rPr>
          <w:rFonts w:eastAsiaTheme="minorHAnsi"/>
        </w:rPr>
        <w:t>12.</w:t>
      </w:r>
      <w:r>
        <w:rPr>
          <w:rFonts w:eastAsiaTheme="minorHAnsi"/>
        </w:rPr>
        <w:tab/>
      </w:r>
      <w:r w:rsidRPr="00BA1DA0">
        <w:rPr>
          <w:rFonts w:eastAsiaTheme="minorHAnsi"/>
        </w:rPr>
        <w:t xml:space="preserve">The passing of the </w:t>
      </w:r>
      <w:r w:rsidRPr="00F46244">
        <w:rPr>
          <w:rFonts w:eastAsiaTheme="minorHAnsi"/>
          <w:b/>
        </w:rPr>
        <w:t>Prevention and Combating of Torture of Persons Act, 2013</w:t>
      </w:r>
      <w:r w:rsidR="00F7073B">
        <w:rPr>
          <w:rStyle w:val="EndnoteReference"/>
          <w:rFonts w:eastAsiaTheme="minorHAnsi"/>
        </w:rPr>
        <w:endnoteReference w:id="4"/>
      </w:r>
      <w:r w:rsidRPr="00BA1DA0">
        <w:rPr>
          <w:rFonts w:eastAsiaTheme="minorHAnsi"/>
        </w:rPr>
        <w:t xml:space="preserve"> is an important milestone in our committed journey towards the full attainment of human rights. The Act gives effect to South Africa’s obligations arising from the United Nations Convention </w:t>
      </w:r>
      <w:proofErr w:type="gramStart"/>
      <w:r w:rsidRPr="00BA1DA0">
        <w:rPr>
          <w:rFonts w:eastAsiaTheme="minorHAnsi"/>
        </w:rPr>
        <w:t>Against</w:t>
      </w:r>
      <w:proofErr w:type="gramEnd"/>
      <w:r w:rsidRPr="00BA1DA0">
        <w:rPr>
          <w:rFonts w:eastAsiaTheme="minorHAnsi"/>
        </w:rPr>
        <w:t xml:space="preserve"> Torture and Other Cruel, Inhuman or Degrading Treatment or Punishment. It aims to prevent and combat the torture of persons and to impose a maximum penalty of R100 million or life imprisonment, or both, in th</w:t>
      </w:r>
      <w:r>
        <w:rPr>
          <w:rFonts w:eastAsiaTheme="minorHAnsi"/>
        </w:rPr>
        <w:t>e case of a conviction.</w:t>
      </w:r>
    </w:p>
    <w:p w:rsidR="00BA1DA0" w:rsidRPr="00BA1DA0" w:rsidRDefault="00BA1DA0" w:rsidP="00BA1DA0">
      <w:pPr>
        <w:pStyle w:val="SingleTxtG"/>
        <w:rPr>
          <w:rFonts w:eastAsiaTheme="minorHAnsi"/>
        </w:rPr>
      </w:pPr>
      <w:r>
        <w:rPr>
          <w:rFonts w:eastAsiaTheme="minorHAnsi"/>
        </w:rPr>
        <w:t>13.</w:t>
      </w:r>
      <w:r>
        <w:rPr>
          <w:rFonts w:eastAsiaTheme="minorHAnsi"/>
        </w:rPr>
        <w:tab/>
      </w:r>
      <w:r w:rsidRPr="00BA1DA0">
        <w:rPr>
          <w:rFonts w:eastAsiaTheme="minorHAnsi"/>
        </w:rPr>
        <w:t xml:space="preserve">South Africa has passed </w:t>
      </w:r>
      <w:r w:rsidRPr="00F46244">
        <w:rPr>
          <w:rFonts w:eastAsiaTheme="minorHAnsi"/>
          <w:b/>
        </w:rPr>
        <w:t>the Prevention and Combating of Trafficking in Persons Act, 2013</w:t>
      </w:r>
      <w:r w:rsidRPr="00BA1DA0">
        <w:rPr>
          <w:rFonts w:eastAsiaTheme="minorHAnsi"/>
        </w:rPr>
        <w:t>.</w:t>
      </w:r>
      <w:r w:rsidR="00F7073B">
        <w:rPr>
          <w:rStyle w:val="EndnoteReference"/>
          <w:rFonts w:eastAsiaTheme="minorHAnsi"/>
        </w:rPr>
        <w:endnoteReference w:id="5"/>
      </w:r>
      <w:r w:rsidRPr="00BA1DA0">
        <w:rPr>
          <w:rFonts w:eastAsiaTheme="minorHAnsi"/>
        </w:rPr>
        <w:t xml:space="preserve"> The Act is a comprehensive piece of legislation dealing with trafficking in persons. It replaces the old fragmented manner of dealing with this matter, under various pieces of legislation.</w:t>
      </w:r>
      <w:r w:rsidR="00F7073B">
        <w:rPr>
          <w:rStyle w:val="EndnoteReference"/>
          <w:rFonts w:eastAsiaTheme="minorHAnsi"/>
        </w:rPr>
        <w:endnoteReference w:id="6"/>
      </w:r>
      <w:r w:rsidRPr="00BA1DA0">
        <w:rPr>
          <w:rFonts w:eastAsiaTheme="minorHAnsi"/>
        </w:rPr>
        <w:t xml:space="preserve"> In addition to creating very specific offences criminalising trafficking in persons, the Act also affords victims the right to claim compensation from convicted traffickers for damages, physical injuries an</w:t>
      </w:r>
      <w:r>
        <w:rPr>
          <w:rFonts w:eastAsiaTheme="minorHAnsi"/>
        </w:rPr>
        <w:t>d psychological harm suffered.</w:t>
      </w:r>
    </w:p>
    <w:p w:rsidR="00BA1DA0" w:rsidRPr="00BA1DA0" w:rsidRDefault="00BA1DA0" w:rsidP="00BA1DA0">
      <w:pPr>
        <w:pStyle w:val="SingleTxtG"/>
        <w:rPr>
          <w:rFonts w:eastAsiaTheme="minorHAnsi"/>
        </w:rPr>
      </w:pPr>
      <w:r>
        <w:rPr>
          <w:rFonts w:eastAsiaTheme="minorHAnsi"/>
        </w:rPr>
        <w:t>14.</w:t>
      </w:r>
      <w:r>
        <w:rPr>
          <w:rFonts w:eastAsiaTheme="minorHAnsi"/>
        </w:rPr>
        <w:tab/>
      </w:r>
      <w:r w:rsidRPr="00BA1DA0">
        <w:rPr>
          <w:rFonts w:eastAsiaTheme="minorHAnsi"/>
        </w:rPr>
        <w:t xml:space="preserve">The </w:t>
      </w:r>
      <w:r w:rsidRPr="00F46244">
        <w:rPr>
          <w:rFonts w:eastAsiaTheme="minorHAnsi"/>
          <w:b/>
        </w:rPr>
        <w:t>Protection of Personal Information Act, 2013</w:t>
      </w:r>
      <w:r w:rsidR="00F7073B">
        <w:rPr>
          <w:rStyle w:val="EndnoteReference"/>
          <w:rFonts w:eastAsiaTheme="minorHAnsi"/>
        </w:rPr>
        <w:endnoteReference w:id="7"/>
      </w:r>
      <w:r w:rsidRPr="00BA1DA0">
        <w:rPr>
          <w:rFonts w:eastAsiaTheme="minorHAnsi"/>
        </w:rPr>
        <w:t xml:space="preserve"> deals with the privacy of personal information. It regulates data protection and privacy in South Africa and imposes a number of stringent</w:t>
      </w:r>
      <w:r w:rsidR="00F7073B">
        <w:rPr>
          <w:rFonts w:eastAsiaTheme="minorHAnsi"/>
        </w:rPr>
        <w:t xml:space="preserve"> </w:t>
      </w:r>
      <w:r w:rsidRPr="00BA1DA0">
        <w:rPr>
          <w:rFonts w:eastAsiaTheme="minorHAnsi"/>
        </w:rPr>
        <w:t xml:space="preserve">obligations on all persons who deal with personal information. It protects the right to personal privacy but also provides for factors to be considered in striking a balance between such a right and the right to freedom of expression. When drafting the legislation, special consideration was given to ensuring that the Bill does not unduly restrict journalistic freedom, literary or artistic expression and law enforcement. The Act establishes an independent </w:t>
      </w:r>
      <w:r w:rsidRPr="00F46244">
        <w:rPr>
          <w:rFonts w:eastAsiaTheme="minorHAnsi"/>
          <w:b/>
        </w:rPr>
        <w:t>Information Regulator</w:t>
      </w:r>
      <w:r w:rsidRPr="00BA1DA0">
        <w:rPr>
          <w:rFonts w:eastAsiaTheme="minorHAnsi"/>
        </w:rPr>
        <w:t xml:space="preserve"> to regulate </w:t>
      </w:r>
      <w:r>
        <w:rPr>
          <w:rFonts w:eastAsiaTheme="minorHAnsi"/>
        </w:rPr>
        <w:t xml:space="preserve">the implementation of the law. </w:t>
      </w:r>
      <w:r w:rsidRPr="00BA1DA0">
        <w:rPr>
          <w:rFonts w:eastAsiaTheme="minorHAnsi"/>
        </w:rPr>
        <w:t xml:space="preserve">The Information Regulator was appointed and became </w:t>
      </w:r>
      <w:r>
        <w:rPr>
          <w:rFonts w:eastAsiaTheme="minorHAnsi"/>
        </w:rPr>
        <w:t>operational on 1 December 2016.</w:t>
      </w:r>
    </w:p>
    <w:p w:rsidR="00BA1DA0" w:rsidRPr="00BA1DA0" w:rsidRDefault="00BA1DA0" w:rsidP="00BA1DA0">
      <w:pPr>
        <w:pStyle w:val="SingleTxtG"/>
        <w:rPr>
          <w:rFonts w:eastAsiaTheme="minorHAnsi"/>
        </w:rPr>
      </w:pPr>
      <w:r>
        <w:rPr>
          <w:rFonts w:eastAsiaTheme="minorHAnsi"/>
        </w:rPr>
        <w:t>15.</w:t>
      </w:r>
      <w:r>
        <w:rPr>
          <w:rFonts w:eastAsiaTheme="minorHAnsi"/>
        </w:rPr>
        <w:tab/>
      </w:r>
      <w:r w:rsidR="00AA3866">
        <w:rPr>
          <w:rFonts w:eastAsiaTheme="minorHAnsi"/>
        </w:rPr>
        <w:t xml:space="preserve">The </w:t>
      </w:r>
      <w:r w:rsidRPr="00BA1DA0">
        <w:rPr>
          <w:rFonts w:eastAsiaTheme="minorHAnsi"/>
        </w:rPr>
        <w:t>Government has introduced various policy measures and Parliament has given legislative effect thereto by passing no less than 27 relevant pieces of legislation during the period under review, which contribute to the promotion and protection of human rights</w:t>
      </w:r>
      <w:r>
        <w:rPr>
          <w:rFonts w:eastAsiaTheme="minorHAnsi"/>
        </w:rPr>
        <w:t>.</w:t>
      </w:r>
      <w:r w:rsidR="00F7073B">
        <w:rPr>
          <w:rStyle w:val="EndnoteReference"/>
          <w:rFonts w:eastAsiaTheme="minorHAnsi"/>
        </w:rPr>
        <w:endnoteReference w:id="8"/>
      </w:r>
    </w:p>
    <w:p w:rsidR="00BA1DA0" w:rsidRPr="00BA1DA0" w:rsidRDefault="00BA1DA0" w:rsidP="00BA1DA0">
      <w:pPr>
        <w:pStyle w:val="SingleTxtG"/>
        <w:rPr>
          <w:rFonts w:eastAsiaTheme="minorHAnsi"/>
        </w:rPr>
      </w:pPr>
      <w:r>
        <w:rPr>
          <w:rFonts w:eastAsiaTheme="minorHAnsi"/>
        </w:rPr>
        <w:t>16.</w:t>
      </w:r>
      <w:r>
        <w:rPr>
          <w:rFonts w:eastAsiaTheme="minorHAnsi"/>
        </w:rPr>
        <w:tab/>
      </w:r>
      <w:r w:rsidRPr="00BA1DA0">
        <w:rPr>
          <w:rFonts w:eastAsiaTheme="minorHAnsi"/>
        </w:rPr>
        <w:t xml:space="preserve">Section 26 of the Constitution provides that everyone has the right to have access to adequate </w:t>
      </w:r>
      <w:r w:rsidRPr="00F46244">
        <w:rPr>
          <w:rFonts w:eastAsiaTheme="minorHAnsi"/>
          <w:b/>
        </w:rPr>
        <w:t>housing</w:t>
      </w:r>
      <w:r w:rsidRPr="00BA1DA0">
        <w:rPr>
          <w:rFonts w:eastAsiaTheme="minorHAnsi"/>
        </w:rPr>
        <w:t xml:space="preserve"> and that the State must take reasonable legislative and other measures, within its available resources, to achieve the progressive realisation of this right. Towards the fulfilment of this right, as at March 2016, </w:t>
      </w:r>
      <w:r w:rsidR="003D2FC0">
        <w:rPr>
          <w:rFonts w:eastAsiaTheme="minorHAnsi"/>
        </w:rPr>
        <w:t xml:space="preserve">the </w:t>
      </w:r>
      <w:r w:rsidRPr="00BA1DA0">
        <w:rPr>
          <w:rFonts w:eastAsiaTheme="minorHAnsi"/>
        </w:rPr>
        <w:t xml:space="preserve">Government continues to provide housing to the poor, targeting the most vulnerable among them, notably the elderly, women, child-headed households and persons with disabilities. </w:t>
      </w:r>
      <w:r w:rsidR="003D2FC0">
        <w:rPr>
          <w:rFonts w:eastAsiaTheme="minorHAnsi"/>
        </w:rPr>
        <w:t xml:space="preserve">The </w:t>
      </w:r>
      <w:r w:rsidRPr="00BA1DA0">
        <w:rPr>
          <w:rFonts w:eastAsiaTheme="minorHAnsi"/>
        </w:rPr>
        <w:t xml:space="preserve">Government policy has since shifted from the mere provision of housing to the poor to the development of integrated and sustainable human settlements. In pursuance of this policy shift, </w:t>
      </w:r>
      <w:r w:rsidR="003D2FC0">
        <w:rPr>
          <w:rFonts w:eastAsiaTheme="minorHAnsi"/>
        </w:rPr>
        <w:t xml:space="preserve">the </w:t>
      </w:r>
      <w:r w:rsidRPr="00BA1DA0">
        <w:rPr>
          <w:rFonts w:eastAsiaTheme="minorHAnsi"/>
        </w:rPr>
        <w:t>Government currently builds houses that are integrated with basic services infrastructure, schools, health facilities, and spaces for recreation, police stations and other amenities to enable t</w:t>
      </w:r>
      <w:r>
        <w:rPr>
          <w:rFonts w:eastAsiaTheme="minorHAnsi"/>
        </w:rPr>
        <w:t xml:space="preserve">he fulfilment of human rights. </w:t>
      </w:r>
      <w:r w:rsidRPr="00BA1DA0">
        <w:rPr>
          <w:rFonts w:eastAsiaTheme="minorHAnsi"/>
        </w:rPr>
        <w:t xml:space="preserve">To this end, </w:t>
      </w:r>
      <w:r w:rsidR="003D2FC0">
        <w:rPr>
          <w:rFonts w:eastAsiaTheme="minorHAnsi"/>
        </w:rPr>
        <w:t xml:space="preserve">the </w:t>
      </w:r>
      <w:r w:rsidRPr="00BA1DA0">
        <w:rPr>
          <w:rFonts w:eastAsiaTheme="minorHAnsi"/>
        </w:rPr>
        <w:t xml:space="preserve">Government has established the Integrated </w:t>
      </w:r>
      <w:r w:rsidR="003D2FC0">
        <w:rPr>
          <w:rFonts w:eastAsiaTheme="minorHAnsi"/>
        </w:rPr>
        <w:t>H</w:t>
      </w:r>
      <w:r w:rsidRPr="00BA1DA0">
        <w:rPr>
          <w:rFonts w:eastAsiaTheme="minorHAnsi"/>
        </w:rPr>
        <w:t xml:space="preserve">uman </w:t>
      </w:r>
      <w:r w:rsidR="003D2FC0">
        <w:rPr>
          <w:rFonts w:eastAsiaTheme="minorHAnsi"/>
        </w:rPr>
        <w:t>S</w:t>
      </w:r>
      <w:r w:rsidRPr="00BA1DA0">
        <w:rPr>
          <w:rFonts w:eastAsiaTheme="minorHAnsi"/>
        </w:rPr>
        <w:t>ettl</w:t>
      </w:r>
      <w:r>
        <w:rPr>
          <w:rFonts w:eastAsiaTheme="minorHAnsi"/>
        </w:rPr>
        <w:t>ement Grant, which provided 153,</w:t>
      </w:r>
      <w:r w:rsidRPr="00BA1DA0">
        <w:rPr>
          <w:rFonts w:eastAsiaTheme="minorHAnsi"/>
        </w:rPr>
        <w:t xml:space="preserve">000 housing units by March 2016. Further, </w:t>
      </w:r>
      <w:r w:rsidR="00304D11">
        <w:rPr>
          <w:rFonts w:eastAsiaTheme="minorHAnsi"/>
        </w:rPr>
        <w:t xml:space="preserve">the </w:t>
      </w:r>
      <w:r w:rsidRPr="00BA1DA0">
        <w:rPr>
          <w:rFonts w:eastAsiaTheme="minorHAnsi"/>
        </w:rPr>
        <w:t>Government has also established the Urban Settlements Development Grant (USDG) to be used to improve efficiencies and coordination of this effort by producing serviced land for poor households, funding bulk infrastructure and implementing projects to upgrade informal settlements</w:t>
      </w:r>
      <w:r>
        <w:rPr>
          <w:rFonts w:eastAsiaTheme="minorHAnsi"/>
        </w:rPr>
        <w:t>.</w:t>
      </w:r>
    </w:p>
    <w:p w:rsidR="00BA1DA0" w:rsidRPr="00BA1DA0" w:rsidRDefault="00BA1DA0" w:rsidP="00BA1DA0">
      <w:pPr>
        <w:pStyle w:val="SingleTxtG"/>
        <w:rPr>
          <w:rFonts w:eastAsiaTheme="minorHAnsi"/>
        </w:rPr>
      </w:pPr>
      <w:r>
        <w:rPr>
          <w:rFonts w:eastAsiaTheme="minorHAnsi"/>
        </w:rPr>
        <w:t>17.</w:t>
      </w:r>
      <w:r>
        <w:rPr>
          <w:rFonts w:eastAsiaTheme="minorHAnsi"/>
        </w:rPr>
        <w:tab/>
      </w:r>
      <w:r w:rsidRPr="00BA1DA0">
        <w:rPr>
          <w:rFonts w:eastAsiaTheme="minorHAnsi"/>
        </w:rPr>
        <w:t xml:space="preserve">As part of realising the right to an adequate standard of living and housing, </w:t>
      </w:r>
      <w:r w:rsidR="00AF4586">
        <w:rPr>
          <w:rFonts w:eastAsiaTheme="minorHAnsi"/>
        </w:rPr>
        <w:t xml:space="preserve">the </w:t>
      </w:r>
      <w:r w:rsidRPr="00BA1DA0">
        <w:rPr>
          <w:rFonts w:eastAsiaTheme="minorHAnsi"/>
        </w:rPr>
        <w:t>Government has prioritised access to water and sanitation. Accordingly, the proportion of households whose main source of water for drinking is piped water inside the yard has almost doubled from 16</w:t>
      </w:r>
      <w:r>
        <w:rPr>
          <w:rFonts w:eastAsiaTheme="minorHAnsi"/>
        </w:rPr>
        <w:t>.</w:t>
      </w:r>
      <w:r w:rsidRPr="00BA1DA0">
        <w:rPr>
          <w:rFonts w:eastAsiaTheme="minorHAnsi"/>
        </w:rPr>
        <w:t>6% in 1996 to 30% in 2016. T</w:t>
      </w:r>
      <w:r>
        <w:rPr>
          <w:rFonts w:eastAsiaTheme="minorHAnsi"/>
        </w:rPr>
        <w:t>here is a slight decline of 0.</w:t>
      </w:r>
      <w:r w:rsidRPr="00BA1DA0">
        <w:rPr>
          <w:rFonts w:eastAsiaTheme="minorHAnsi"/>
        </w:rPr>
        <w:t>2% from 2011 to 2016 of households whose main source of water for drinking is piped water inside the dwellings. Just less than three-quarters of households use piped water inside the dwellings/yards as their main source of water. As at December 2016, 60</w:t>
      </w:r>
      <w:r>
        <w:rPr>
          <w:rFonts w:eastAsiaTheme="minorHAnsi"/>
        </w:rPr>
        <w:t>.</w:t>
      </w:r>
      <w:r w:rsidRPr="00BA1DA0">
        <w:rPr>
          <w:rFonts w:eastAsiaTheme="minorHAnsi"/>
        </w:rPr>
        <w:t>6% of households have access to flush toilets connected to sewerage system as compared to 57% in 2011. Similarly, there is an increase in the proportion of households using pit toilets with ventilation and the decline among those using pit toilets without ventilation. Also, there is a decline in the number of households with no toilets. This trend is seen across all periods since 2001. There is an upward trend in the number of households using chemical toilets, which increased from 1</w:t>
      </w:r>
      <w:r>
        <w:rPr>
          <w:rFonts w:eastAsiaTheme="minorHAnsi"/>
        </w:rPr>
        <w:t>.9% in 1996 to 4.</w:t>
      </w:r>
      <w:r w:rsidRPr="00BA1DA0">
        <w:rPr>
          <w:rFonts w:eastAsiaTheme="minorHAnsi"/>
        </w:rPr>
        <w:t>2% in 2016.</w:t>
      </w:r>
    </w:p>
    <w:p w:rsidR="00BA1DA0" w:rsidRPr="00BA1DA0" w:rsidRDefault="00BA1DA0" w:rsidP="00BA1DA0">
      <w:pPr>
        <w:pStyle w:val="SingleTxtG"/>
        <w:rPr>
          <w:rFonts w:eastAsiaTheme="minorHAnsi"/>
        </w:rPr>
      </w:pPr>
      <w:r>
        <w:rPr>
          <w:rFonts w:eastAsiaTheme="minorHAnsi"/>
        </w:rPr>
        <w:t>18.</w:t>
      </w:r>
      <w:r>
        <w:rPr>
          <w:rFonts w:eastAsiaTheme="minorHAnsi"/>
        </w:rPr>
        <w:tab/>
      </w:r>
      <w:r w:rsidRPr="00BA1DA0">
        <w:rPr>
          <w:rFonts w:eastAsiaTheme="minorHAnsi"/>
        </w:rPr>
        <w:t xml:space="preserve">Since 1994, the national Department </w:t>
      </w:r>
      <w:r>
        <w:rPr>
          <w:rFonts w:eastAsiaTheme="minorHAnsi"/>
        </w:rPr>
        <w:t xml:space="preserve">of </w:t>
      </w:r>
      <w:r w:rsidRPr="00BA1DA0">
        <w:rPr>
          <w:rFonts w:eastAsiaTheme="minorHAnsi"/>
        </w:rPr>
        <w:t xml:space="preserve">Human Settlements has spent US$ 10 billion </w:t>
      </w:r>
      <w:r>
        <w:rPr>
          <w:rFonts w:eastAsiaTheme="minorHAnsi"/>
        </w:rPr>
        <w:t xml:space="preserve">(at </w:t>
      </w:r>
      <w:r w:rsidRPr="00BA1DA0">
        <w:rPr>
          <w:rFonts w:eastAsiaTheme="minorHAnsi"/>
        </w:rPr>
        <w:t xml:space="preserve">2010 prices) on </w:t>
      </w:r>
      <w:r w:rsidRPr="00F46244">
        <w:rPr>
          <w:rFonts w:eastAsiaTheme="minorHAnsi"/>
          <w:b/>
        </w:rPr>
        <w:t>housing and human settlement development</w:t>
      </w:r>
      <w:r w:rsidRPr="00BA1DA0">
        <w:rPr>
          <w:rFonts w:eastAsiaTheme="minorHAnsi"/>
        </w:rPr>
        <w:t>, while over US$ 1.2 billion has been spent by other G</w:t>
      </w:r>
      <w:r>
        <w:rPr>
          <w:rFonts w:eastAsiaTheme="minorHAnsi"/>
        </w:rPr>
        <w:t xml:space="preserve">overnment agencies on </w:t>
      </w:r>
      <w:r w:rsidRPr="00BA1DA0">
        <w:rPr>
          <w:rFonts w:eastAsiaTheme="minorHAnsi"/>
        </w:rPr>
        <w:t>infrastructure</w:t>
      </w:r>
      <w:r>
        <w:rPr>
          <w:rFonts w:eastAsiaTheme="minorHAnsi"/>
        </w:rPr>
        <w:t xml:space="preserve"> projects </w:t>
      </w:r>
      <w:r w:rsidRPr="00BA1DA0">
        <w:rPr>
          <w:rFonts w:eastAsiaTheme="minorHAnsi"/>
        </w:rPr>
        <w:t xml:space="preserve">for the redevelopment of human settlements. </w:t>
      </w:r>
      <w:r>
        <w:rPr>
          <w:rFonts w:eastAsiaTheme="minorHAnsi"/>
        </w:rPr>
        <w:t xml:space="preserve">The capital </w:t>
      </w:r>
      <w:r w:rsidRPr="00BA1DA0">
        <w:rPr>
          <w:rFonts w:eastAsiaTheme="minorHAnsi"/>
        </w:rPr>
        <w:t xml:space="preserve">investment by the </w:t>
      </w:r>
      <w:r w:rsidR="002E0EF6">
        <w:rPr>
          <w:rFonts w:eastAsiaTheme="minorHAnsi"/>
        </w:rPr>
        <w:t>S</w:t>
      </w:r>
      <w:r w:rsidRPr="00BA1DA0">
        <w:rPr>
          <w:rFonts w:eastAsiaTheme="minorHAnsi"/>
        </w:rPr>
        <w:t xml:space="preserve">tate has created 1.29 </w:t>
      </w:r>
      <w:r w:rsidR="006D4222">
        <w:rPr>
          <w:rFonts w:eastAsiaTheme="minorHAnsi"/>
        </w:rPr>
        <w:t xml:space="preserve">million direct, </w:t>
      </w:r>
      <w:r w:rsidRPr="00BA1DA0">
        <w:rPr>
          <w:rFonts w:eastAsiaTheme="minorHAnsi"/>
        </w:rPr>
        <w:t xml:space="preserve">indirect and induced person-year jobs, and the operational investment has </w:t>
      </w:r>
      <w:r w:rsidR="006D4222">
        <w:rPr>
          <w:rFonts w:eastAsiaTheme="minorHAnsi"/>
        </w:rPr>
        <w:t>created a further 10,</w:t>
      </w:r>
      <w:r w:rsidRPr="00BA1DA0">
        <w:rPr>
          <w:rFonts w:eastAsiaTheme="minorHAnsi"/>
        </w:rPr>
        <w:t>800 jobs. The growth of the average price of houses in the market, including for the affordable or gap market, has increased five-fold over the past 20 years. More than 10</w:t>
      </w:r>
      <w:r w:rsidR="006D4222">
        <w:rPr>
          <w:rFonts w:eastAsiaTheme="minorHAnsi"/>
        </w:rPr>
        <w:t>,</w:t>
      </w:r>
      <w:r w:rsidRPr="00BA1DA0">
        <w:rPr>
          <w:rFonts w:eastAsiaTheme="minorHAnsi"/>
        </w:rPr>
        <w:t xml:space="preserve">739 </w:t>
      </w:r>
      <w:r w:rsidR="006D4222">
        <w:rPr>
          <w:rFonts w:eastAsiaTheme="minorHAnsi"/>
        </w:rPr>
        <w:t xml:space="preserve">communities in </w:t>
      </w:r>
      <w:r w:rsidRPr="00BA1DA0">
        <w:rPr>
          <w:rFonts w:eastAsiaTheme="minorHAnsi"/>
        </w:rPr>
        <w:t>968 towns and cities across the country benefitted from the Government Housing Programme.</w:t>
      </w:r>
    </w:p>
    <w:p w:rsidR="00BA1DA0" w:rsidRPr="00BA1DA0" w:rsidRDefault="006D4222" w:rsidP="00BA1DA0">
      <w:pPr>
        <w:pStyle w:val="SingleTxtG"/>
        <w:rPr>
          <w:rFonts w:eastAsiaTheme="minorHAnsi"/>
        </w:rPr>
      </w:pPr>
      <w:r>
        <w:rPr>
          <w:rFonts w:eastAsiaTheme="minorHAnsi"/>
        </w:rPr>
        <w:t>19.</w:t>
      </w:r>
      <w:r>
        <w:rPr>
          <w:rFonts w:eastAsiaTheme="minorHAnsi"/>
        </w:rPr>
        <w:tab/>
      </w:r>
      <w:r w:rsidR="00BA1DA0" w:rsidRPr="00BA1DA0">
        <w:rPr>
          <w:rFonts w:eastAsiaTheme="minorHAnsi"/>
        </w:rPr>
        <w:t xml:space="preserve">The </w:t>
      </w:r>
      <w:r w:rsidR="00BA1DA0" w:rsidRPr="00F46244">
        <w:rPr>
          <w:rFonts w:eastAsiaTheme="minorHAnsi"/>
          <w:b/>
        </w:rPr>
        <w:t>Spatial Planning and Land Use Management Act, 2013</w:t>
      </w:r>
      <w:r w:rsidR="00F7073B">
        <w:rPr>
          <w:rStyle w:val="EndnoteReference"/>
          <w:rFonts w:eastAsiaTheme="minorHAnsi"/>
        </w:rPr>
        <w:endnoteReference w:id="9"/>
      </w:r>
      <w:r w:rsidR="00BA1DA0" w:rsidRPr="00BA1DA0">
        <w:rPr>
          <w:rFonts w:eastAsiaTheme="minorHAnsi"/>
        </w:rPr>
        <w:t xml:space="preserve"> was specifically passed to redress the spatial legacy of apartheid. The Act is being implemented by municipalities to redesign the spatial patters to promote integrated communities across racial and class divisions. The courts have also protected the rights of people facing evictions by insisting on both procedural and substantive fairness in those cases where the eviction orders were bein</w:t>
      </w:r>
      <w:r>
        <w:rPr>
          <w:rFonts w:eastAsiaTheme="minorHAnsi"/>
        </w:rPr>
        <w:t>g sought.</w:t>
      </w:r>
    </w:p>
    <w:p w:rsidR="00BA1DA0" w:rsidRPr="00BA1DA0" w:rsidRDefault="006D4222" w:rsidP="00BA1DA0">
      <w:pPr>
        <w:pStyle w:val="SingleTxtG"/>
        <w:rPr>
          <w:rFonts w:eastAsiaTheme="minorHAnsi"/>
        </w:rPr>
      </w:pPr>
      <w:r>
        <w:rPr>
          <w:rFonts w:eastAsiaTheme="minorHAnsi"/>
        </w:rPr>
        <w:t>20.</w:t>
      </w:r>
      <w:r>
        <w:rPr>
          <w:rFonts w:eastAsiaTheme="minorHAnsi"/>
        </w:rPr>
        <w:tab/>
      </w:r>
      <w:r w:rsidR="00BA1DA0" w:rsidRPr="00F46244">
        <w:rPr>
          <w:rFonts w:eastAsiaTheme="minorHAnsi"/>
          <w:b/>
        </w:rPr>
        <w:t>The Community Survey of 2016 (CS: 2016)</w:t>
      </w:r>
      <w:r w:rsidR="00BA1DA0" w:rsidRPr="00BA1DA0">
        <w:rPr>
          <w:rFonts w:eastAsiaTheme="minorHAnsi"/>
        </w:rPr>
        <w:t xml:space="preserve"> was the second largest survey undertaken by Statistics South Africa (</w:t>
      </w:r>
      <w:proofErr w:type="spellStart"/>
      <w:r w:rsidR="00BA1DA0" w:rsidRPr="00BA1DA0">
        <w:rPr>
          <w:rFonts w:eastAsiaTheme="minorHAnsi"/>
        </w:rPr>
        <w:t>StatsSA</w:t>
      </w:r>
      <w:proofErr w:type="spellEnd"/>
      <w:r w:rsidR="00BA1DA0" w:rsidRPr="00BA1DA0">
        <w:rPr>
          <w:rFonts w:eastAsiaTheme="minorHAnsi"/>
        </w:rPr>
        <w:t>), following the one which was conducted in 2007. CS: 2016 shows that there has been considerable improvement in access to housing:</w:t>
      </w:r>
    </w:p>
    <w:p w:rsidR="00BA1DA0" w:rsidRDefault="003D57D1" w:rsidP="00BA1DA0">
      <w:pPr>
        <w:pStyle w:val="SingleTxtG"/>
        <w:rPr>
          <w:rFonts w:ascii="Arial" w:hAnsi="Arial" w:cs="Arial"/>
          <w:noProof/>
          <w:lang w:eastAsia="ja-JP"/>
        </w:rPr>
      </w:pPr>
      <w:r>
        <w:rPr>
          <w:rFonts w:ascii="Arial" w:hAnsi="Arial" w:cs="Arial"/>
          <w:noProof/>
          <w:lang w:eastAsia="ja-JP"/>
        </w:rPr>
        <w:drawing>
          <wp:inline distT="0" distB="0" distL="0" distR="0">
            <wp:extent cx="5404485" cy="2415540"/>
            <wp:effectExtent l="0" t="0" r="5715" b="381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85" cy="2415540"/>
                    </a:xfrm>
                    <a:prstGeom prst="rect">
                      <a:avLst/>
                    </a:prstGeom>
                    <a:noFill/>
                    <a:ln>
                      <a:noFill/>
                    </a:ln>
                  </pic:spPr>
                </pic:pic>
              </a:graphicData>
            </a:graphic>
          </wp:inline>
        </w:drawing>
      </w:r>
    </w:p>
    <w:p w:rsidR="006D4222" w:rsidRPr="006D4222" w:rsidRDefault="006D4222" w:rsidP="006D4222">
      <w:pPr>
        <w:pStyle w:val="SingleTxtG"/>
        <w:rPr>
          <w:rFonts w:eastAsiaTheme="minorHAnsi"/>
        </w:rPr>
      </w:pPr>
      <w:r>
        <w:rPr>
          <w:rFonts w:eastAsiaTheme="minorHAnsi"/>
          <w:lang w:val="en-ZA"/>
        </w:rPr>
        <w:t>21.</w:t>
      </w:r>
      <w:r>
        <w:rPr>
          <w:rFonts w:eastAsiaTheme="minorHAnsi"/>
          <w:lang w:val="en-ZA"/>
        </w:rPr>
        <w:tab/>
      </w:r>
      <w:r w:rsidRPr="006D4222">
        <w:rPr>
          <w:rFonts w:eastAsiaTheme="minorHAnsi"/>
          <w:lang w:val="en-ZA"/>
        </w:rPr>
        <w:t xml:space="preserve">The major overhaul of the education sector, which took place between 1994 and 2016, has advanced transformation of the sector. </w:t>
      </w:r>
      <w:r w:rsidR="00587965">
        <w:rPr>
          <w:rFonts w:eastAsiaTheme="minorHAnsi"/>
          <w:lang w:val="en-ZA"/>
        </w:rPr>
        <w:t xml:space="preserve">The </w:t>
      </w:r>
      <w:r w:rsidRPr="006D4222">
        <w:rPr>
          <w:rFonts w:eastAsiaTheme="minorHAnsi"/>
          <w:lang w:val="en-ZA"/>
        </w:rPr>
        <w:t xml:space="preserve">Government commitment to the sector is demonstrated, not only by the numerous pro-equity and pro-poor educational and other policies, but also by the substantial amount of resources made available to transform and maintain it. One of the primary outcomes of these interventions has been the significant increase in access to education. The </w:t>
      </w:r>
      <w:proofErr w:type="gramStart"/>
      <w:r w:rsidRPr="006D4222">
        <w:rPr>
          <w:rFonts w:eastAsiaTheme="minorHAnsi"/>
          <w:lang w:val="en-ZA"/>
        </w:rPr>
        <w:t>proportion of youths completing primary, secondary and tertiary education have</w:t>
      </w:r>
      <w:proofErr w:type="gramEnd"/>
      <w:r w:rsidRPr="006D4222">
        <w:rPr>
          <w:rFonts w:eastAsiaTheme="minorHAnsi"/>
          <w:lang w:val="en-ZA"/>
        </w:rPr>
        <w:t xml:space="preserve"> all been steadily increasing over time. The primary process to evaluate the success of these policies is by examining education data, specifically in regard to school attendance and educational attainment trends. The table below shows the number of persons aged 5 years and older who attend educational institutions.</w:t>
      </w:r>
    </w:p>
    <w:p w:rsidR="006D4222" w:rsidRDefault="003D57D1" w:rsidP="00BA1DA0">
      <w:pPr>
        <w:pStyle w:val="SingleTxtG"/>
        <w:rPr>
          <w:rFonts w:cs="Calibri"/>
          <w:noProof/>
          <w:lang w:eastAsia="ja-JP"/>
        </w:rPr>
      </w:pPr>
      <w:r>
        <w:rPr>
          <w:rFonts w:cs="Calibri"/>
          <w:noProof/>
          <w:lang w:eastAsia="ja-JP"/>
        </w:rPr>
        <w:drawing>
          <wp:inline distT="0" distB="0" distL="0" distR="0">
            <wp:extent cx="5404485" cy="1869440"/>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485" cy="1869440"/>
                    </a:xfrm>
                    <a:prstGeom prst="rect">
                      <a:avLst/>
                    </a:prstGeom>
                    <a:noFill/>
                    <a:ln>
                      <a:noFill/>
                    </a:ln>
                  </pic:spPr>
                </pic:pic>
              </a:graphicData>
            </a:graphic>
          </wp:inline>
        </w:drawing>
      </w:r>
    </w:p>
    <w:p w:rsidR="006D4222" w:rsidRPr="006D4222" w:rsidRDefault="006D4222" w:rsidP="004C3723">
      <w:pPr>
        <w:pStyle w:val="SingleTxtG"/>
        <w:spacing w:before="240"/>
        <w:rPr>
          <w:rFonts w:eastAsiaTheme="minorHAnsi"/>
        </w:rPr>
      </w:pPr>
      <w:r>
        <w:rPr>
          <w:rFonts w:eastAsiaTheme="minorHAnsi"/>
        </w:rPr>
        <w:t>22.</w:t>
      </w:r>
      <w:r>
        <w:rPr>
          <w:rFonts w:eastAsiaTheme="minorHAnsi"/>
        </w:rPr>
        <w:tab/>
      </w:r>
      <w:r w:rsidRPr="006D4222">
        <w:rPr>
          <w:rFonts w:eastAsiaTheme="minorHAnsi"/>
        </w:rPr>
        <w:t>Across population groups, there has been an increase in persons attending an educational institution from 1996 to 2016. The number of black Africans attending an educationa</w:t>
      </w:r>
      <w:r>
        <w:rPr>
          <w:rFonts w:eastAsiaTheme="minorHAnsi"/>
        </w:rPr>
        <w:t>l institution increased from 10.</w:t>
      </w:r>
      <w:r w:rsidRPr="006D4222">
        <w:rPr>
          <w:rFonts w:eastAsiaTheme="minorHAnsi"/>
        </w:rPr>
        <w:t>5 million in 1996 to 14</w:t>
      </w:r>
      <w:r>
        <w:rPr>
          <w:rFonts w:eastAsiaTheme="minorHAnsi"/>
        </w:rPr>
        <w:t>.</w:t>
      </w:r>
      <w:r w:rsidRPr="006D4222">
        <w:rPr>
          <w:rFonts w:eastAsiaTheme="minorHAnsi"/>
        </w:rPr>
        <w:t>8 million in 2016. The Indian/Asian population had the lowest increase from 300</w:t>
      </w:r>
      <w:r>
        <w:rPr>
          <w:rFonts w:eastAsiaTheme="minorHAnsi"/>
        </w:rPr>
        <w:t>,775 in 1996 to 323,</w:t>
      </w:r>
      <w:r w:rsidRPr="006D4222">
        <w:rPr>
          <w:rFonts w:eastAsiaTheme="minorHAnsi"/>
        </w:rPr>
        <w:t>986 in 2016. The number of white persons attending an education institution decreased from 980</w:t>
      </w:r>
      <w:r>
        <w:rPr>
          <w:rFonts w:eastAsiaTheme="minorHAnsi"/>
        </w:rPr>
        <w:t>,474 in 2011 to 965,</w:t>
      </w:r>
      <w:r w:rsidRPr="006D4222">
        <w:rPr>
          <w:rFonts w:eastAsiaTheme="minorHAnsi"/>
        </w:rPr>
        <w:t>374 in 2016. There i</w:t>
      </w:r>
      <w:r>
        <w:rPr>
          <w:rFonts w:eastAsiaTheme="minorHAnsi"/>
        </w:rPr>
        <w:t>s a considerable decrease by 1.</w:t>
      </w:r>
      <w:r w:rsidRPr="006D4222">
        <w:rPr>
          <w:rFonts w:eastAsiaTheme="minorHAnsi"/>
        </w:rPr>
        <w:t>4 million of the number of people with no schooling between 1996 and 2016. The number of persons who attained primary and secondary education has also increased over time (from</w:t>
      </w:r>
      <w:r>
        <w:rPr>
          <w:rFonts w:eastAsiaTheme="minorHAnsi"/>
        </w:rPr>
        <w:t xml:space="preserve"> 8.3 million in 1996 to 12.</w:t>
      </w:r>
      <w:r w:rsidRPr="006D4222">
        <w:rPr>
          <w:rFonts w:eastAsiaTheme="minorHAnsi"/>
        </w:rPr>
        <w:t>4 million in 2016). The number of people who attained at least a Bachelor’s degree has significantly increased by 824</w:t>
      </w:r>
      <w:r>
        <w:rPr>
          <w:rFonts w:eastAsiaTheme="minorHAnsi"/>
        </w:rPr>
        <w:t>,</w:t>
      </w:r>
      <w:r w:rsidRPr="006D4222">
        <w:rPr>
          <w:rFonts w:eastAsiaTheme="minorHAnsi"/>
        </w:rPr>
        <w:t>564 thousand between 1996 and 2016. While inequalities across population groups remain, outcomes have improved amongst historically disadvantaged groups. For example, the number of black African university students graduating annually has increased from about</w:t>
      </w:r>
      <w:r>
        <w:rPr>
          <w:rFonts w:eastAsiaTheme="minorHAnsi"/>
        </w:rPr>
        <w:t xml:space="preserve"> 23,</w:t>
      </w:r>
      <w:r w:rsidRPr="006D4222">
        <w:rPr>
          <w:rFonts w:eastAsiaTheme="minorHAnsi"/>
        </w:rPr>
        <w:t>000 in 1996 to about</w:t>
      </w:r>
      <w:r>
        <w:rPr>
          <w:rFonts w:eastAsiaTheme="minorHAnsi"/>
        </w:rPr>
        <w:t xml:space="preserve"> 63,</w:t>
      </w:r>
      <w:r w:rsidRPr="006D4222">
        <w:rPr>
          <w:rFonts w:eastAsiaTheme="minorHAnsi"/>
        </w:rPr>
        <w:t>000 in 2012.</w:t>
      </w:r>
    </w:p>
    <w:p w:rsidR="006D4222" w:rsidRPr="006D4222" w:rsidRDefault="006D4222" w:rsidP="006D4222">
      <w:pPr>
        <w:pStyle w:val="SingleTxtG"/>
        <w:rPr>
          <w:rFonts w:eastAsiaTheme="minorHAnsi"/>
        </w:rPr>
      </w:pPr>
      <w:r>
        <w:rPr>
          <w:rFonts w:eastAsiaTheme="minorHAnsi"/>
        </w:rPr>
        <w:t>23.</w:t>
      </w:r>
      <w:r>
        <w:rPr>
          <w:rFonts w:eastAsiaTheme="minorHAnsi"/>
        </w:rPr>
        <w:tab/>
      </w:r>
      <w:r w:rsidRPr="006D4222">
        <w:rPr>
          <w:rFonts w:eastAsiaTheme="minorHAnsi"/>
        </w:rPr>
        <w:t>Significant progress has also been made in improving access to education for children with disabilities through the implementation of the Policy on Inclusive Education as embodied in the Education White Paper 6 (2001) and the Policy on Screening, Identification, Assessment and Support (2014). The number of learners with disabilities enrolled in special</w:t>
      </w:r>
      <w:r>
        <w:rPr>
          <w:rFonts w:eastAsiaTheme="minorHAnsi"/>
        </w:rPr>
        <w:t xml:space="preserve"> schools has increased from 108,</w:t>
      </w:r>
      <w:r w:rsidRPr="006D4222">
        <w:rPr>
          <w:rFonts w:eastAsiaTheme="minorHAnsi"/>
        </w:rPr>
        <w:t xml:space="preserve">240 in 2011 to </w:t>
      </w:r>
      <w:r>
        <w:t>119,</w:t>
      </w:r>
      <w:r w:rsidRPr="006D4222">
        <w:t>972 in 2015. The number of children with disabilities enrolled in ordinary public schools has also increased from 80</w:t>
      </w:r>
      <w:r>
        <w:t>,</w:t>
      </w:r>
      <w:r w:rsidRPr="006D4222">
        <w:t>000 in 2011 to 111</w:t>
      </w:r>
      <w:r>
        <w:t>,</w:t>
      </w:r>
      <w:r w:rsidRPr="006D4222">
        <w:t>430 in 2014. To ensure access to quality education and support for children with severe to profound intellectual disability, the Department of Basic Education (DBE) has collaborated with the Departments of Health, Social Development, Transport, Public Works and Cooperative Governance to develop a Draft Policy which was published for public comment in 2016. The National Treasury has allocated a Grant in the amount of R477 million to ensure access to services for this vulnerable gro</w:t>
      </w:r>
      <w:r>
        <w:t>up for the period 2017 to 2019.</w:t>
      </w:r>
    </w:p>
    <w:p w:rsidR="00F86729" w:rsidRDefault="006D4222" w:rsidP="00F46244">
      <w:pPr>
        <w:pStyle w:val="SingleTxtG"/>
        <w:rPr>
          <w:rFonts w:eastAsiaTheme="minorHAnsi"/>
          <w:lang w:val="en-ZA"/>
        </w:rPr>
      </w:pPr>
      <w:r>
        <w:rPr>
          <w:rFonts w:eastAsiaTheme="minorHAnsi"/>
        </w:rPr>
        <w:t>24.</w:t>
      </w:r>
      <w:r>
        <w:rPr>
          <w:rFonts w:eastAsiaTheme="minorHAnsi"/>
        </w:rPr>
        <w:tab/>
      </w:r>
      <w:r w:rsidRPr="006D4222">
        <w:rPr>
          <w:rFonts w:eastAsiaTheme="minorHAnsi"/>
        </w:rPr>
        <w:t xml:space="preserve">In 1994, </w:t>
      </w:r>
      <w:r w:rsidR="00587965">
        <w:rPr>
          <w:rFonts w:eastAsiaTheme="minorHAnsi"/>
        </w:rPr>
        <w:t xml:space="preserve">the </w:t>
      </w:r>
      <w:r w:rsidRPr="006D4222">
        <w:rPr>
          <w:rFonts w:eastAsiaTheme="minorHAnsi"/>
        </w:rPr>
        <w:t>Government introduced the National School Nutrition Programme (NSNP) which aims to address hunger and to contribute to learning in schools by providing learners with quality nutritious meals. The NSNP is wholly funded by the State through a dedicated budget. Following the 2006 survey recommendations by the Fiscal and Finance Committee, the programme has been expanded to cover both primary and secondary schools.</w:t>
      </w:r>
      <w:r w:rsidR="00587965">
        <w:rPr>
          <w:rFonts w:eastAsiaTheme="minorHAnsi"/>
        </w:rPr>
        <w:t xml:space="preserve"> </w:t>
      </w:r>
      <w:r w:rsidR="00F86729" w:rsidRPr="00F86729">
        <w:rPr>
          <w:rFonts w:eastAsiaTheme="minorHAnsi"/>
          <w:b/>
          <w:lang w:val="en-ZA"/>
        </w:rPr>
        <w:t>Figure 1</w:t>
      </w:r>
      <w:r w:rsidR="00F86729" w:rsidRPr="00F86729">
        <w:rPr>
          <w:rFonts w:eastAsiaTheme="minorHAnsi"/>
          <w:lang w:val="en-ZA"/>
        </w:rPr>
        <w:t xml:space="preserve"> below depicts the overall performance of the programme over a period of four (4) years; i.e. 2012/13 and 2015/16 financial years and i</w:t>
      </w:r>
      <w:r w:rsidR="00F86729">
        <w:rPr>
          <w:rFonts w:eastAsiaTheme="minorHAnsi"/>
          <w:lang w:val="en-ZA"/>
        </w:rPr>
        <w:t>t reaches 9.5 million learners</w:t>
      </w:r>
      <w:r w:rsidR="00587965">
        <w:rPr>
          <w:rFonts w:eastAsiaTheme="minorHAnsi"/>
          <w:lang w:val="en-ZA"/>
        </w:rPr>
        <w:t>.</w:t>
      </w:r>
    </w:p>
    <w:p w:rsidR="006D4222" w:rsidRDefault="003D57D1" w:rsidP="00BA1DA0">
      <w:pPr>
        <w:pStyle w:val="SingleTxtG"/>
      </w:pPr>
      <w:r>
        <w:rPr>
          <w:rFonts w:cs="Calibri"/>
          <w:noProof/>
          <w:lang w:eastAsia="ja-JP"/>
        </w:rPr>
        <w:drawing>
          <wp:inline distT="0" distB="0" distL="0" distR="0">
            <wp:extent cx="4107815" cy="2183765"/>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6729" w:rsidRPr="00F46244" w:rsidRDefault="00F86729" w:rsidP="00F86729">
      <w:pPr>
        <w:pStyle w:val="Heading1"/>
        <w:rPr>
          <w:b/>
        </w:rPr>
      </w:pPr>
      <w:r w:rsidRPr="00F46244">
        <w:rPr>
          <w:b/>
        </w:rPr>
        <w:t xml:space="preserve">Figure </w:t>
      </w:r>
      <w:r w:rsidRPr="00F46244">
        <w:rPr>
          <w:b/>
        </w:rPr>
        <w:fldChar w:fldCharType="begin"/>
      </w:r>
      <w:r w:rsidRPr="00F46244">
        <w:rPr>
          <w:b/>
        </w:rPr>
        <w:instrText xml:space="preserve"> SEQ Figure \* ARABIC </w:instrText>
      </w:r>
      <w:r w:rsidRPr="00F46244">
        <w:rPr>
          <w:b/>
        </w:rPr>
        <w:fldChar w:fldCharType="separate"/>
      </w:r>
      <w:r w:rsidR="00EA10D0" w:rsidRPr="00F46244">
        <w:rPr>
          <w:b/>
          <w:noProof/>
        </w:rPr>
        <w:t>1</w:t>
      </w:r>
      <w:r w:rsidRPr="00F46244">
        <w:rPr>
          <w:b/>
        </w:rPr>
        <w:fldChar w:fldCharType="end"/>
      </w:r>
      <w:r w:rsidRPr="00F46244">
        <w:rPr>
          <w:b/>
        </w:rPr>
        <w:t>: Number of learners reached</w:t>
      </w:r>
    </w:p>
    <w:p w:rsidR="00F86729" w:rsidRPr="00F86729" w:rsidRDefault="00F86729" w:rsidP="004C3723">
      <w:pPr>
        <w:pStyle w:val="SingleTxtG"/>
        <w:spacing w:before="240"/>
        <w:rPr>
          <w:rFonts w:eastAsiaTheme="minorHAnsi"/>
          <w:lang w:val="en-ZA"/>
        </w:rPr>
      </w:pPr>
      <w:r>
        <w:rPr>
          <w:rFonts w:eastAsiaTheme="minorHAnsi"/>
          <w:lang w:val="en-ZA"/>
        </w:rPr>
        <w:t>25.</w:t>
      </w:r>
      <w:r>
        <w:rPr>
          <w:rFonts w:eastAsiaTheme="minorHAnsi"/>
          <w:lang w:val="en-ZA"/>
        </w:rPr>
        <w:tab/>
      </w:r>
      <w:r w:rsidRPr="00F86729">
        <w:rPr>
          <w:rFonts w:eastAsiaTheme="minorHAnsi"/>
          <w:lang w:val="en-ZA"/>
        </w:rPr>
        <w:t xml:space="preserve">The programme’s budget </w:t>
      </w:r>
      <w:r>
        <w:rPr>
          <w:rFonts w:eastAsiaTheme="minorHAnsi"/>
          <w:lang w:val="en-ZA"/>
        </w:rPr>
        <w:t>has increased by 16% from R 4,</w:t>
      </w:r>
      <w:r w:rsidRPr="00F86729">
        <w:rPr>
          <w:rFonts w:eastAsiaTheme="minorHAnsi"/>
          <w:lang w:val="en-ZA"/>
        </w:rPr>
        <w:t>906 billion in 2012/13 to R</w:t>
      </w:r>
      <w:r w:rsidR="00F712F2">
        <w:rPr>
          <w:rFonts w:eastAsiaTheme="minorHAnsi"/>
          <w:lang w:val="en-ZA"/>
        </w:rPr>
        <w:t xml:space="preserve"> </w:t>
      </w:r>
      <w:r w:rsidRPr="00F86729">
        <w:rPr>
          <w:rFonts w:eastAsiaTheme="minorHAnsi"/>
          <w:lang w:val="en-ZA"/>
        </w:rPr>
        <w:t>5,703 billion in the 2015/16 financial year, allowing for the provision of a cooked nutritionally balanced lunch. As one of its core elements, the implementation of the programme is predicated on the principle of community participation, which also includes the involvement of School Governing Bodies to assist in the management of the programme. Currently, the programme contracts the services of 4</w:t>
      </w:r>
      <w:r>
        <w:rPr>
          <w:rFonts w:eastAsiaTheme="minorHAnsi"/>
          <w:lang w:val="en-ZA"/>
        </w:rPr>
        <w:t>,</w:t>
      </w:r>
      <w:r w:rsidRPr="00F86729">
        <w:rPr>
          <w:rFonts w:eastAsiaTheme="minorHAnsi"/>
          <w:lang w:val="en-ZA"/>
        </w:rPr>
        <w:t>395 small and medium-sized enterprises to procure and deliver food to schools, thus promoting local economic development. In addition, a total of 52</w:t>
      </w:r>
      <w:r>
        <w:rPr>
          <w:rFonts w:eastAsiaTheme="minorHAnsi"/>
          <w:lang w:val="en-ZA"/>
        </w:rPr>
        <w:t>,</w:t>
      </w:r>
      <w:r w:rsidRPr="00F86729">
        <w:rPr>
          <w:rFonts w:eastAsiaTheme="minorHAnsi"/>
          <w:lang w:val="en-ZA"/>
        </w:rPr>
        <w:t>585 women volunteers receive a stipend in acknowledgment of their services in the prepar</w:t>
      </w:r>
      <w:r>
        <w:rPr>
          <w:rFonts w:eastAsiaTheme="minorHAnsi"/>
          <w:lang w:val="en-ZA"/>
        </w:rPr>
        <w:t>ation and serving of the meals.</w:t>
      </w:r>
    </w:p>
    <w:p w:rsidR="00F86729" w:rsidRPr="00F86729" w:rsidRDefault="00F86729" w:rsidP="00F86729">
      <w:pPr>
        <w:pStyle w:val="SingleTxtG"/>
        <w:rPr>
          <w:rFonts w:eastAsiaTheme="minorHAnsi"/>
          <w:lang w:val="en-ZA"/>
        </w:rPr>
      </w:pPr>
      <w:r>
        <w:rPr>
          <w:rFonts w:eastAsiaTheme="minorHAnsi"/>
          <w:lang w:val="en-ZA"/>
        </w:rPr>
        <w:t>26.</w:t>
      </w:r>
      <w:r>
        <w:rPr>
          <w:rFonts w:eastAsiaTheme="minorHAnsi"/>
          <w:lang w:val="en-ZA"/>
        </w:rPr>
        <w:tab/>
      </w:r>
      <w:r w:rsidRPr="00F86729">
        <w:rPr>
          <w:rFonts w:eastAsiaTheme="minorHAnsi"/>
          <w:lang w:val="en-ZA"/>
        </w:rPr>
        <w:t xml:space="preserve">Overall, the education budget has increased to more than 5% of the GDP, making it a pro-poor education budget. Public education is funded by government and is supplemented through school fees and/or school fundraising, with the proviso that the South African Schools Act, 1996 allows for learners from poor families to be </w:t>
      </w:r>
      <w:r w:rsidRPr="00F46244">
        <w:rPr>
          <w:rFonts w:eastAsiaTheme="minorHAnsi"/>
          <w:b/>
          <w:lang w:val="en-ZA"/>
        </w:rPr>
        <w:t>exempted from paying school fees</w:t>
      </w:r>
      <w:r w:rsidRPr="00F86729">
        <w:rPr>
          <w:rFonts w:eastAsiaTheme="minorHAnsi"/>
          <w:lang w:val="en-ZA"/>
        </w:rPr>
        <w:t>. In 2015, 77% of learners in public schools attended no-fee paying primary schools, while 76.7% of students in public high schools (Grade 8 to Grade 12) attended no-fee paying schools.</w:t>
      </w:r>
    </w:p>
    <w:p w:rsidR="00F86729" w:rsidRPr="00F86729" w:rsidRDefault="00F86729" w:rsidP="00F86729">
      <w:pPr>
        <w:pStyle w:val="SingleTxtG"/>
        <w:rPr>
          <w:rFonts w:eastAsiaTheme="minorHAnsi"/>
          <w:lang w:val="en-ZA"/>
        </w:rPr>
      </w:pPr>
      <w:r>
        <w:rPr>
          <w:rFonts w:eastAsiaTheme="minorHAnsi"/>
          <w:lang w:val="en-ZA"/>
        </w:rPr>
        <w:t>27.</w:t>
      </w:r>
      <w:r>
        <w:rPr>
          <w:rFonts w:eastAsiaTheme="minorHAnsi"/>
          <w:lang w:val="en-ZA"/>
        </w:rPr>
        <w:tab/>
      </w:r>
      <w:r w:rsidR="00854CC5">
        <w:rPr>
          <w:rFonts w:eastAsiaTheme="minorHAnsi"/>
          <w:lang w:val="en-ZA"/>
        </w:rPr>
        <w:t xml:space="preserve">The </w:t>
      </w:r>
      <w:r w:rsidRPr="00F86729">
        <w:rPr>
          <w:rFonts w:eastAsiaTheme="minorHAnsi"/>
          <w:lang w:val="en-ZA"/>
        </w:rPr>
        <w:t xml:space="preserve">Government is committed to eradicating mud schools and providing water, sanitation and electricity through the Accelerated School </w:t>
      </w:r>
      <w:r w:rsidR="00854CC5">
        <w:rPr>
          <w:rFonts w:eastAsiaTheme="minorHAnsi"/>
          <w:lang w:val="en-ZA"/>
        </w:rPr>
        <w:t>I</w:t>
      </w:r>
      <w:r w:rsidRPr="00F86729">
        <w:rPr>
          <w:rFonts w:eastAsiaTheme="minorHAnsi"/>
          <w:lang w:val="en-ZA"/>
        </w:rPr>
        <w:t>nfrastructure Delivery Initiative (ASIDI) programme and the Provincial School Build Programme. Good progress has been achieved in providing basic services (water, sanitation and power supply), new schools and the maintenance of existing ones. The Provincial Schools Build Programme (PSBP) targets the provision of basic services, new schools, additions to existing schools, new and upgrading of services and maintenance, while ASIDI is a programme driven by the DBE to address schools infrastructure backlog in all schools that do not meet the basic safety norms and standards. The purpose of the programme is for the eradication of schools made entirely of inappropriate structures and the provision of basic level of water, sanitati</w:t>
      </w:r>
      <w:r>
        <w:rPr>
          <w:rFonts w:eastAsiaTheme="minorHAnsi"/>
          <w:lang w:val="en-ZA"/>
        </w:rPr>
        <w:t xml:space="preserve">on and electricity to schools. </w:t>
      </w:r>
      <w:r w:rsidRPr="00F86729">
        <w:rPr>
          <w:rFonts w:eastAsiaTheme="minorHAnsi"/>
          <w:lang w:val="en-ZA"/>
        </w:rPr>
        <w:t>Through ASIDI, 173 inappropriate structures have been eradicated, 615 schools have been provided with water, 425 with sanitation and 307 with electricity. The two programmes are jointly responsible for improved infrastructure which has resulted in a higher proportion of younger children accessing schoolroom facilities.</w:t>
      </w:r>
    </w:p>
    <w:p w:rsidR="00F86729" w:rsidRPr="00F86729" w:rsidRDefault="00F86729" w:rsidP="00F86729">
      <w:pPr>
        <w:pStyle w:val="SingleTxtG"/>
        <w:rPr>
          <w:rFonts w:eastAsiaTheme="minorHAnsi"/>
        </w:rPr>
      </w:pPr>
      <w:r>
        <w:rPr>
          <w:rFonts w:eastAsiaTheme="minorHAnsi"/>
          <w:lang w:val="en-ZA"/>
        </w:rPr>
        <w:t>28.</w:t>
      </w:r>
      <w:r>
        <w:rPr>
          <w:rFonts w:eastAsiaTheme="minorHAnsi"/>
          <w:lang w:val="en-ZA"/>
        </w:rPr>
        <w:tab/>
      </w:r>
      <w:r w:rsidRPr="00F86729">
        <w:rPr>
          <w:rFonts w:eastAsiaTheme="minorHAnsi"/>
          <w:lang w:val="en-ZA"/>
        </w:rPr>
        <w:t xml:space="preserve">Section 27(1) of the Constitution guarantees everyone, including persons with disabilities, the right to have access to </w:t>
      </w:r>
      <w:r w:rsidRPr="00F46244">
        <w:rPr>
          <w:rFonts w:eastAsiaTheme="minorHAnsi"/>
          <w:b/>
          <w:lang w:val="en-ZA"/>
        </w:rPr>
        <w:t>social security</w:t>
      </w:r>
      <w:r w:rsidRPr="00F86729">
        <w:rPr>
          <w:rFonts w:eastAsiaTheme="minorHAnsi"/>
          <w:lang w:val="en-ZA"/>
        </w:rPr>
        <w:t xml:space="preserve"> and, if they are unable to support themselves and their dependants, appropriate social assistance. The </w:t>
      </w:r>
      <w:r w:rsidR="00A51465">
        <w:rPr>
          <w:rFonts w:eastAsiaTheme="minorHAnsi"/>
          <w:lang w:val="en-ZA"/>
        </w:rPr>
        <w:t>S</w:t>
      </w:r>
      <w:r w:rsidRPr="00F86729">
        <w:rPr>
          <w:rFonts w:eastAsiaTheme="minorHAnsi"/>
          <w:lang w:val="en-ZA"/>
        </w:rPr>
        <w:t>tate is duty-bound to take reasonable measures, within its available resources, to achieve the progressive realisation of this right. The Social Assistance Act, 2004 as amended</w:t>
      </w:r>
      <w:r w:rsidR="00F7073B">
        <w:rPr>
          <w:rStyle w:val="EndnoteReference"/>
          <w:rFonts w:eastAsiaTheme="minorHAnsi"/>
          <w:lang w:val="en-ZA"/>
        </w:rPr>
        <w:endnoteReference w:id="10"/>
      </w:r>
      <w:r w:rsidRPr="00F86729">
        <w:rPr>
          <w:rFonts w:eastAsiaTheme="minorHAnsi"/>
          <w:lang w:val="en-ZA"/>
        </w:rPr>
        <w:t xml:space="preserve"> makes provision for different types of social grants and social relief of distress, and the management and delivery of these social benefits through the South African Social Security Agency (SASSA).</w:t>
      </w:r>
    </w:p>
    <w:p w:rsidR="00F86729" w:rsidRPr="00F86729" w:rsidRDefault="00F86729" w:rsidP="00F86729">
      <w:pPr>
        <w:pStyle w:val="SingleTxtG"/>
        <w:rPr>
          <w:rFonts w:eastAsiaTheme="minorHAnsi"/>
        </w:rPr>
      </w:pPr>
      <w:r>
        <w:rPr>
          <w:rFonts w:eastAsiaTheme="minorHAnsi"/>
          <w:lang w:val="en-ZA"/>
        </w:rPr>
        <w:t>29.</w:t>
      </w:r>
      <w:r>
        <w:rPr>
          <w:rFonts w:eastAsiaTheme="minorHAnsi"/>
          <w:lang w:val="en-ZA"/>
        </w:rPr>
        <w:tab/>
      </w:r>
      <w:r w:rsidRPr="00F86729">
        <w:rPr>
          <w:rFonts w:eastAsiaTheme="minorHAnsi"/>
          <w:lang w:val="en-ZA"/>
        </w:rPr>
        <w:t>The South African Social Security Agency Act (SASSA), 2004</w:t>
      </w:r>
      <w:r w:rsidR="00F7073B">
        <w:rPr>
          <w:rStyle w:val="EndnoteReference"/>
          <w:rFonts w:eastAsiaTheme="minorHAnsi"/>
          <w:lang w:val="en-ZA"/>
        </w:rPr>
        <w:endnoteReference w:id="11"/>
      </w:r>
      <w:r w:rsidRPr="00F86729">
        <w:rPr>
          <w:rFonts w:eastAsiaTheme="minorHAnsi"/>
          <w:lang w:val="en-ZA"/>
        </w:rPr>
        <w:t xml:space="preserve"> provides for the effective management, administration and payment of social assistance and service through the establishment of the SASSA. SASSA also establishes a Social Security Inspectorate with a mandate to protect the rights of the beneficiaries. The table below provides a snapshot of the number and types of grants per region per month (in this case April 2016):</w:t>
      </w: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850"/>
        <w:gridCol w:w="850"/>
        <w:gridCol w:w="850"/>
        <w:gridCol w:w="850"/>
        <w:gridCol w:w="851"/>
        <w:gridCol w:w="851"/>
        <w:gridCol w:w="851"/>
        <w:gridCol w:w="851"/>
        <w:gridCol w:w="851"/>
      </w:tblGrid>
      <w:tr w:rsidR="00F86729" w:rsidRPr="00F86729" w:rsidTr="00F86729">
        <w:tc>
          <w:tcPr>
            <w:tcW w:w="985" w:type="dxa"/>
            <w:tcBorders>
              <w:top w:val="single" w:sz="4" w:space="0" w:color="auto"/>
              <w:bottom w:val="single" w:sz="12" w:space="0" w:color="auto"/>
            </w:tcBorders>
            <w:shd w:val="clear" w:color="auto" w:fill="auto"/>
            <w:vAlign w:val="bottom"/>
          </w:tcPr>
          <w:p w:rsidR="00F86729" w:rsidRPr="00F86729" w:rsidRDefault="00F86729" w:rsidP="00F86729">
            <w:pPr>
              <w:spacing w:before="80" w:after="80" w:line="200" w:lineRule="exact"/>
              <w:rPr>
                <w:rFonts w:eastAsiaTheme="minorHAnsi"/>
                <w:i/>
                <w:sz w:val="16"/>
              </w:rPr>
            </w:pPr>
            <w:r>
              <w:rPr>
                <w:rFonts w:eastAsiaTheme="minorHAnsi"/>
                <w:i/>
                <w:sz w:val="16"/>
              </w:rPr>
              <w:t>Region</w:t>
            </w:r>
          </w:p>
        </w:tc>
        <w:tc>
          <w:tcPr>
            <w:tcW w:w="985" w:type="dxa"/>
            <w:tcBorders>
              <w:top w:val="single" w:sz="4" w:space="0" w:color="auto"/>
              <w:bottom w:val="single" w:sz="12" w:space="0" w:color="auto"/>
            </w:tcBorders>
            <w:shd w:val="clear" w:color="auto" w:fill="auto"/>
            <w:vAlign w:val="bottom"/>
          </w:tcPr>
          <w:p w:rsidR="00F86729" w:rsidRPr="00F86729" w:rsidRDefault="00F86729" w:rsidP="00F86729">
            <w:pPr>
              <w:spacing w:before="80" w:after="80" w:line="200" w:lineRule="exact"/>
              <w:jc w:val="right"/>
              <w:rPr>
                <w:rFonts w:eastAsiaTheme="minorHAnsi"/>
                <w:i/>
                <w:sz w:val="16"/>
              </w:rPr>
            </w:pPr>
            <w:r>
              <w:rPr>
                <w:rFonts w:eastAsiaTheme="minorHAnsi"/>
                <w:i/>
                <w:sz w:val="16"/>
              </w:rPr>
              <w:t>Older persons</w:t>
            </w:r>
          </w:p>
        </w:tc>
        <w:tc>
          <w:tcPr>
            <w:tcW w:w="985" w:type="dxa"/>
            <w:tcBorders>
              <w:top w:val="single" w:sz="4" w:space="0" w:color="auto"/>
              <w:bottom w:val="single" w:sz="12" w:space="0" w:color="auto"/>
            </w:tcBorders>
            <w:shd w:val="clear" w:color="auto" w:fill="auto"/>
            <w:vAlign w:val="bottom"/>
          </w:tcPr>
          <w:p w:rsidR="00F86729" w:rsidRPr="00F86729" w:rsidRDefault="00F86729" w:rsidP="00F86729">
            <w:pPr>
              <w:spacing w:before="80" w:after="80" w:line="200" w:lineRule="exact"/>
              <w:jc w:val="right"/>
              <w:rPr>
                <w:rFonts w:eastAsiaTheme="minorHAnsi"/>
                <w:i/>
                <w:sz w:val="16"/>
              </w:rPr>
            </w:pPr>
            <w:r>
              <w:rPr>
                <w:rFonts w:eastAsiaTheme="minorHAnsi"/>
                <w:i/>
                <w:sz w:val="16"/>
              </w:rPr>
              <w:t>WR veteran</w:t>
            </w:r>
          </w:p>
        </w:tc>
        <w:tc>
          <w:tcPr>
            <w:tcW w:w="985" w:type="dxa"/>
            <w:tcBorders>
              <w:top w:val="single" w:sz="4" w:space="0" w:color="auto"/>
              <w:bottom w:val="single" w:sz="12" w:space="0" w:color="auto"/>
            </w:tcBorders>
            <w:shd w:val="clear" w:color="auto" w:fill="auto"/>
            <w:vAlign w:val="bottom"/>
          </w:tcPr>
          <w:p w:rsidR="00F86729" w:rsidRPr="00F86729" w:rsidRDefault="00F86729" w:rsidP="00F86729">
            <w:pPr>
              <w:spacing w:before="80" w:after="80" w:line="200" w:lineRule="exact"/>
              <w:jc w:val="right"/>
              <w:rPr>
                <w:rFonts w:eastAsiaTheme="minorHAnsi"/>
                <w:i/>
                <w:sz w:val="16"/>
              </w:rPr>
            </w:pPr>
            <w:r>
              <w:rPr>
                <w:rFonts w:eastAsiaTheme="minorHAnsi"/>
                <w:i/>
                <w:sz w:val="16"/>
              </w:rPr>
              <w:t>Disability</w:t>
            </w:r>
          </w:p>
        </w:tc>
        <w:tc>
          <w:tcPr>
            <w:tcW w:w="985" w:type="dxa"/>
            <w:tcBorders>
              <w:top w:val="single" w:sz="4" w:space="0" w:color="auto"/>
              <w:bottom w:val="single" w:sz="12" w:space="0" w:color="auto"/>
            </w:tcBorders>
            <w:shd w:val="clear" w:color="auto" w:fill="auto"/>
            <w:vAlign w:val="bottom"/>
          </w:tcPr>
          <w:p w:rsidR="00F86729" w:rsidRPr="00F86729" w:rsidRDefault="00F86729" w:rsidP="00F86729">
            <w:pPr>
              <w:spacing w:before="80" w:after="80" w:line="200" w:lineRule="exact"/>
              <w:jc w:val="right"/>
              <w:rPr>
                <w:rFonts w:eastAsiaTheme="minorHAnsi"/>
                <w:i/>
                <w:sz w:val="16"/>
              </w:rPr>
            </w:pPr>
            <w:r>
              <w:rPr>
                <w:rFonts w:eastAsiaTheme="minorHAnsi"/>
                <w:i/>
                <w:sz w:val="16"/>
              </w:rPr>
              <w:t>Grant in aid</w:t>
            </w:r>
          </w:p>
        </w:tc>
        <w:tc>
          <w:tcPr>
            <w:tcW w:w="986" w:type="dxa"/>
            <w:tcBorders>
              <w:top w:val="single" w:sz="4" w:space="0" w:color="auto"/>
              <w:bottom w:val="single" w:sz="12" w:space="0" w:color="auto"/>
            </w:tcBorders>
            <w:shd w:val="clear" w:color="auto" w:fill="auto"/>
            <w:vAlign w:val="bottom"/>
          </w:tcPr>
          <w:p w:rsidR="00F86729" w:rsidRPr="00F86729" w:rsidRDefault="00C73C97" w:rsidP="00F86729">
            <w:pPr>
              <w:spacing w:before="80" w:after="80" w:line="200" w:lineRule="exact"/>
              <w:jc w:val="right"/>
              <w:rPr>
                <w:rFonts w:eastAsiaTheme="minorHAnsi"/>
                <w:i/>
                <w:sz w:val="16"/>
              </w:rPr>
            </w:pPr>
            <w:r>
              <w:rPr>
                <w:rFonts w:eastAsiaTheme="minorHAnsi"/>
                <w:i/>
                <w:sz w:val="16"/>
              </w:rPr>
              <w:t>Care dep G</w:t>
            </w:r>
          </w:p>
        </w:tc>
        <w:tc>
          <w:tcPr>
            <w:tcW w:w="986" w:type="dxa"/>
            <w:tcBorders>
              <w:top w:val="single" w:sz="4" w:space="0" w:color="auto"/>
              <w:bottom w:val="single" w:sz="12" w:space="0" w:color="auto"/>
            </w:tcBorders>
            <w:shd w:val="clear" w:color="auto" w:fill="auto"/>
            <w:vAlign w:val="bottom"/>
          </w:tcPr>
          <w:p w:rsidR="00F86729" w:rsidRPr="00F86729" w:rsidRDefault="00C73C97" w:rsidP="00F86729">
            <w:pPr>
              <w:spacing w:before="80" w:after="80" w:line="200" w:lineRule="exact"/>
              <w:jc w:val="right"/>
              <w:rPr>
                <w:rFonts w:eastAsiaTheme="minorHAnsi"/>
                <w:i/>
                <w:sz w:val="16"/>
              </w:rPr>
            </w:pPr>
            <w:r>
              <w:rPr>
                <w:rFonts w:eastAsiaTheme="minorHAnsi"/>
                <w:i/>
                <w:sz w:val="16"/>
              </w:rPr>
              <w:t>Foster child</w:t>
            </w:r>
          </w:p>
        </w:tc>
        <w:tc>
          <w:tcPr>
            <w:tcW w:w="986" w:type="dxa"/>
            <w:tcBorders>
              <w:top w:val="single" w:sz="4" w:space="0" w:color="auto"/>
              <w:bottom w:val="single" w:sz="12" w:space="0" w:color="auto"/>
            </w:tcBorders>
            <w:shd w:val="clear" w:color="auto" w:fill="auto"/>
            <w:vAlign w:val="bottom"/>
          </w:tcPr>
          <w:p w:rsidR="00F86729" w:rsidRPr="00F86729" w:rsidRDefault="00C73C97" w:rsidP="00F86729">
            <w:pPr>
              <w:spacing w:before="80" w:after="80" w:line="200" w:lineRule="exact"/>
              <w:jc w:val="right"/>
              <w:rPr>
                <w:rFonts w:eastAsiaTheme="minorHAnsi"/>
                <w:i/>
                <w:sz w:val="16"/>
              </w:rPr>
            </w:pPr>
            <w:r>
              <w:rPr>
                <w:rFonts w:eastAsiaTheme="minorHAnsi"/>
                <w:i/>
                <w:sz w:val="16"/>
              </w:rPr>
              <w:t>Child support</w:t>
            </w:r>
          </w:p>
        </w:tc>
        <w:tc>
          <w:tcPr>
            <w:tcW w:w="986" w:type="dxa"/>
            <w:tcBorders>
              <w:top w:val="single" w:sz="4" w:space="0" w:color="auto"/>
              <w:bottom w:val="single" w:sz="12" w:space="0" w:color="auto"/>
            </w:tcBorders>
            <w:shd w:val="clear" w:color="auto" w:fill="auto"/>
            <w:vAlign w:val="bottom"/>
          </w:tcPr>
          <w:p w:rsidR="00F86729" w:rsidRPr="00F86729" w:rsidRDefault="00C73C97" w:rsidP="00F86729">
            <w:pPr>
              <w:spacing w:before="80" w:after="80" w:line="200" w:lineRule="exact"/>
              <w:jc w:val="right"/>
              <w:rPr>
                <w:rFonts w:eastAsiaTheme="minorHAnsi"/>
                <w:i/>
                <w:sz w:val="16"/>
              </w:rPr>
            </w:pPr>
            <w:r>
              <w:rPr>
                <w:rFonts w:eastAsiaTheme="minorHAnsi"/>
                <w:i/>
                <w:sz w:val="16"/>
              </w:rPr>
              <w:t>Total</w:t>
            </w:r>
          </w:p>
        </w:tc>
        <w:tc>
          <w:tcPr>
            <w:tcW w:w="986" w:type="dxa"/>
            <w:tcBorders>
              <w:top w:val="single" w:sz="4" w:space="0" w:color="auto"/>
              <w:bottom w:val="single" w:sz="12" w:space="0" w:color="auto"/>
            </w:tcBorders>
            <w:shd w:val="clear" w:color="auto" w:fill="auto"/>
            <w:vAlign w:val="bottom"/>
          </w:tcPr>
          <w:p w:rsidR="00F86729" w:rsidRPr="00F86729" w:rsidRDefault="00C73C97" w:rsidP="00C73C97">
            <w:pPr>
              <w:spacing w:before="80" w:after="80" w:line="200" w:lineRule="exact"/>
              <w:jc w:val="right"/>
              <w:rPr>
                <w:rFonts w:eastAsiaTheme="minorHAnsi"/>
                <w:i/>
                <w:sz w:val="16"/>
              </w:rPr>
            </w:pPr>
            <w:r>
              <w:rPr>
                <w:rFonts w:eastAsiaTheme="minorHAnsi"/>
                <w:i/>
                <w:sz w:val="16"/>
              </w:rPr>
              <w:t>% of total</w:t>
            </w:r>
          </w:p>
        </w:tc>
      </w:tr>
      <w:tr w:rsidR="00F86729" w:rsidRPr="00F86729" w:rsidTr="00F86729">
        <w:tc>
          <w:tcPr>
            <w:tcW w:w="985" w:type="dxa"/>
            <w:tcBorders>
              <w:top w:val="single" w:sz="12" w:space="0" w:color="auto"/>
            </w:tcBorders>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EC</w:t>
            </w:r>
          </w:p>
        </w:tc>
        <w:tc>
          <w:tcPr>
            <w:tcW w:w="985"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535,979</w:t>
            </w:r>
          </w:p>
        </w:tc>
        <w:tc>
          <w:tcPr>
            <w:tcW w:w="985"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39</w:t>
            </w:r>
          </w:p>
        </w:tc>
        <w:tc>
          <w:tcPr>
            <w:tcW w:w="985"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180,547</w:t>
            </w:r>
          </w:p>
        </w:tc>
        <w:tc>
          <w:tcPr>
            <w:tcW w:w="985"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18,830</w:t>
            </w:r>
          </w:p>
        </w:tc>
        <w:tc>
          <w:tcPr>
            <w:tcW w:w="986"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19,591</w:t>
            </w:r>
          </w:p>
        </w:tc>
        <w:tc>
          <w:tcPr>
            <w:tcW w:w="986"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111,578</w:t>
            </w:r>
          </w:p>
        </w:tc>
        <w:tc>
          <w:tcPr>
            <w:tcW w:w="986" w:type="dxa"/>
            <w:tcBorders>
              <w:top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1,865,585</w:t>
            </w:r>
          </w:p>
        </w:tc>
        <w:tc>
          <w:tcPr>
            <w:tcW w:w="986" w:type="dxa"/>
            <w:tcBorders>
              <w:top w:val="single" w:sz="12" w:space="0" w:color="auto"/>
            </w:tcBorders>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2,732,149</w:t>
            </w:r>
          </w:p>
        </w:tc>
        <w:tc>
          <w:tcPr>
            <w:tcW w:w="986" w:type="dxa"/>
            <w:tcBorders>
              <w:top w:val="single" w:sz="12" w:space="0" w:color="auto"/>
            </w:tcBorders>
            <w:shd w:val="clear" w:color="auto" w:fill="auto"/>
            <w:vAlign w:val="bottom"/>
          </w:tcPr>
          <w:p w:rsidR="00F86729" w:rsidRPr="00F86729" w:rsidRDefault="00C73C97" w:rsidP="00C73C97">
            <w:pPr>
              <w:spacing w:before="40" w:after="40" w:line="220" w:lineRule="exact"/>
              <w:jc w:val="right"/>
              <w:rPr>
                <w:rFonts w:eastAsiaTheme="minorHAnsi"/>
                <w:sz w:val="18"/>
              </w:rPr>
            </w:pPr>
            <w:r>
              <w:rPr>
                <w:rFonts w:eastAsiaTheme="minorHAnsi"/>
                <w:sz w:val="18"/>
              </w:rPr>
              <w:t>16.1%</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FS</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188,011</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73,445</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2,848</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6,732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36,752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666,354</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974,144</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5.7%</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GP</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516,268</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66</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111,597</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4,466</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16,858</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53,374</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1,724,569</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2,427,198</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14.3%</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KZN</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648,954</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30</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250,941</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47,531</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36,944</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109,087</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2,803,749</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3,897,236</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23.0%</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LP</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440,995</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12</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95,393</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29,197</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13,792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53,978</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1,746,972</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2,380,339</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14.0%</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MP</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234,876</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13</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77,805</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7,312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9,919</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34,826</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1,052,416</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1,417,167</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8.4%</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NC</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81,434</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49,557</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7,392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5,013</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14,288</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297,140</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454,832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2.7%</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NW</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240,262</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81,431</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8,234</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9,086</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36,780</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814,783</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1,190,582</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7.0%</w:t>
            </w:r>
          </w:p>
        </w:tc>
      </w:tr>
      <w:tr w:rsidR="00F86729" w:rsidRPr="00F86729" w:rsidTr="00F86729">
        <w:tc>
          <w:tcPr>
            <w:tcW w:w="985" w:type="dxa"/>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WC</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309,479</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64</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150,946</w:t>
            </w:r>
          </w:p>
        </w:tc>
        <w:tc>
          <w:tcPr>
            <w:tcW w:w="985"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14,113</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12,637</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30,554</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962,497</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1,480,290</w:t>
            </w:r>
          </w:p>
        </w:tc>
        <w:tc>
          <w:tcPr>
            <w:tcW w:w="986" w:type="dxa"/>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8.7%</w:t>
            </w:r>
          </w:p>
        </w:tc>
      </w:tr>
      <w:tr w:rsidR="00F86729" w:rsidRPr="00F86729" w:rsidTr="00F86729">
        <w:tc>
          <w:tcPr>
            <w:tcW w:w="985" w:type="dxa"/>
            <w:shd w:val="clear" w:color="auto" w:fill="auto"/>
            <w:vAlign w:val="bottom"/>
          </w:tcPr>
          <w:p w:rsidR="00F86729" w:rsidRPr="002B33FF" w:rsidRDefault="00C73C97" w:rsidP="00F86729">
            <w:pPr>
              <w:spacing w:before="40" w:after="40" w:line="220" w:lineRule="exact"/>
              <w:rPr>
                <w:rFonts w:eastAsiaTheme="minorHAnsi"/>
                <w:b/>
                <w:sz w:val="18"/>
              </w:rPr>
            </w:pPr>
            <w:r w:rsidRPr="002B33FF">
              <w:rPr>
                <w:rFonts w:eastAsiaTheme="minorHAnsi"/>
                <w:b/>
                <w:sz w:val="18"/>
              </w:rPr>
              <w:t>Total</w:t>
            </w:r>
          </w:p>
        </w:tc>
        <w:tc>
          <w:tcPr>
            <w:tcW w:w="985"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3,196,258</w:t>
            </w:r>
          </w:p>
        </w:tc>
        <w:tc>
          <w:tcPr>
            <w:tcW w:w="985"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240</w:t>
            </w:r>
          </w:p>
        </w:tc>
        <w:tc>
          <w:tcPr>
            <w:tcW w:w="985"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1,071,662</w:t>
            </w:r>
          </w:p>
        </w:tc>
        <w:tc>
          <w:tcPr>
            <w:tcW w:w="985"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139,923</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130,572</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481,217</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11,934,065</w:t>
            </w:r>
          </w:p>
        </w:tc>
        <w:tc>
          <w:tcPr>
            <w:tcW w:w="986" w:type="dxa"/>
            <w:shd w:val="clear" w:color="auto" w:fill="auto"/>
            <w:vAlign w:val="bottom"/>
          </w:tcPr>
          <w:p w:rsidR="00F86729" w:rsidRPr="002B33FF" w:rsidRDefault="00C73C97" w:rsidP="00F86729">
            <w:pPr>
              <w:spacing w:before="40" w:after="40" w:line="220" w:lineRule="exact"/>
              <w:jc w:val="right"/>
              <w:rPr>
                <w:rFonts w:eastAsiaTheme="minorHAnsi"/>
                <w:b/>
                <w:sz w:val="18"/>
              </w:rPr>
            </w:pPr>
            <w:r w:rsidRPr="002B33FF">
              <w:rPr>
                <w:rFonts w:eastAsiaTheme="minorHAnsi"/>
                <w:b/>
                <w:sz w:val="18"/>
              </w:rPr>
              <w:t>16,953,937</w:t>
            </w:r>
          </w:p>
        </w:tc>
        <w:tc>
          <w:tcPr>
            <w:tcW w:w="986" w:type="dxa"/>
            <w:shd w:val="clear" w:color="auto" w:fill="auto"/>
            <w:vAlign w:val="bottom"/>
          </w:tcPr>
          <w:p w:rsidR="00F86729" w:rsidRPr="00F86729" w:rsidRDefault="00F86729" w:rsidP="00F86729">
            <w:pPr>
              <w:spacing w:before="40" w:after="40" w:line="220" w:lineRule="exact"/>
              <w:jc w:val="right"/>
              <w:rPr>
                <w:rFonts w:eastAsiaTheme="minorHAnsi"/>
                <w:sz w:val="18"/>
              </w:rPr>
            </w:pPr>
          </w:p>
        </w:tc>
      </w:tr>
      <w:tr w:rsidR="00F86729" w:rsidRPr="00F86729" w:rsidTr="00F86729">
        <w:tc>
          <w:tcPr>
            <w:tcW w:w="985" w:type="dxa"/>
            <w:tcBorders>
              <w:bottom w:val="single" w:sz="12" w:space="0" w:color="auto"/>
            </w:tcBorders>
            <w:shd w:val="clear" w:color="auto" w:fill="auto"/>
            <w:vAlign w:val="bottom"/>
          </w:tcPr>
          <w:p w:rsidR="00F86729" w:rsidRPr="00F86729" w:rsidRDefault="00C73C97" w:rsidP="00F86729">
            <w:pPr>
              <w:spacing w:before="40" w:after="40" w:line="220" w:lineRule="exact"/>
              <w:rPr>
                <w:rFonts w:eastAsiaTheme="minorHAnsi"/>
                <w:sz w:val="18"/>
              </w:rPr>
            </w:pPr>
            <w:r>
              <w:rPr>
                <w:rFonts w:eastAsiaTheme="minorHAnsi"/>
                <w:sz w:val="18"/>
              </w:rPr>
              <w:t xml:space="preserve">% of </w:t>
            </w:r>
            <w:r w:rsidR="00A51465">
              <w:rPr>
                <w:rFonts w:eastAsiaTheme="minorHAnsi"/>
                <w:sz w:val="18"/>
              </w:rPr>
              <w:t>t</w:t>
            </w:r>
            <w:r>
              <w:rPr>
                <w:rFonts w:eastAsiaTheme="minorHAnsi"/>
                <w:sz w:val="18"/>
              </w:rPr>
              <w:t>otal</w:t>
            </w:r>
          </w:p>
        </w:tc>
        <w:tc>
          <w:tcPr>
            <w:tcW w:w="985"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18.9%</w:t>
            </w:r>
          </w:p>
        </w:tc>
        <w:tc>
          <w:tcPr>
            <w:tcW w:w="985"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0.0%</w:t>
            </w:r>
          </w:p>
        </w:tc>
        <w:tc>
          <w:tcPr>
            <w:tcW w:w="985"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6.3%</w:t>
            </w:r>
          </w:p>
        </w:tc>
        <w:tc>
          <w:tcPr>
            <w:tcW w:w="985"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0.8%</w:t>
            </w:r>
          </w:p>
        </w:tc>
        <w:tc>
          <w:tcPr>
            <w:tcW w:w="986"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0.8%</w:t>
            </w:r>
          </w:p>
        </w:tc>
        <w:tc>
          <w:tcPr>
            <w:tcW w:w="986"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2.8%</w:t>
            </w:r>
          </w:p>
        </w:tc>
        <w:tc>
          <w:tcPr>
            <w:tcW w:w="986" w:type="dxa"/>
            <w:tcBorders>
              <w:bottom w:val="single" w:sz="12" w:space="0" w:color="auto"/>
            </w:tcBorders>
            <w:shd w:val="clear" w:color="auto" w:fill="auto"/>
            <w:vAlign w:val="bottom"/>
          </w:tcPr>
          <w:p w:rsidR="00F86729" w:rsidRPr="00F86729" w:rsidRDefault="00C73C97" w:rsidP="00F86729">
            <w:pPr>
              <w:spacing w:before="40" w:after="40" w:line="220" w:lineRule="exact"/>
              <w:jc w:val="right"/>
              <w:rPr>
                <w:rFonts w:eastAsiaTheme="minorHAnsi"/>
                <w:sz w:val="18"/>
              </w:rPr>
            </w:pPr>
            <w:r>
              <w:rPr>
                <w:rFonts w:eastAsiaTheme="minorHAnsi"/>
                <w:sz w:val="18"/>
              </w:rPr>
              <w:t>70.4%</w:t>
            </w:r>
          </w:p>
        </w:tc>
        <w:tc>
          <w:tcPr>
            <w:tcW w:w="986" w:type="dxa"/>
            <w:tcBorders>
              <w:bottom w:val="single" w:sz="12" w:space="0" w:color="auto"/>
            </w:tcBorders>
            <w:shd w:val="clear" w:color="auto" w:fill="auto"/>
            <w:vAlign w:val="bottom"/>
          </w:tcPr>
          <w:p w:rsidR="00F86729" w:rsidRPr="00F86729" w:rsidRDefault="00F86729" w:rsidP="00F86729">
            <w:pPr>
              <w:spacing w:before="40" w:after="40" w:line="220" w:lineRule="exact"/>
              <w:jc w:val="right"/>
              <w:rPr>
                <w:rFonts w:eastAsiaTheme="minorHAnsi"/>
                <w:sz w:val="18"/>
              </w:rPr>
            </w:pPr>
          </w:p>
        </w:tc>
        <w:tc>
          <w:tcPr>
            <w:tcW w:w="986" w:type="dxa"/>
            <w:tcBorders>
              <w:bottom w:val="single" w:sz="12" w:space="0" w:color="auto"/>
            </w:tcBorders>
            <w:shd w:val="clear" w:color="auto" w:fill="auto"/>
            <w:vAlign w:val="bottom"/>
          </w:tcPr>
          <w:p w:rsidR="00F86729" w:rsidRPr="00F86729" w:rsidRDefault="00F86729" w:rsidP="00F86729">
            <w:pPr>
              <w:spacing w:before="40" w:after="40" w:line="220" w:lineRule="exact"/>
              <w:jc w:val="right"/>
              <w:rPr>
                <w:rFonts w:eastAsiaTheme="minorHAnsi"/>
                <w:sz w:val="18"/>
              </w:rPr>
            </w:pPr>
          </w:p>
        </w:tc>
      </w:tr>
    </w:tbl>
    <w:p w:rsidR="00AD0BF0" w:rsidRPr="00AD0BF0" w:rsidRDefault="00AD0BF0" w:rsidP="004C3723">
      <w:pPr>
        <w:pStyle w:val="SingleTxtG"/>
        <w:spacing w:before="240"/>
        <w:rPr>
          <w:rFonts w:eastAsiaTheme="minorHAnsi"/>
        </w:rPr>
      </w:pPr>
      <w:r>
        <w:rPr>
          <w:rFonts w:eastAsiaTheme="minorHAnsi"/>
        </w:rPr>
        <w:t>30.</w:t>
      </w:r>
      <w:r>
        <w:rPr>
          <w:rFonts w:eastAsiaTheme="minorHAnsi"/>
        </w:rPr>
        <w:tab/>
      </w:r>
      <w:r w:rsidRPr="00AD0BF0">
        <w:rPr>
          <w:rFonts w:eastAsiaTheme="minorHAnsi"/>
        </w:rPr>
        <w:t>A recent study found that the Child Support Grant promotes early childhood development, reduces stunting, improves school retention and outcomes, increases access to health care, lowers the risk of child labour and contributes to lowering risky adolescent behaviour by the most vulnerable children.</w:t>
      </w:r>
      <w:r w:rsidR="00F7073B">
        <w:rPr>
          <w:rStyle w:val="EndnoteReference"/>
          <w:rFonts w:eastAsiaTheme="minorHAnsi"/>
        </w:rPr>
        <w:endnoteReference w:id="12"/>
      </w:r>
    </w:p>
    <w:p w:rsidR="00AD0BF0" w:rsidRPr="00AD0BF0" w:rsidRDefault="00AD0BF0" w:rsidP="00AD0BF0">
      <w:pPr>
        <w:pStyle w:val="SingleTxtG"/>
        <w:rPr>
          <w:rFonts w:eastAsiaTheme="minorHAnsi"/>
        </w:rPr>
      </w:pPr>
      <w:r>
        <w:rPr>
          <w:rFonts w:eastAsiaTheme="minorHAnsi"/>
        </w:rPr>
        <w:t>31.</w:t>
      </w:r>
      <w:r>
        <w:rPr>
          <w:rFonts w:eastAsiaTheme="minorHAnsi"/>
        </w:rPr>
        <w:tab/>
      </w:r>
      <w:r w:rsidRPr="00AD0BF0">
        <w:rPr>
          <w:rFonts w:eastAsiaTheme="minorHAnsi"/>
        </w:rPr>
        <w:t xml:space="preserve">South Africa is well aware of the vulnerabilities associated with old age. In 2016, </w:t>
      </w:r>
      <w:r w:rsidR="00A51465">
        <w:rPr>
          <w:rFonts w:eastAsiaTheme="minorHAnsi"/>
        </w:rPr>
        <w:t xml:space="preserve">the </w:t>
      </w:r>
      <w:r w:rsidRPr="00AD0BF0">
        <w:rPr>
          <w:rFonts w:eastAsiaTheme="minorHAnsi"/>
        </w:rPr>
        <w:t xml:space="preserve">Government released a discussion document on a proposal to introduce a mandatory system of retirement provision, which will also include death and disability benefits. In terms of the proposal, all working persons would contribute during their salary earning years so that they could receive a monthly income in the event that they are unable to work due to disability or old age, or their dependants in the event of death. The proposal has been tabled at the National Economic Development and Labour Council (NEDLAC) for discussion with all stakeholders, inclusive of </w:t>
      </w:r>
      <w:r w:rsidR="00A51465">
        <w:rPr>
          <w:rFonts w:eastAsiaTheme="minorHAnsi"/>
        </w:rPr>
        <w:t>G</w:t>
      </w:r>
      <w:r w:rsidRPr="00AD0BF0">
        <w:rPr>
          <w:rFonts w:eastAsiaTheme="minorHAnsi"/>
        </w:rPr>
        <w:t>overnment, business, organised and community sectors.</w:t>
      </w:r>
    </w:p>
    <w:p w:rsidR="00AD0BF0" w:rsidRPr="00AD0BF0" w:rsidRDefault="00AD0BF0" w:rsidP="00AD0BF0">
      <w:pPr>
        <w:pStyle w:val="SingleTxtG"/>
        <w:rPr>
          <w:rFonts w:eastAsiaTheme="minorHAnsi"/>
        </w:rPr>
      </w:pPr>
      <w:r>
        <w:rPr>
          <w:rFonts w:eastAsiaTheme="minorHAnsi"/>
        </w:rPr>
        <w:t>32.</w:t>
      </w:r>
      <w:r>
        <w:rPr>
          <w:rFonts w:eastAsiaTheme="minorHAnsi"/>
        </w:rPr>
        <w:tab/>
      </w:r>
      <w:r w:rsidRPr="00AD0BF0">
        <w:rPr>
          <w:rFonts w:eastAsiaTheme="minorHAnsi"/>
        </w:rPr>
        <w:t xml:space="preserve">The Minister for Social Development is required to keep a national register of persons convicted of the abuse of an older person. The register is used to reduce the risk of re-offending and prevents all registered convicted persons from working in environments that bring them into contact with older persons. The </w:t>
      </w:r>
      <w:r w:rsidRPr="00AD0BF0">
        <w:rPr>
          <w:rFonts w:eastAsiaTheme="minorHAnsi"/>
          <w:lang w:val="en-ZA"/>
        </w:rPr>
        <w:t>Social Security Agency Act</w:t>
      </w:r>
      <w:r w:rsidRPr="00AD0BF0">
        <w:rPr>
          <w:rFonts w:eastAsiaTheme="minorHAnsi"/>
        </w:rPr>
        <w:t xml:space="preserve"> requires any person who suspects that an older person has been abused or suffers from an abuse-related injury to immediately notify the relevant Government authority or a police official of his or her suspicion. Abuse of an older person is defined to include “physical, sexual, psychological, and economic abuse”.</w:t>
      </w:r>
    </w:p>
    <w:p w:rsidR="00AD0BF0" w:rsidRPr="00AD0BF0" w:rsidRDefault="00AD0BF0" w:rsidP="00AD0BF0">
      <w:pPr>
        <w:pStyle w:val="SingleTxtG"/>
        <w:rPr>
          <w:rFonts w:eastAsiaTheme="minorHAnsi"/>
          <w:lang w:val="en-ZA"/>
        </w:rPr>
      </w:pPr>
      <w:r>
        <w:rPr>
          <w:rFonts w:eastAsiaTheme="minorHAnsi"/>
          <w:lang w:val="en-ZA"/>
        </w:rPr>
        <w:t>33.</w:t>
      </w:r>
      <w:r>
        <w:rPr>
          <w:rFonts w:eastAsiaTheme="minorHAnsi"/>
          <w:lang w:val="en-ZA"/>
        </w:rPr>
        <w:tab/>
      </w:r>
      <w:r w:rsidRPr="00AD0BF0">
        <w:rPr>
          <w:rFonts w:eastAsiaTheme="minorHAnsi"/>
          <w:lang w:val="en-ZA"/>
        </w:rPr>
        <w:t xml:space="preserve">The Constitution provides that everyone has the right to </w:t>
      </w:r>
      <w:r w:rsidRPr="00F46244">
        <w:rPr>
          <w:rFonts w:eastAsiaTheme="minorHAnsi"/>
          <w:b/>
          <w:lang w:val="en-ZA"/>
        </w:rPr>
        <w:t>fair labour practices</w:t>
      </w:r>
      <w:r w:rsidRPr="00AD0BF0">
        <w:rPr>
          <w:rFonts w:eastAsiaTheme="minorHAnsi"/>
          <w:lang w:val="en-ZA"/>
        </w:rPr>
        <w:t xml:space="preserve">. Every worker has the right to form, join and participate in a trade union and to strike. Likewise, employers have the right to form and join employers' organisations, to take part in their activities and to lock-out employees on strike. </w:t>
      </w:r>
      <w:r w:rsidRPr="00AD0BF0">
        <w:rPr>
          <w:rFonts w:eastAsiaTheme="minorHAnsi"/>
          <w:bCs/>
          <w:lang w:val="en-ZA"/>
        </w:rPr>
        <w:t>The Employment Equity Act, 1998</w:t>
      </w:r>
      <w:r w:rsidR="00F7073B">
        <w:rPr>
          <w:rStyle w:val="EndnoteReference"/>
          <w:rFonts w:eastAsiaTheme="minorHAnsi"/>
          <w:bCs/>
          <w:lang w:val="en-ZA"/>
        </w:rPr>
        <w:endnoteReference w:id="13"/>
      </w:r>
      <w:r w:rsidRPr="00AD0BF0">
        <w:rPr>
          <w:rFonts w:eastAsiaTheme="minorHAnsi"/>
          <w:bCs/>
          <w:lang w:val="en-ZA"/>
        </w:rPr>
        <w:t xml:space="preserve"> (EEA) provides for the Employment Equity Commission that advises the Minister of Labour on matters of transformation of the labour market. </w:t>
      </w:r>
      <w:r w:rsidRPr="00AD0BF0">
        <w:rPr>
          <w:rFonts w:eastAsiaTheme="minorHAnsi"/>
          <w:lang w:val="en-ZA"/>
        </w:rPr>
        <w:t>The Basic Conditions of Employment Act was amended in 2013 to further improve conditions of employees.</w:t>
      </w:r>
      <w:r w:rsidR="00F7073B">
        <w:rPr>
          <w:rStyle w:val="EndnoteReference"/>
          <w:rFonts w:eastAsiaTheme="minorHAnsi"/>
          <w:lang w:val="en-ZA"/>
        </w:rPr>
        <w:endnoteReference w:id="14"/>
      </w:r>
      <w:r w:rsidRPr="00AD0BF0">
        <w:rPr>
          <w:rFonts w:eastAsiaTheme="minorHAnsi"/>
          <w:lang w:val="en-ZA"/>
        </w:rPr>
        <w:t xml:space="preserve"> The Labour Relations Act, 1995</w:t>
      </w:r>
      <w:r w:rsidR="00F7073B">
        <w:rPr>
          <w:rStyle w:val="EndnoteReference"/>
          <w:rFonts w:eastAsiaTheme="minorHAnsi"/>
          <w:lang w:val="en-ZA"/>
        </w:rPr>
        <w:endnoteReference w:id="15"/>
      </w:r>
      <w:r w:rsidRPr="00AD0BF0">
        <w:rPr>
          <w:rFonts w:eastAsiaTheme="minorHAnsi"/>
          <w:lang w:val="en-ZA"/>
        </w:rPr>
        <w:t xml:space="preserve"> was also amended in 2014 so as to facilitate the granting of organisational rights to trade unions that are sufficiently representative, to strengthen the status of picketing rules and agreements, to provide greater protection for workers placed in temporary employment and to regulate the employment of fixed term contracts and part-time employees earning below an earnings threshold.</w:t>
      </w:r>
      <w:r w:rsidR="00F7073B">
        <w:rPr>
          <w:rStyle w:val="EndnoteReference"/>
          <w:rFonts w:eastAsiaTheme="minorHAnsi"/>
          <w:lang w:val="en-ZA"/>
        </w:rPr>
        <w:endnoteReference w:id="16"/>
      </w:r>
    </w:p>
    <w:p w:rsidR="00AD0BF0" w:rsidRPr="00AD0BF0" w:rsidRDefault="00AD0BF0" w:rsidP="00AD0BF0">
      <w:pPr>
        <w:pStyle w:val="SingleTxtG"/>
        <w:rPr>
          <w:rFonts w:eastAsiaTheme="minorHAnsi"/>
          <w:lang w:val="en-ZA"/>
        </w:rPr>
      </w:pPr>
      <w:r>
        <w:rPr>
          <w:rFonts w:eastAsiaTheme="minorHAnsi"/>
          <w:lang w:val="en-ZA"/>
        </w:rPr>
        <w:t>34.</w:t>
      </w:r>
      <w:r>
        <w:rPr>
          <w:rFonts w:eastAsiaTheme="minorHAnsi"/>
          <w:lang w:val="en-ZA"/>
        </w:rPr>
        <w:tab/>
      </w:r>
      <w:r w:rsidRPr="00AD0BF0">
        <w:rPr>
          <w:rFonts w:eastAsiaTheme="minorHAnsi"/>
          <w:lang w:val="en-ZA"/>
        </w:rPr>
        <w:t>The Employment Equity Amendment Act, 2013 and the Employment Equity Regulations, 2014 provide that it will be unfair for an employer, based on a prohibited ground, or analogous arbitrary ground, to have different terms and conditions of employment for employees doing the same work, similar work or work of equal value. This applies to both gender and race.</w:t>
      </w:r>
      <w:r w:rsidRPr="00AD0BF0">
        <w:rPr>
          <w:rFonts w:eastAsiaTheme="minorHAnsi"/>
          <w:bCs/>
          <w:lang w:val="en-ZA"/>
        </w:rPr>
        <w:t xml:space="preserve"> During the period under review South Africa also amended the Code to the Employment Equity Act on HIV and AIDs at the workplace.</w:t>
      </w:r>
      <w:r w:rsidR="00F7073B">
        <w:rPr>
          <w:rStyle w:val="EndnoteReference"/>
          <w:rFonts w:eastAsiaTheme="minorHAnsi"/>
          <w:bCs/>
          <w:lang w:val="en-ZA"/>
        </w:rPr>
        <w:endnoteReference w:id="17"/>
      </w:r>
    </w:p>
    <w:p w:rsidR="00AD0BF0" w:rsidRPr="00AD0BF0" w:rsidRDefault="00AD0BF0" w:rsidP="00AD0BF0">
      <w:pPr>
        <w:pStyle w:val="SingleTxtG"/>
        <w:rPr>
          <w:rFonts w:eastAsiaTheme="minorHAnsi"/>
          <w:lang w:val="en-ZA"/>
        </w:rPr>
      </w:pPr>
      <w:r>
        <w:rPr>
          <w:rFonts w:eastAsiaTheme="minorHAnsi"/>
          <w:lang w:val="en-ZA"/>
        </w:rPr>
        <w:t>35.</w:t>
      </w:r>
      <w:r>
        <w:rPr>
          <w:rFonts w:eastAsiaTheme="minorHAnsi"/>
          <w:lang w:val="en-ZA"/>
        </w:rPr>
        <w:tab/>
      </w:r>
      <w:r w:rsidRPr="00AD0BF0">
        <w:rPr>
          <w:rFonts w:eastAsiaTheme="minorHAnsi"/>
          <w:lang w:val="en-ZA"/>
        </w:rPr>
        <w:t xml:space="preserve">The right to have access to </w:t>
      </w:r>
      <w:r w:rsidRPr="00F46244">
        <w:rPr>
          <w:rFonts w:eastAsiaTheme="minorHAnsi"/>
          <w:b/>
          <w:lang w:val="en-ZA"/>
        </w:rPr>
        <w:t>food and water</w:t>
      </w:r>
      <w:r w:rsidRPr="00AD0BF0">
        <w:rPr>
          <w:rFonts w:eastAsiaTheme="minorHAnsi"/>
          <w:b/>
          <w:lang w:val="en-ZA"/>
        </w:rPr>
        <w:t xml:space="preserve"> </w:t>
      </w:r>
      <w:r w:rsidRPr="00AD0BF0">
        <w:rPr>
          <w:rFonts w:eastAsiaTheme="minorHAnsi"/>
          <w:lang w:val="en-ZA"/>
        </w:rPr>
        <w:t xml:space="preserve">is enshrined in section 27 of the Constitution. South Africa, as a developmental </w:t>
      </w:r>
      <w:r w:rsidR="00125E07">
        <w:rPr>
          <w:rFonts w:eastAsiaTheme="minorHAnsi"/>
          <w:lang w:val="en-ZA"/>
        </w:rPr>
        <w:t>S</w:t>
      </w:r>
      <w:r w:rsidRPr="00AD0BF0">
        <w:rPr>
          <w:rFonts w:eastAsiaTheme="minorHAnsi"/>
          <w:lang w:val="en-ZA"/>
        </w:rPr>
        <w:t xml:space="preserve">tate, bears the mandate to ensure that all citizens have access to basic services such as housing, water and sanitation. In 1994, the democratic </w:t>
      </w:r>
      <w:r w:rsidR="00125E07">
        <w:rPr>
          <w:rFonts w:eastAsiaTheme="minorHAnsi"/>
          <w:lang w:val="en-ZA"/>
        </w:rPr>
        <w:t>G</w:t>
      </w:r>
      <w:r w:rsidRPr="00AD0BF0">
        <w:rPr>
          <w:rFonts w:eastAsiaTheme="minorHAnsi"/>
          <w:lang w:val="en-ZA"/>
        </w:rPr>
        <w:t xml:space="preserve">overnment inherited high levels of inequality and poverty, which left a large proportion of the population without access to basic services and resources. The Constitution places the responsibility on </w:t>
      </w:r>
      <w:r w:rsidR="00125E07">
        <w:rPr>
          <w:rFonts w:eastAsiaTheme="minorHAnsi"/>
          <w:lang w:val="en-ZA"/>
        </w:rPr>
        <w:t xml:space="preserve">the </w:t>
      </w:r>
      <w:r w:rsidRPr="00AD0BF0">
        <w:rPr>
          <w:rFonts w:eastAsiaTheme="minorHAnsi"/>
          <w:lang w:val="en-ZA"/>
        </w:rPr>
        <w:t xml:space="preserve">Government to provide the entire population with basic services, within available resources. With regards to the right to water and sanitation, it must be noted that under South Africa’s former water law, the right to use public water was tied to the ownership of land along watercourses. A new system of water allocation has been phased in so as to provide equitable access to water, to meet the basic human needs of present and future generations, and to redress the results of past racial and gender discrimination. Access to safe drinking water is a fundamental right that also links to the health, well-being and safety of the population of the country. The quality and availability of the water services are of extreme importance for the quality of human life and living standards. </w:t>
      </w:r>
      <w:proofErr w:type="gramStart"/>
      <w:r w:rsidRPr="00AD0BF0">
        <w:rPr>
          <w:rFonts w:eastAsiaTheme="minorHAnsi"/>
          <w:lang w:val="en-ZA"/>
        </w:rPr>
        <w:t>Improvements in access to piped water over the past decade is</w:t>
      </w:r>
      <w:proofErr w:type="gramEnd"/>
      <w:r w:rsidRPr="00AD0BF0">
        <w:rPr>
          <w:rFonts w:eastAsiaTheme="minorHAnsi"/>
          <w:lang w:val="en-ZA"/>
        </w:rPr>
        <w:t xml:space="preserve"> as follows:</w:t>
      </w:r>
    </w:p>
    <w:p w:rsidR="00B80C95" w:rsidRDefault="003D57D1" w:rsidP="00AD0BF0">
      <w:pPr>
        <w:ind w:left="1134"/>
        <w:rPr>
          <w:rFonts w:ascii="Arial" w:hAnsi="Arial" w:cs="Arial"/>
          <w:noProof/>
          <w:lang w:eastAsia="ja-JP"/>
        </w:rPr>
      </w:pPr>
      <w:r>
        <w:rPr>
          <w:rFonts w:ascii="Arial" w:hAnsi="Arial" w:cs="Arial"/>
          <w:noProof/>
          <w:lang w:eastAsia="ja-JP"/>
        </w:rPr>
        <w:drawing>
          <wp:inline distT="0" distB="0" distL="0" distR="0">
            <wp:extent cx="5404485" cy="1323975"/>
            <wp:effectExtent l="0" t="0" r="5715" b="952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1323975"/>
                    </a:xfrm>
                    <a:prstGeom prst="rect">
                      <a:avLst/>
                    </a:prstGeom>
                    <a:noFill/>
                    <a:ln>
                      <a:noFill/>
                    </a:ln>
                  </pic:spPr>
                </pic:pic>
              </a:graphicData>
            </a:graphic>
          </wp:inline>
        </w:drawing>
      </w:r>
    </w:p>
    <w:p w:rsidR="00AD0BF0" w:rsidRPr="00AD0BF0" w:rsidRDefault="00AD0BF0" w:rsidP="00AD0BF0">
      <w:pPr>
        <w:pStyle w:val="SingleTxtG"/>
        <w:rPr>
          <w:rFonts w:eastAsiaTheme="minorHAnsi"/>
          <w:lang w:val="en-ZA"/>
        </w:rPr>
      </w:pPr>
      <w:r>
        <w:rPr>
          <w:rFonts w:eastAsiaTheme="minorHAnsi"/>
          <w:lang w:val="en-ZA"/>
        </w:rPr>
        <w:t>36.</w:t>
      </w:r>
      <w:r>
        <w:rPr>
          <w:rFonts w:eastAsiaTheme="minorHAnsi"/>
          <w:lang w:val="en-ZA"/>
        </w:rPr>
        <w:tab/>
      </w:r>
      <w:r w:rsidRPr="00AD0BF0">
        <w:rPr>
          <w:rFonts w:eastAsiaTheme="minorHAnsi"/>
          <w:lang w:val="en-ZA"/>
        </w:rPr>
        <w:t xml:space="preserve">In the past two years, one of the most pressing challenges for South Africa has been the severe drought. To mitigate the impact of water scarcity resulting from the drought, </w:t>
      </w:r>
      <w:r w:rsidR="00125E07">
        <w:rPr>
          <w:rFonts w:eastAsiaTheme="minorHAnsi"/>
          <w:lang w:val="en-ZA"/>
        </w:rPr>
        <w:t xml:space="preserve">the </w:t>
      </w:r>
      <w:r w:rsidRPr="00AD0BF0">
        <w:rPr>
          <w:rFonts w:eastAsiaTheme="minorHAnsi"/>
          <w:lang w:val="en-ZA"/>
        </w:rPr>
        <w:t>Government established the Inter-Ministerial Task Team on Service Delivery to ensure that there continues to be reliable supply of water in all communities. The role of civil society organisations in supporting this effort cannot be overemphasised. To respon</w:t>
      </w:r>
      <w:r>
        <w:rPr>
          <w:rFonts w:eastAsiaTheme="minorHAnsi"/>
          <w:lang w:val="en-ZA"/>
        </w:rPr>
        <w:t xml:space="preserve">d to the pressures brought </w:t>
      </w:r>
      <w:r w:rsidRPr="00AD0BF0">
        <w:rPr>
          <w:rFonts w:eastAsiaTheme="minorHAnsi"/>
          <w:lang w:val="en-ZA"/>
        </w:rPr>
        <w:t xml:space="preserve">about by water scarcity, </w:t>
      </w:r>
      <w:r w:rsidR="00125E07">
        <w:rPr>
          <w:rFonts w:eastAsiaTheme="minorHAnsi"/>
          <w:lang w:val="en-ZA"/>
        </w:rPr>
        <w:t xml:space="preserve">the </w:t>
      </w:r>
      <w:r w:rsidRPr="00AD0BF0">
        <w:rPr>
          <w:rFonts w:eastAsiaTheme="minorHAnsi"/>
          <w:lang w:val="en-ZA"/>
        </w:rPr>
        <w:t xml:space="preserve">Government has reprioritised a budget allocation in the amount of R502 million. </w:t>
      </w:r>
      <w:r w:rsidR="00125E07">
        <w:rPr>
          <w:rFonts w:eastAsiaTheme="minorHAnsi"/>
          <w:lang w:val="en-ZA"/>
        </w:rPr>
        <w:t xml:space="preserve">The </w:t>
      </w:r>
      <w:r w:rsidRPr="00AD0BF0">
        <w:rPr>
          <w:rFonts w:eastAsiaTheme="minorHAnsi"/>
          <w:lang w:val="en-ZA"/>
        </w:rPr>
        <w:t>Government has continued with the provision of water storage infrastructure and regional bulk infrastructure to assist municipalities with bringing the raw water from dams to bulk infrastructure systems to the reticulation connection that takes treated water to households. In the past year alone, the regional bulk infrastructure projects completed cover</w:t>
      </w:r>
      <w:r>
        <w:rPr>
          <w:rFonts w:eastAsiaTheme="minorHAnsi"/>
          <w:lang w:val="en-ZA"/>
        </w:rPr>
        <w:t>ed over 78,</w:t>
      </w:r>
      <w:r w:rsidRPr="00AD0BF0">
        <w:rPr>
          <w:rFonts w:eastAsiaTheme="minorHAnsi"/>
          <w:lang w:val="en-ZA"/>
        </w:rPr>
        <w:t>000 households, with over 570</w:t>
      </w:r>
      <w:r>
        <w:rPr>
          <w:rFonts w:eastAsiaTheme="minorHAnsi"/>
          <w:lang w:val="en-ZA"/>
        </w:rPr>
        <w:t>,</w:t>
      </w:r>
      <w:r w:rsidRPr="00AD0BF0">
        <w:rPr>
          <w:rFonts w:eastAsiaTheme="minorHAnsi"/>
          <w:lang w:val="en-ZA"/>
        </w:rPr>
        <w:t xml:space="preserve">000 people benefitting from it. </w:t>
      </w:r>
      <w:r>
        <w:rPr>
          <w:rFonts w:eastAsiaTheme="minorHAnsi"/>
          <w:lang w:val="en-ZA"/>
        </w:rPr>
        <w:t xml:space="preserve">A </w:t>
      </w:r>
      <w:r w:rsidRPr="00AD0BF0">
        <w:rPr>
          <w:rFonts w:eastAsiaTheme="minorHAnsi"/>
          <w:lang w:val="en-ZA"/>
        </w:rPr>
        <w:t>further 61</w:t>
      </w:r>
      <w:r>
        <w:rPr>
          <w:rFonts w:eastAsiaTheme="minorHAnsi"/>
          <w:lang w:val="en-ZA"/>
        </w:rPr>
        <w:t>,</w:t>
      </w:r>
      <w:r w:rsidRPr="00AD0BF0">
        <w:rPr>
          <w:rFonts w:eastAsiaTheme="minorHAnsi"/>
          <w:lang w:val="en-ZA"/>
        </w:rPr>
        <w:t>000</w:t>
      </w:r>
      <w:r>
        <w:rPr>
          <w:rFonts w:eastAsiaTheme="minorHAnsi"/>
          <w:lang w:val="en-ZA"/>
        </w:rPr>
        <w:t xml:space="preserve"> households</w:t>
      </w:r>
      <w:r w:rsidRPr="00AD0BF0">
        <w:rPr>
          <w:rFonts w:eastAsiaTheme="minorHAnsi"/>
          <w:lang w:val="en-ZA"/>
        </w:rPr>
        <w:t xml:space="preserve"> wer</w:t>
      </w:r>
      <w:r>
        <w:rPr>
          <w:rFonts w:eastAsiaTheme="minorHAnsi"/>
          <w:lang w:val="en-ZA"/>
        </w:rPr>
        <w:t xml:space="preserve">e provided with interim or basic water supply in 27 </w:t>
      </w:r>
      <w:r w:rsidRPr="00AD0BF0">
        <w:rPr>
          <w:rFonts w:eastAsiaTheme="minorHAnsi"/>
          <w:lang w:val="en-ZA"/>
        </w:rPr>
        <w:t>priority district municipalities.</w:t>
      </w:r>
    </w:p>
    <w:p w:rsidR="00AD0BF0" w:rsidRPr="00AD0BF0" w:rsidRDefault="00AD0BF0" w:rsidP="00AD0BF0">
      <w:pPr>
        <w:pStyle w:val="SingleTxtG"/>
        <w:rPr>
          <w:rFonts w:eastAsiaTheme="minorHAnsi"/>
          <w:lang w:val="en-ZA"/>
        </w:rPr>
      </w:pPr>
      <w:r>
        <w:rPr>
          <w:rFonts w:eastAsiaTheme="minorHAnsi"/>
          <w:lang w:val="en-ZA"/>
        </w:rPr>
        <w:t>37.</w:t>
      </w:r>
      <w:r>
        <w:rPr>
          <w:rFonts w:eastAsiaTheme="minorHAnsi"/>
          <w:lang w:val="en-ZA"/>
        </w:rPr>
        <w:tab/>
      </w:r>
      <w:r w:rsidRPr="00AD0BF0">
        <w:rPr>
          <w:rFonts w:eastAsiaTheme="minorHAnsi"/>
          <w:lang w:val="en-ZA"/>
        </w:rPr>
        <w:t>Health care, in South Africa, is a constitutionally guaranteed right. Section 27 of the Constitution provides that everyone has the right to access to health care services, including reproductive health care and the right to not be refused emergency medical care. To this end, the National Health Act, 2003 [Act No. 61 of 2003] (NHA) provides both a framework and a foundation for health care services in South Africa, taking into account, as it does constitutional, provincial and national health care imperatives.</w:t>
      </w:r>
    </w:p>
    <w:p w:rsidR="00AD0BF0" w:rsidRPr="00AD0BF0" w:rsidRDefault="00AD0BF0" w:rsidP="00AD0BF0">
      <w:pPr>
        <w:pStyle w:val="SingleTxtG"/>
        <w:rPr>
          <w:rFonts w:eastAsiaTheme="minorHAnsi"/>
          <w:lang w:val="en-ZA"/>
        </w:rPr>
      </w:pPr>
      <w:r>
        <w:rPr>
          <w:rFonts w:eastAsiaTheme="minorHAnsi"/>
          <w:lang w:val="en-ZA"/>
        </w:rPr>
        <w:t>38.</w:t>
      </w:r>
      <w:r>
        <w:rPr>
          <w:rFonts w:eastAsiaTheme="minorHAnsi"/>
          <w:lang w:val="en-ZA"/>
        </w:rPr>
        <w:tab/>
      </w:r>
      <w:r w:rsidRPr="00AD0BF0">
        <w:rPr>
          <w:rFonts w:eastAsiaTheme="minorHAnsi"/>
          <w:lang w:val="en-ZA"/>
        </w:rPr>
        <w:t>The NDP provides a vision of a South African health system that is committed to ensuring “A long and healthy life for all South Africans” by the year 2030. By 2030, the NDP aims to have raised the life expectance of South Africans to at least 70 years; having produced a generation of under-20s that is largely HIV-free; reduced the burden of disease; achieved an infant mortality rate of less than 20 deaths per thousand live births, including an under-5 mortality rate of less than 30 per thousand; achieved a significant shift in equity, efficiency and quality of health service provision; achieved universal coverage; and, significantly reduced the social determinants of disease and adverse ecological factors.</w:t>
      </w:r>
    </w:p>
    <w:p w:rsidR="00AD0BF0" w:rsidRPr="00AD0BF0" w:rsidRDefault="00AD0BF0" w:rsidP="00AD0BF0">
      <w:pPr>
        <w:pStyle w:val="SingleTxtG"/>
        <w:rPr>
          <w:rFonts w:eastAsiaTheme="minorHAnsi"/>
          <w:lang w:val="en-ZA"/>
        </w:rPr>
      </w:pPr>
      <w:r>
        <w:rPr>
          <w:rFonts w:eastAsiaTheme="minorHAnsi"/>
          <w:lang w:val="en-ZA"/>
        </w:rPr>
        <w:t>39.</w:t>
      </w:r>
      <w:r>
        <w:rPr>
          <w:rFonts w:eastAsiaTheme="minorHAnsi"/>
          <w:lang w:val="en-ZA"/>
        </w:rPr>
        <w:tab/>
      </w:r>
      <w:r w:rsidRPr="00AD0BF0">
        <w:rPr>
          <w:rFonts w:eastAsiaTheme="minorHAnsi"/>
          <w:lang w:val="en-ZA"/>
        </w:rPr>
        <w:t xml:space="preserve">Significant progress can already be seen in various areas of health care such as the extension of life expectancy rates – the latest Rapid Mortality Surveillance report published in December 2016, suggests that the Life Expectancy in South Africa increased to 63.3 years, from 57.1 in 2009. The mortality rates </w:t>
      </w:r>
      <w:r>
        <w:rPr>
          <w:rFonts w:eastAsiaTheme="minorHAnsi"/>
          <w:lang w:val="en-ZA"/>
        </w:rPr>
        <w:t>have also improved.</w:t>
      </w:r>
    </w:p>
    <w:tbl>
      <w:tblPr>
        <w:tblStyle w:val="TableGrid"/>
        <w:tblW w:w="85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tblGrid>
      <w:tr w:rsidR="00AD0BF0" w:rsidRPr="00AD0BF0" w:rsidTr="004C3723">
        <w:trPr>
          <w:tblHeader/>
        </w:trPr>
        <w:tc>
          <w:tcPr>
            <w:tcW w:w="1929" w:type="dxa"/>
            <w:tcBorders>
              <w:top w:val="single" w:sz="4" w:space="0" w:color="auto"/>
              <w:bottom w:val="single" w:sz="12" w:space="0" w:color="auto"/>
            </w:tcBorders>
            <w:shd w:val="clear" w:color="auto" w:fill="auto"/>
            <w:vAlign w:val="bottom"/>
          </w:tcPr>
          <w:p w:rsidR="00AD0BF0" w:rsidRPr="00AD0BF0" w:rsidRDefault="00AD0BF0" w:rsidP="00AD0BF0">
            <w:pPr>
              <w:spacing w:before="80" w:after="80" w:line="200" w:lineRule="exact"/>
              <w:ind w:right="113"/>
              <w:rPr>
                <w:rFonts w:eastAsiaTheme="minorHAnsi"/>
                <w:i/>
                <w:sz w:val="16"/>
              </w:rPr>
            </w:pPr>
            <w:r>
              <w:rPr>
                <w:rFonts w:eastAsiaTheme="minorHAnsi"/>
                <w:i/>
                <w:sz w:val="16"/>
              </w:rPr>
              <w:t>Impact indicators</w:t>
            </w:r>
          </w:p>
        </w:tc>
        <w:tc>
          <w:tcPr>
            <w:tcW w:w="1930" w:type="dxa"/>
            <w:tcBorders>
              <w:top w:val="single" w:sz="4" w:space="0" w:color="auto"/>
              <w:bottom w:val="single" w:sz="12" w:space="0" w:color="auto"/>
            </w:tcBorders>
            <w:shd w:val="clear" w:color="auto" w:fill="auto"/>
            <w:vAlign w:val="bottom"/>
          </w:tcPr>
          <w:p w:rsidR="00AD0BF0" w:rsidRPr="00AD0BF0" w:rsidRDefault="00AD0BF0" w:rsidP="00AD0BF0">
            <w:pPr>
              <w:spacing w:before="80" w:after="80" w:line="200" w:lineRule="exact"/>
              <w:ind w:right="113"/>
              <w:rPr>
                <w:rFonts w:eastAsiaTheme="minorHAnsi"/>
                <w:i/>
                <w:sz w:val="16"/>
              </w:rPr>
            </w:pPr>
            <w:r>
              <w:rPr>
                <w:rFonts w:eastAsiaTheme="minorHAnsi"/>
                <w:i/>
                <w:sz w:val="16"/>
              </w:rPr>
              <w:t>Baseline 2009</w:t>
            </w:r>
          </w:p>
        </w:tc>
        <w:tc>
          <w:tcPr>
            <w:tcW w:w="1930" w:type="dxa"/>
            <w:tcBorders>
              <w:top w:val="single" w:sz="4" w:space="0" w:color="auto"/>
              <w:bottom w:val="single" w:sz="12" w:space="0" w:color="auto"/>
            </w:tcBorders>
            <w:shd w:val="clear" w:color="auto" w:fill="auto"/>
            <w:vAlign w:val="bottom"/>
          </w:tcPr>
          <w:p w:rsidR="00AD0BF0" w:rsidRPr="00AD0BF0" w:rsidRDefault="00AD0BF0" w:rsidP="00AD0BF0">
            <w:pPr>
              <w:spacing w:before="80" w:after="80" w:line="200" w:lineRule="exact"/>
              <w:ind w:right="113"/>
              <w:rPr>
                <w:rFonts w:eastAsiaTheme="minorHAnsi"/>
                <w:i/>
                <w:sz w:val="16"/>
              </w:rPr>
            </w:pPr>
            <w:r>
              <w:rPr>
                <w:rFonts w:eastAsiaTheme="minorHAnsi"/>
                <w:i/>
                <w:sz w:val="16"/>
              </w:rPr>
              <w:t>Current Status 2015 (published MRC–Dec 2016)</w:t>
            </w:r>
          </w:p>
        </w:tc>
        <w:tc>
          <w:tcPr>
            <w:tcW w:w="1930" w:type="dxa"/>
            <w:tcBorders>
              <w:top w:val="single" w:sz="4" w:space="0" w:color="auto"/>
              <w:bottom w:val="single" w:sz="12" w:space="0" w:color="auto"/>
            </w:tcBorders>
            <w:shd w:val="clear" w:color="auto" w:fill="auto"/>
            <w:vAlign w:val="bottom"/>
          </w:tcPr>
          <w:p w:rsidR="00AD0BF0" w:rsidRPr="00AD0BF0" w:rsidRDefault="00AD0BF0" w:rsidP="00AD0BF0">
            <w:pPr>
              <w:spacing w:before="80" w:after="80" w:line="200" w:lineRule="exact"/>
              <w:ind w:right="113"/>
              <w:rPr>
                <w:rFonts w:eastAsiaTheme="minorHAnsi"/>
                <w:i/>
                <w:sz w:val="16"/>
              </w:rPr>
            </w:pPr>
            <w:r>
              <w:rPr>
                <w:rFonts w:eastAsiaTheme="minorHAnsi"/>
                <w:i/>
                <w:sz w:val="16"/>
              </w:rPr>
              <w:t>MTSF 2019 targets</w:t>
            </w:r>
          </w:p>
        </w:tc>
        <w:tc>
          <w:tcPr>
            <w:tcW w:w="1930" w:type="dxa"/>
            <w:tcBorders>
              <w:top w:val="single" w:sz="4" w:space="0" w:color="auto"/>
              <w:bottom w:val="single" w:sz="12" w:space="0" w:color="auto"/>
            </w:tcBorders>
            <w:shd w:val="clear" w:color="auto" w:fill="auto"/>
            <w:vAlign w:val="bottom"/>
          </w:tcPr>
          <w:p w:rsidR="00AD0BF0" w:rsidRPr="00AD0BF0" w:rsidRDefault="00AD0BF0" w:rsidP="00AD0BF0">
            <w:pPr>
              <w:spacing w:before="80" w:after="80" w:line="200" w:lineRule="exact"/>
              <w:ind w:right="113"/>
              <w:rPr>
                <w:rFonts w:eastAsiaTheme="minorHAnsi"/>
                <w:i/>
                <w:sz w:val="16"/>
              </w:rPr>
            </w:pPr>
            <w:r>
              <w:rPr>
                <w:rFonts w:eastAsiaTheme="minorHAnsi"/>
                <w:i/>
                <w:sz w:val="16"/>
              </w:rPr>
              <w:t>NDP2030 targets</w:t>
            </w:r>
          </w:p>
        </w:tc>
      </w:tr>
      <w:tr w:rsidR="00AD0BF0" w:rsidRPr="00AD0BF0" w:rsidTr="00AD0BF0">
        <w:tc>
          <w:tcPr>
            <w:tcW w:w="1929" w:type="dxa"/>
            <w:tcBorders>
              <w:top w:val="single" w:sz="12" w:space="0" w:color="auto"/>
            </w:tcBorders>
            <w:shd w:val="clear" w:color="auto" w:fill="auto"/>
          </w:tcPr>
          <w:p w:rsidR="00AD0BF0" w:rsidRPr="00AD0BF0" w:rsidRDefault="00AD0BF0" w:rsidP="00AD0BF0">
            <w:pPr>
              <w:spacing w:before="40" w:after="120"/>
              <w:ind w:right="113"/>
              <w:rPr>
                <w:rFonts w:eastAsiaTheme="minorHAnsi"/>
              </w:rPr>
            </w:pPr>
            <w:r w:rsidRPr="00AD0BF0">
              <w:rPr>
                <w:rFonts w:eastAsiaTheme="minorHAnsi"/>
                <w:lang w:val="en-ZA"/>
              </w:rPr>
              <w:t>Life expectancy at birth: Total</w:t>
            </w:r>
          </w:p>
        </w:tc>
        <w:tc>
          <w:tcPr>
            <w:tcW w:w="1930" w:type="dxa"/>
            <w:tcBorders>
              <w:top w:val="single" w:sz="12" w:space="0" w:color="auto"/>
            </w:tcBorders>
            <w:shd w:val="clear" w:color="auto" w:fill="auto"/>
          </w:tcPr>
          <w:p w:rsidR="00AD0BF0" w:rsidRPr="00AD0BF0" w:rsidRDefault="00AD0BF0" w:rsidP="00AD0BF0">
            <w:pPr>
              <w:spacing w:before="40" w:after="120"/>
              <w:ind w:right="113"/>
              <w:rPr>
                <w:rFonts w:eastAsiaTheme="minorHAnsi"/>
              </w:rPr>
            </w:pPr>
            <w:r>
              <w:rPr>
                <w:rFonts w:eastAsiaTheme="minorHAnsi"/>
              </w:rPr>
              <w:t>56.5 years</w:t>
            </w:r>
          </w:p>
        </w:tc>
        <w:tc>
          <w:tcPr>
            <w:tcW w:w="1930" w:type="dxa"/>
            <w:tcBorders>
              <w:top w:val="single" w:sz="12" w:space="0" w:color="auto"/>
            </w:tcBorders>
            <w:shd w:val="clear" w:color="auto" w:fill="auto"/>
          </w:tcPr>
          <w:p w:rsidR="00AD0BF0" w:rsidRPr="00AD0BF0" w:rsidRDefault="00AD0BF0" w:rsidP="00AD0BF0">
            <w:pPr>
              <w:spacing w:before="40" w:after="120"/>
              <w:ind w:right="113"/>
              <w:rPr>
                <w:rFonts w:eastAsiaTheme="minorHAnsi"/>
              </w:rPr>
            </w:pPr>
            <w:r>
              <w:rPr>
                <w:rFonts w:eastAsiaTheme="minorHAnsi"/>
              </w:rPr>
              <w:t>63.3 years</w:t>
            </w:r>
          </w:p>
        </w:tc>
        <w:tc>
          <w:tcPr>
            <w:tcW w:w="1930" w:type="dxa"/>
            <w:tcBorders>
              <w:top w:val="single" w:sz="12" w:space="0" w:color="auto"/>
            </w:tcBorders>
            <w:shd w:val="clear" w:color="auto" w:fill="auto"/>
          </w:tcPr>
          <w:p w:rsidR="00AD0BF0" w:rsidRPr="00AD0BF0" w:rsidRDefault="00AD0BF0" w:rsidP="00AD0BF0">
            <w:pPr>
              <w:spacing w:before="40" w:after="120"/>
              <w:ind w:right="113"/>
              <w:rPr>
                <w:rFonts w:eastAsiaTheme="minorHAnsi"/>
              </w:rPr>
            </w:pPr>
            <w:r>
              <w:rPr>
                <w:rFonts w:eastAsiaTheme="minorHAnsi"/>
              </w:rPr>
              <w:t>65 years</w:t>
            </w:r>
          </w:p>
        </w:tc>
        <w:tc>
          <w:tcPr>
            <w:tcW w:w="1930" w:type="dxa"/>
            <w:tcBorders>
              <w:top w:val="single" w:sz="12" w:space="0" w:color="auto"/>
            </w:tcBorders>
            <w:shd w:val="clear" w:color="auto" w:fill="auto"/>
          </w:tcPr>
          <w:p w:rsidR="00AD0BF0" w:rsidRPr="00AD0BF0" w:rsidRDefault="00BE4C38" w:rsidP="00AD0BF0">
            <w:pPr>
              <w:spacing w:before="40" w:after="120"/>
              <w:ind w:right="113"/>
              <w:rPr>
                <w:rFonts w:eastAsiaTheme="minorHAnsi"/>
              </w:rPr>
            </w:pPr>
            <w:r>
              <w:rPr>
                <w:rFonts w:eastAsiaTheme="minorHAnsi"/>
              </w:rPr>
              <w:t>70 years</w:t>
            </w:r>
          </w:p>
        </w:tc>
      </w:tr>
      <w:tr w:rsidR="00AD0BF0" w:rsidRPr="00AD0BF0" w:rsidTr="00AD0BF0">
        <w:tc>
          <w:tcPr>
            <w:tcW w:w="1929" w:type="dxa"/>
            <w:shd w:val="clear" w:color="auto" w:fill="auto"/>
          </w:tcPr>
          <w:p w:rsidR="00AD0BF0" w:rsidRPr="00AD0BF0" w:rsidRDefault="00AD0BF0" w:rsidP="00AD0BF0">
            <w:pPr>
              <w:spacing w:before="40" w:after="120"/>
              <w:ind w:right="113"/>
              <w:rPr>
                <w:rFonts w:eastAsiaTheme="minorHAnsi"/>
              </w:rPr>
            </w:pPr>
            <w:r w:rsidRPr="00AD0BF0">
              <w:rPr>
                <w:rFonts w:eastAsiaTheme="minorHAnsi"/>
                <w:lang w:val="en-ZA"/>
              </w:rPr>
              <w:t>Under-5 Mortality Rate (U5MR)</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56 per 1,000 live-births</w:t>
            </w:r>
          </w:p>
        </w:tc>
        <w:tc>
          <w:tcPr>
            <w:tcW w:w="1930" w:type="dxa"/>
            <w:shd w:val="clear" w:color="auto" w:fill="auto"/>
          </w:tcPr>
          <w:p w:rsidR="00AD0BF0" w:rsidRPr="00AD0BF0" w:rsidRDefault="00AD0BF0" w:rsidP="00AD0BF0">
            <w:pPr>
              <w:spacing w:before="40" w:after="120"/>
              <w:ind w:right="113"/>
              <w:rPr>
                <w:rFonts w:eastAsiaTheme="minorHAnsi"/>
              </w:rPr>
            </w:pPr>
            <w:r w:rsidRPr="00AD0BF0">
              <w:rPr>
                <w:rFonts w:eastAsiaTheme="minorHAnsi"/>
              </w:rPr>
              <w:t>39 under 5 deaths per 1,000 live-births</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33 under 5 year deaths per 1,000 live-births</w:t>
            </w:r>
          </w:p>
        </w:tc>
        <w:tc>
          <w:tcPr>
            <w:tcW w:w="1930" w:type="dxa"/>
            <w:shd w:val="clear" w:color="auto" w:fill="auto"/>
          </w:tcPr>
          <w:p w:rsidR="00AD0BF0" w:rsidRPr="00AD0BF0" w:rsidRDefault="00BE4C38" w:rsidP="00BE4C38">
            <w:pPr>
              <w:spacing w:before="40" w:after="120"/>
              <w:ind w:right="113"/>
              <w:rPr>
                <w:rFonts w:eastAsiaTheme="minorHAnsi"/>
              </w:rPr>
            </w:pPr>
            <w:r>
              <w:rPr>
                <w:rFonts w:eastAsiaTheme="minorHAnsi"/>
              </w:rPr>
              <w:t>30 under 5 deaths per 1,000 live-births</w:t>
            </w:r>
          </w:p>
        </w:tc>
      </w:tr>
      <w:tr w:rsidR="00AD0BF0" w:rsidRPr="00AD0BF0" w:rsidTr="00AD0BF0">
        <w:tc>
          <w:tcPr>
            <w:tcW w:w="1929" w:type="dxa"/>
            <w:shd w:val="clear" w:color="auto" w:fill="auto"/>
          </w:tcPr>
          <w:p w:rsidR="00AD0BF0" w:rsidRPr="00AD0BF0" w:rsidRDefault="00AD0BF0" w:rsidP="00AD0BF0">
            <w:pPr>
              <w:spacing w:before="40" w:after="120"/>
              <w:ind w:right="113"/>
              <w:rPr>
                <w:rFonts w:eastAsiaTheme="minorHAnsi"/>
              </w:rPr>
            </w:pPr>
            <w:r w:rsidRPr="00AD0BF0">
              <w:rPr>
                <w:rFonts w:eastAsiaTheme="minorHAnsi"/>
                <w:lang w:val="en-ZA"/>
              </w:rPr>
              <w:t>Neonatal Mortality Rate</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14 neonatal deaths per 1,000 live-births</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8 neonate deaths per 1,000 live-births</w:t>
            </w:r>
          </w:p>
        </w:tc>
        <w:tc>
          <w:tcPr>
            <w:tcW w:w="1930" w:type="dxa"/>
            <w:shd w:val="clear" w:color="auto" w:fill="auto"/>
          </w:tcPr>
          <w:p w:rsidR="00AD0BF0" w:rsidRPr="00AD0BF0" w:rsidRDefault="00AD0BF0" w:rsidP="00AD0BF0">
            <w:pPr>
              <w:spacing w:before="40" w:after="120"/>
              <w:ind w:right="113"/>
              <w:rPr>
                <w:rFonts w:eastAsiaTheme="minorHAnsi"/>
              </w:rPr>
            </w:pPr>
          </w:p>
        </w:tc>
      </w:tr>
      <w:tr w:rsidR="00AD0BF0" w:rsidRPr="00AD0BF0" w:rsidTr="00AD0BF0">
        <w:tc>
          <w:tcPr>
            <w:tcW w:w="1929" w:type="dxa"/>
            <w:shd w:val="clear" w:color="auto" w:fill="auto"/>
          </w:tcPr>
          <w:p w:rsidR="00AD0BF0" w:rsidRPr="00AD0BF0" w:rsidRDefault="00AD0BF0" w:rsidP="00AD0BF0">
            <w:pPr>
              <w:spacing w:before="40" w:after="120"/>
              <w:ind w:right="113"/>
              <w:rPr>
                <w:rFonts w:eastAsiaTheme="minorHAnsi"/>
              </w:rPr>
            </w:pPr>
            <w:r w:rsidRPr="00AD0BF0">
              <w:rPr>
                <w:rFonts w:eastAsiaTheme="minorHAnsi"/>
                <w:lang w:val="en-ZA"/>
              </w:rPr>
              <w:t>Infant Mortality Rate (IMR)</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39 per 1,000 live-births</w:t>
            </w:r>
          </w:p>
        </w:tc>
        <w:tc>
          <w:tcPr>
            <w:tcW w:w="1930" w:type="dxa"/>
            <w:shd w:val="clear" w:color="auto" w:fill="auto"/>
          </w:tcPr>
          <w:p w:rsidR="00AD0BF0" w:rsidRPr="00AD0BF0" w:rsidRDefault="00AD0BF0" w:rsidP="00AD0BF0">
            <w:pPr>
              <w:spacing w:before="40" w:after="120"/>
              <w:ind w:right="113"/>
              <w:rPr>
                <w:rFonts w:eastAsiaTheme="minorHAnsi"/>
              </w:rPr>
            </w:pPr>
            <w:r>
              <w:rPr>
                <w:rFonts w:eastAsiaTheme="minorHAnsi"/>
              </w:rPr>
              <w:t>28 infant deaths per 1,000 live-births</w:t>
            </w:r>
          </w:p>
        </w:tc>
        <w:tc>
          <w:tcPr>
            <w:tcW w:w="1930" w:type="dxa"/>
            <w:shd w:val="clear" w:color="auto" w:fill="auto"/>
          </w:tcPr>
          <w:p w:rsidR="00AD0BF0" w:rsidRPr="00AD0BF0" w:rsidRDefault="00BE4C38" w:rsidP="00AD0BF0">
            <w:pPr>
              <w:spacing w:before="40" w:after="120"/>
              <w:ind w:right="113"/>
              <w:rPr>
                <w:rFonts w:eastAsiaTheme="minorHAnsi"/>
              </w:rPr>
            </w:pPr>
            <w:r>
              <w:rPr>
                <w:rFonts w:eastAsiaTheme="minorHAnsi"/>
              </w:rPr>
              <w:t>23 infant deaths per 1,000 live-births (15% decrease)</w:t>
            </w:r>
          </w:p>
        </w:tc>
        <w:tc>
          <w:tcPr>
            <w:tcW w:w="1930" w:type="dxa"/>
            <w:shd w:val="clear" w:color="auto" w:fill="auto"/>
          </w:tcPr>
          <w:p w:rsidR="00AD0BF0" w:rsidRPr="00AD0BF0" w:rsidRDefault="00BE4C38" w:rsidP="00AD0BF0">
            <w:pPr>
              <w:spacing w:before="40" w:after="120"/>
              <w:ind w:right="113"/>
              <w:rPr>
                <w:rFonts w:eastAsiaTheme="minorHAnsi"/>
              </w:rPr>
            </w:pPr>
            <w:r>
              <w:rPr>
                <w:rFonts w:eastAsiaTheme="minorHAnsi"/>
              </w:rPr>
              <w:t>20 infant deaths per 1,000 live-births</w:t>
            </w:r>
          </w:p>
        </w:tc>
      </w:tr>
      <w:tr w:rsidR="00AD0BF0" w:rsidRPr="00AD0BF0" w:rsidTr="00AD0BF0">
        <w:tc>
          <w:tcPr>
            <w:tcW w:w="1929" w:type="dxa"/>
            <w:tcBorders>
              <w:bottom w:val="single" w:sz="12" w:space="0" w:color="auto"/>
            </w:tcBorders>
            <w:shd w:val="clear" w:color="auto" w:fill="auto"/>
          </w:tcPr>
          <w:p w:rsidR="00AD0BF0" w:rsidRPr="00AD0BF0" w:rsidRDefault="00AD0BF0" w:rsidP="00AD0BF0">
            <w:pPr>
              <w:spacing w:before="40" w:after="120"/>
              <w:ind w:right="113"/>
              <w:rPr>
                <w:rFonts w:eastAsiaTheme="minorHAnsi"/>
              </w:rPr>
            </w:pPr>
            <w:r w:rsidRPr="00AD0BF0">
              <w:rPr>
                <w:rFonts w:eastAsiaTheme="minorHAnsi"/>
                <w:lang w:val="en-ZA"/>
              </w:rPr>
              <w:t>Maternal Mortality Ratio</w:t>
            </w:r>
          </w:p>
        </w:tc>
        <w:tc>
          <w:tcPr>
            <w:tcW w:w="1930" w:type="dxa"/>
            <w:tcBorders>
              <w:bottom w:val="single" w:sz="12" w:space="0" w:color="auto"/>
            </w:tcBorders>
            <w:shd w:val="clear" w:color="auto" w:fill="auto"/>
          </w:tcPr>
          <w:p w:rsidR="00AD0BF0" w:rsidRPr="00AD0BF0" w:rsidRDefault="00AD0BF0" w:rsidP="00AD0BF0">
            <w:pPr>
              <w:spacing w:before="40" w:after="120"/>
              <w:ind w:right="113"/>
              <w:rPr>
                <w:rFonts w:eastAsiaTheme="minorHAnsi"/>
              </w:rPr>
            </w:pPr>
            <w:r>
              <w:rPr>
                <w:rFonts w:eastAsiaTheme="minorHAnsi"/>
              </w:rPr>
              <w:t>304 per 100,000 live-births</w:t>
            </w:r>
          </w:p>
        </w:tc>
        <w:tc>
          <w:tcPr>
            <w:tcW w:w="1930" w:type="dxa"/>
            <w:tcBorders>
              <w:bottom w:val="single" w:sz="12" w:space="0" w:color="auto"/>
            </w:tcBorders>
            <w:shd w:val="clear" w:color="auto" w:fill="auto"/>
          </w:tcPr>
          <w:p w:rsidR="00AD0BF0" w:rsidRPr="00AD0BF0" w:rsidRDefault="00AD0BF0" w:rsidP="00AD0BF0">
            <w:pPr>
              <w:spacing w:before="40" w:after="120"/>
              <w:ind w:right="113"/>
              <w:rPr>
                <w:rFonts w:eastAsiaTheme="minorHAnsi"/>
              </w:rPr>
            </w:pPr>
            <w:r>
              <w:rPr>
                <w:rFonts w:eastAsiaTheme="minorHAnsi"/>
              </w:rPr>
              <w:t>154 per 100,000 live-births</w:t>
            </w:r>
          </w:p>
        </w:tc>
        <w:tc>
          <w:tcPr>
            <w:tcW w:w="1930" w:type="dxa"/>
            <w:tcBorders>
              <w:bottom w:val="single" w:sz="12" w:space="0" w:color="auto"/>
            </w:tcBorders>
            <w:shd w:val="clear" w:color="auto" w:fill="auto"/>
          </w:tcPr>
          <w:p w:rsidR="00AD0BF0" w:rsidRPr="00AD0BF0" w:rsidRDefault="00BE4C38" w:rsidP="00AD0BF0">
            <w:pPr>
              <w:spacing w:before="40" w:after="120"/>
              <w:ind w:right="113"/>
              <w:rPr>
                <w:rFonts w:eastAsiaTheme="minorHAnsi"/>
              </w:rPr>
            </w:pPr>
            <w:r>
              <w:rPr>
                <w:rFonts w:eastAsiaTheme="minorHAnsi"/>
              </w:rPr>
              <w:t>&lt;100 maternal deaths per 100,000 live-births</w:t>
            </w:r>
          </w:p>
        </w:tc>
        <w:tc>
          <w:tcPr>
            <w:tcW w:w="1930" w:type="dxa"/>
            <w:tcBorders>
              <w:bottom w:val="single" w:sz="12" w:space="0" w:color="auto"/>
            </w:tcBorders>
            <w:shd w:val="clear" w:color="auto" w:fill="auto"/>
          </w:tcPr>
          <w:p w:rsidR="00AD0BF0" w:rsidRPr="00AD0BF0" w:rsidRDefault="00AD0BF0" w:rsidP="00AD0BF0">
            <w:pPr>
              <w:spacing w:before="40" w:after="120"/>
              <w:ind w:right="113"/>
              <w:rPr>
                <w:rFonts w:eastAsiaTheme="minorHAnsi"/>
              </w:rPr>
            </w:pPr>
          </w:p>
        </w:tc>
      </w:tr>
    </w:tbl>
    <w:p w:rsidR="00BE4C38" w:rsidRPr="00BE4C38" w:rsidRDefault="00E510C5" w:rsidP="004C3723">
      <w:pPr>
        <w:pStyle w:val="SingleTxtG"/>
        <w:spacing w:before="240"/>
        <w:rPr>
          <w:rFonts w:eastAsiaTheme="minorHAnsi"/>
          <w:lang w:val="en-ZA"/>
        </w:rPr>
      </w:pPr>
      <w:r>
        <w:rPr>
          <w:rFonts w:eastAsiaTheme="minorHAnsi"/>
          <w:lang w:val="en-ZA"/>
        </w:rPr>
        <w:t>40.</w:t>
      </w:r>
      <w:r>
        <w:rPr>
          <w:rFonts w:eastAsiaTheme="minorHAnsi"/>
          <w:lang w:val="en-ZA"/>
        </w:rPr>
        <w:tab/>
      </w:r>
      <w:r w:rsidR="00BE4C38" w:rsidRPr="00BE4C38">
        <w:rPr>
          <w:rFonts w:eastAsiaTheme="minorHAnsi"/>
          <w:lang w:val="en-ZA"/>
        </w:rPr>
        <w:t xml:space="preserve">The above Life Expectancy trends corroborate the mid-year population estimates published by </w:t>
      </w:r>
      <w:proofErr w:type="spellStart"/>
      <w:r w:rsidR="00BE4C38" w:rsidRPr="00BE4C38">
        <w:rPr>
          <w:rFonts w:eastAsiaTheme="minorHAnsi"/>
          <w:lang w:val="en-ZA"/>
        </w:rPr>
        <w:t>StatsSA</w:t>
      </w:r>
      <w:proofErr w:type="spellEnd"/>
      <w:r w:rsidR="00BE4C38" w:rsidRPr="00BE4C38">
        <w:rPr>
          <w:rFonts w:eastAsiaTheme="minorHAnsi"/>
          <w:lang w:val="en-ZA"/>
        </w:rPr>
        <w:t xml:space="preserve"> during August 2016, which indicate that the Life Expectancy in South Africa increased from 56.4 in 2009 to 62.4.</w:t>
      </w:r>
    </w:p>
    <w:p w:rsidR="00BE4C38" w:rsidRPr="00BE4C38" w:rsidRDefault="00E510C5" w:rsidP="00BE4C38">
      <w:pPr>
        <w:pStyle w:val="SingleTxtG"/>
        <w:rPr>
          <w:rFonts w:eastAsiaTheme="minorHAnsi"/>
          <w:lang w:val="en-ZA"/>
        </w:rPr>
      </w:pPr>
      <w:r>
        <w:rPr>
          <w:rFonts w:eastAsiaTheme="minorHAnsi"/>
          <w:lang w:val="en-ZA"/>
        </w:rPr>
        <w:t>41.</w:t>
      </w:r>
      <w:r>
        <w:rPr>
          <w:rFonts w:eastAsiaTheme="minorHAnsi"/>
          <w:lang w:val="en-ZA"/>
        </w:rPr>
        <w:tab/>
      </w:r>
      <w:r w:rsidR="00BE4C38" w:rsidRPr="00BE4C38">
        <w:rPr>
          <w:rFonts w:eastAsiaTheme="minorHAnsi"/>
          <w:lang w:val="en-ZA"/>
        </w:rPr>
        <w:t>South Africa has a quadruple burden of disease which includes communicable diseases such as HIV and AIDS and TB, high maternal mortality ratio and child mortality rate, increase in non-communicable diseases and high rates of violence, injuries and trauma. Strengthening the effectiveness of the health system is the foundation on which successful interventions to improve health outcomes are being built. Decreasing the burden of disease is dependent on a well-functioning health system that is based on the principles of accessible, equitable, efficient, affordable, appropriate and qu</w:t>
      </w:r>
      <w:r>
        <w:rPr>
          <w:rFonts w:eastAsiaTheme="minorHAnsi"/>
          <w:lang w:val="en-ZA"/>
        </w:rPr>
        <w:t>ality health service provision.</w:t>
      </w:r>
    </w:p>
    <w:p w:rsidR="00BE4C38" w:rsidRPr="00BE4C38" w:rsidRDefault="00E510C5" w:rsidP="00BE4C38">
      <w:pPr>
        <w:pStyle w:val="SingleTxtG"/>
        <w:rPr>
          <w:rFonts w:eastAsiaTheme="minorHAnsi"/>
          <w:lang w:val="en-ZA"/>
        </w:rPr>
      </w:pPr>
      <w:r>
        <w:rPr>
          <w:rFonts w:eastAsiaTheme="minorHAnsi"/>
          <w:lang w:val="en-ZA"/>
        </w:rPr>
        <w:t>42.</w:t>
      </w:r>
      <w:r>
        <w:rPr>
          <w:rFonts w:eastAsiaTheme="minorHAnsi"/>
          <w:lang w:val="en-ZA"/>
        </w:rPr>
        <w:tab/>
      </w:r>
      <w:r w:rsidR="00BE4C38" w:rsidRPr="00BE4C38">
        <w:rPr>
          <w:rFonts w:eastAsiaTheme="minorHAnsi"/>
          <w:lang w:val="en-ZA"/>
        </w:rPr>
        <w:t>South Africa aims to achieve Universal Health Coverage by 2030 through the National Health Insurance (NHI) policy. The NHI policy of South Africa aims to “pool funds to provide universal access to quality affordable personal health services for all South Africans based on their health needs irrespective of their socio-economic status.”</w:t>
      </w:r>
    </w:p>
    <w:p w:rsidR="00BE4C38" w:rsidRPr="00BE4C38" w:rsidRDefault="00E510C5" w:rsidP="00BE4C38">
      <w:pPr>
        <w:pStyle w:val="SingleTxtG"/>
        <w:rPr>
          <w:rFonts w:eastAsiaTheme="minorHAnsi"/>
          <w:lang w:val="en-ZA"/>
        </w:rPr>
      </w:pPr>
      <w:r>
        <w:rPr>
          <w:rFonts w:eastAsiaTheme="minorHAnsi"/>
          <w:lang w:val="en-ZA"/>
        </w:rPr>
        <w:t>43.</w:t>
      </w:r>
      <w:r>
        <w:rPr>
          <w:rFonts w:eastAsiaTheme="minorHAnsi"/>
          <w:lang w:val="en-ZA"/>
        </w:rPr>
        <w:tab/>
      </w:r>
      <w:r w:rsidR="00BE4C38" w:rsidRPr="00BE4C38">
        <w:rPr>
          <w:rFonts w:eastAsiaTheme="minorHAnsi"/>
          <w:lang w:val="en-ZA"/>
        </w:rPr>
        <w:t xml:space="preserve">Currently, the South African health care system is challenged with many inequities carried from the past undemocratic </w:t>
      </w:r>
      <w:r w:rsidR="003C07AD">
        <w:rPr>
          <w:rFonts w:eastAsiaTheme="minorHAnsi"/>
          <w:lang w:val="en-ZA"/>
        </w:rPr>
        <w:t>G</w:t>
      </w:r>
      <w:r w:rsidR="00BE4C38" w:rsidRPr="00BE4C38">
        <w:rPr>
          <w:rFonts w:eastAsiaTheme="minorHAnsi"/>
          <w:lang w:val="en-ZA"/>
        </w:rPr>
        <w:t>overnment. The NHI White paper published on 10 Dec</w:t>
      </w:r>
      <w:r w:rsidR="003C07AD">
        <w:rPr>
          <w:rFonts w:eastAsiaTheme="minorHAnsi"/>
          <w:lang w:val="en-ZA"/>
        </w:rPr>
        <w:t>ember</w:t>
      </w:r>
      <w:r w:rsidR="00BE4C38" w:rsidRPr="00BE4C38">
        <w:rPr>
          <w:rFonts w:eastAsiaTheme="minorHAnsi"/>
          <w:lang w:val="en-ZA"/>
        </w:rPr>
        <w:t xml:space="preserve"> 2015, stipulates that South Africa spends 8.5% of its GDP on health, yet the benefit incidence of health care in South Africa is very pro-rich, with the richest receiving 36% of total benefits, despite having a 'healt</w:t>
      </w:r>
      <w:r>
        <w:rPr>
          <w:rFonts w:eastAsiaTheme="minorHAnsi"/>
          <w:lang w:val="en-ZA"/>
        </w:rPr>
        <w:t>h need share' of less than 10%.</w:t>
      </w:r>
    </w:p>
    <w:p w:rsidR="00BE4C38" w:rsidRPr="00BE4C38" w:rsidRDefault="00E510C5" w:rsidP="00BE4C38">
      <w:pPr>
        <w:pStyle w:val="SingleTxtG"/>
        <w:rPr>
          <w:rFonts w:eastAsiaTheme="minorHAnsi"/>
          <w:lang w:val="en-ZA"/>
        </w:rPr>
      </w:pPr>
      <w:r>
        <w:rPr>
          <w:rFonts w:eastAsiaTheme="minorHAnsi"/>
          <w:lang w:val="en-ZA"/>
        </w:rPr>
        <w:t>44.</w:t>
      </w:r>
      <w:r>
        <w:rPr>
          <w:rFonts w:eastAsiaTheme="minorHAnsi"/>
          <w:lang w:val="en-ZA"/>
        </w:rPr>
        <w:tab/>
      </w:r>
      <w:r w:rsidR="00BE4C38" w:rsidRPr="00BE4C38">
        <w:rPr>
          <w:rFonts w:eastAsiaTheme="minorHAnsi"/>
          <w:lang w:val="en-ZA"/>
        </w:rPr>
        <w:t>The Government, through its Department of Health (</w:t>
      </w:r>
      <w:proofErr w:type="spellStart"/>
      <w:r w:rsidR="00BE4C38" w:rsidRPr="00BE4C38">
        <w:rPr>
          <w:rFonts w:eastAsiaTheme="minorHAnsi"/>
          <w:lang w:val="en-ZA"/>
        </w:rPr>
        <w:t>DoH</w:t>
      </w:r>
      <w:proofErr w:type="spellEnd"/>
      <w:r w:rsidR="00BE4C38" w:rsidRPr="00BE4C38">
        <w:rPr>
          <w:rFonts w:eastAsiaTheme="minorHAnsi"/>
          <w:lang w:val="en-ZA"/>
        </w:rPr>
        <w:t>), has set</w:t>
      </w:r>
      <w:r w:rsidR="00A94858">
        <w:rPr>
          <w:rFonts w:eastAsiaTheme="minorHAnsi"/>
          <w:lang w:val="en-ZA"/>
        </w:rPr>
        <w:t xml:space="preserve"> </w:t>
      </w:r>
      <w:r w:rsidR="00BE4C38" w:rsidRPr="00BE4C38">
        <w:rPr>
          <w:rFonts w:eastAsiaTheme="minorHAnsi"/>
          <w:lang w:val="en-ZA"/>
        </w:rPr>
        <w:t>up 6 NHI work streams with the following objectives: to prepare for the establishment of the NHI Fund; to design and to implement NHI health care service benefits; to prepare for the purchaser-provider split and to accredit providers; to determine the role of medical schemes in an NHI environment; to complete the NHI Policy Paper for public release, and; to strengthen the District Health System. During the Medium Term Expenditure Framework (MTEF) commencing on the 2017/18 financial year, efforts will focus on establishing the NHI Fund. The NHI Fund, with support from the Office of Health Standards Compliance (OHSC), will initiate the process of accrediting Ideal Clinics, private Primary Health Care (PHC) Providers and public hospitals once they have been certified.</w:t>
      </w:r>
    </w:p>
    <w:p w:rsidR="00BE4C38" w:rsidRPr="00BE4C38" w:rsidRDefault="00E510C5" w:rsidP="00BE4C38">
      <w:pPr>
        <w:pStyle w:val="SingleTxtG"/>
        <w:rPr>
          <w:rFonts w:eastAsiaTheme="minorHAnsi"/>
          <w:lang w:val="en-ZA"/>
        </w:rPr>
      </w:pPr>
      <w:r>
        <w:rPr>
          <w:rFonts w:eastAsiaTheme="minorHAnsi"/>
          <w:lang w:val="en-ZA"/>
        </w:rPr>
        <w:t>45.</w:t>
      </w:r>
      <w:r>
        <w:rPr>
          <w:rFonts w:eastAsiaTheme="minorHAnsi"/>
          <w:lang w:val="en-ZA"/>
        </w:rPr>
        <w:tab/>
      </w:r>
      <w:r w:rsidR="00BE4C38" w:rsidRPr="00BE4C38">
        <w:rPr>
          <w:rFonts w:eastAsiaTheme="minorHAnsi"/>
          <w:lang w:val="en-ZA"/>
        </w:rPr>
        <w:t>The Government has made significant progress towards strengthening the PHC system for South Africa by re-engineering the PHC’s implementation through four identified implementation streams: the District Clinical Specialist Support Teams; the ward-based PHC Outreach Teams; the School-based Health programme; and the contracting of general practitioners and other providers to work in primary health care facilities.</w:t>
      </w:r>
    </w:p>
    <w:p w:rsidR="00BE4C38" w:rsidRPr="00BE4C38" w:rsidRDefault="00E510C5" w:rsidP="00BE4C38">
      <w:pPr>
        <w:pStyle w:val="SingleTxtG"/>
        <w:rPr>
          <w:rFonts w:eastAsiaTheme="minorHAnsi"/>
          <w:lang w:val="en-ZA"/>
        </w:rPr>
      </w:pPr>
      <w:r>
        <w:rPr>
          <w:rFonts w:eastAsiaTheme="minorHAnsi"/>
          <w:lang w:val="en-ZA"/>
        </w:rPr>
        <w:t>46.</w:t>
      </w:r>
      <w:r>
        <w:rPr>
          <w:rFonts w:eastAsiaTheme="minorHAnsi"/>
          <w:lang w:val="en-ZA"/>
        </w:rPr>
        <w:tab/>
      </w:r>
      <w:r w:rsidR="00BE4C38" w:rsidRPr="00BE4C38">
        <w:rPr>
          <w:rFonts w:eastAsiaTheme="minorHAnsi"/>
          <w:lang w:val="en-ZA"/>
        </w:rPr>
        <w:t>Further progress can also be seen by the implementation of the Ideal Clinic Realisation and Maintenance (ICRM) Programme that is aimed at improving the quality of health services, and at enhancing service delivery. In 2014, the Operation Phakisa 2: Scaling up Ideal Clinic Realisation and Maintenance Programme was launched to fast-track the implementation of Government priority programmes. Through Operation Phakisa 2, the public health sector seeks to improve th</w:t>
      </w:r>
      <w:r>
        <w:rPr>
          <w:rFonts w:eastAsiaTheme="minorHAnsi"/>
          <w:lang w:val="en-ZA"/>
        </w:rPr>
        <w:t>e quality of care provided in 3,</w:t>
      </w:r>
      <w:r w:rsidR="00BE4C38" w:rsidRPr="00BE4C38">
        <w:rPr>
          <w:rFonts w:eastAsiaTheme="minorHAnsi"/>
          <w:lang w:val="en-ZA"/>
        </w:rPr>
        <w:t xml:space="preserve">500 primary healthcare </w:t>
      </w:r>
      <w:r w:rsidR="00A94858">
        <w:rPr>
          <w:rFonts w:eastAsiaTheme="minorHAnsi"/>
          <w:lang w:val="en-ZA"/>
        </w:rPr>
        <w:t>(</w:t>
      </w:r>
      <w:r w:rsidR="00BE4C38" w:rsidRPr="00BE4C38">
        <w:rPr>
          <w:rFonts w:eastAsiaTheme="minorHAnsi"/>
          <w:lang w:val="en-ZA"/>
        </w:rPr>
        <w:t xml:space="preserve">PHC) facilities, which is comprised of Government clinics and Community Health Centres (CHCs). This work entails transforming the existing clinics and CHCs into ideal clinics, which all South Africans can use, out of choice, as a result of the enhanced quality of services they will provide. As at the end of March 2016, there </w:t>
      </w:r>
      <w:proofErr w:type="gramStart"/>
      <w:r w:rsidR="00BE4C38" w:rsidRPr="00BE4C38">
        <w:rPr>
          <w:rFonts w:eastAsiaTheme="minorHAnsi"/>
          <w:lang w:val="en-ZA"/>
        </w:rPr>
        <w:t>was</w:t>
      </w:r>
      <w:proofErr w:type="gramEnd"/>
      <w:r w:rsidR="00BE4C38" w:rsidRPr="00BE4C38">
        <w:rPr>
          <w:rFonts w:eastAsiaTheme="minorHAnsi"/>
          <w:lang w:val="en-ZA"/>
        </w:rPr>
        <w:t xml:space="preserve"> a cumulative total of 312 facilities qualifying as Ideal Clinics: Silver, Gold and Platinum levels.</w:t>
      </w:r>
    </w:p>
    <w:p w:rsidR="00BE4C38" w:rsidRPr="00BE4C38" w:rsidRDefault="00E510C5" w:rsidP="00BE4C38">
      <w:pPr>
        <w:pStyle w:val="SingleTxtG"/>
        <w:rPr>
          <w:rFonts w:eastAsiaTheme="minorHAnsi"/>
          <w:lang w:val="en-ZA"/>
        </w:rPr>
      </w:pPr>
      <w:r>
        <w:rPr>
          <w:rFonts w:eastAsiaTheme="minorHAnsi"/>
          <w:lang w:val="en-ZA"/>
        </w:rPr>
        <w:t>47.</w:t>
      </w:r>
      <w:r>
        <w:rPr>
          <w:rFonts w:eastAsiaTheme="minorHAnsi"/>
          <w:lang w:val="en-ZA"/>
        </w:rPr>
        <w:tab/>
      </w:r>
      <w:r w:rsidR="00BE4C38" w:rsidRPr="00BE4C38">
        <w:rPr>
          <w:rFonts w:eastAsiaTheme="minorHAnsi"/>
          <w:lang w:val="en-ZA"/>
        </w:rPr>
        <w:t>To deal with the challenges of HIV and the wide-ranging impacts of AIDS, the Government has adopted a multi-sectoral approach. During 2011, the South African National AIDS Council, in which Government, business, labour and civil society are represented, reviewed the implementation of these strategic plans and developed a comprehensive prevention, care and treatment programme for the next five-year plan (for the period 2012</w:t>
      </w:r>
      <w:r>
        <w:rPr>
          <w:rFonts w:eastAsiaTheme="minorHAnsi"/>
          <w:lang w:val="en-ZA"/>
        </w:rPr>
        <w:t>–</w:t>
      </w:r>
      <w:r w:rsidR="00BE4C38" w:rsidRPr="00BE4C38">
        <w:rPr>
          <w:rFonts w:eastAsiaTheme="minorHAnsi"/>
          <w:lang w:val="en-ZA"/>
        </w:rPr>
        <w:t>2016).</w:t>
      </w:r>
    </w:p>
    <w:p w:rsidR="00BE4C38" w:rsidRPr="00BE4C38" w:rsidRDefault="00E510C5" w:rsidP="00BE4C38">
      <w:pPr>
        <w:pStyle w:val="SingleTxtG"/>
        <w:rPr>
          <w:rFonts w:eastAsiaTheme="minorHAnsi"/>
          <w:lang w:val="en-ZA"/>
        </w:rPr>
      </w:pPr>
      <w:r>
        <w:rPr>
          <w:rFonts w:eastAsiaTheme="minorHAnsi"/>
          <w:lang w:val="en-ZA"/>
        </w:rPr>
        <w:t>48.</w:t>
      </w:r>
      <w:r>
        <w:rPr>
          <w:rFonts w:eastAsiaTheme="minorHAnsi"/>
          <w:lang w:val="en-ZA"/>
        </w:rPr>
        <w:tab/>
      </w:r>
      <w:r w:rsidR="00BE4C38" w:rsidRPr="00BE4C38">
        <w:rPr>
          <w:rFonts w:eastAsiaTheme="minorHAnsi"/>
          <w:lang w:val="en-ZA"/>
        </w:rPr>
        <w:t xml:space="preserve">South Africa has the largest ARV therapy </w:t>
      </w:r>
      <w:r>
        <w:rPr>
          <w:rFonts w:eastAsiaTheme="minorHAnsi"/>
          <w:lang w:val="en-ZA"/>
        </w:rPr>
        <w:t xml:space="preserve">programme in the world, today. </w:t>
      </w:r>
      <w:r w:rsidR="00BE4C38" w:rsidRPr="00BE4C38">
        <w:rPr>
          <w:rFonts w:eastAsiaTheme="minorHAnsi"/>
          <w:lang w:val="en-ZA"/>
        </w:rPr>
        <w:t xml:space="preserve">At the end of March 2016, there were 3 407 336 clients remaining on antiretroviral therapy (ART) (total clients remaining on ART – TROA). Prevention is the mainstay of efforts to combat HIV and AIDS. Since the HIV Counselling and Testing (HCT) campaign was introduced in 2010, over 44 million people </w:t>
      </w:r>
      <w:r>
        <w:rPr>
          <w:rFonts w:eastAsiaTheme="minorHAnsi"/>
          <w:lang w:val="en-ZA"/>
        </w:rPr>
        <w:t>have been tested. A total of 11,</w:t>
      </w:r>
      <w:r w:rsidR="00BE4C38" w:rsidRPr="00BE4C38">
        <w:rPr>
          <w:rFonts w:eastAsiaTheme="minorHAnsi"/>
          <w:lang w:val="en-ZA"/>
        </w:rPr>
        <w:t>898</w:t>
      </w:r>
      <w:r>
        <w:rPr>
          <w:rFonts w:eastAsiaTheme="minorHAnsi"/>
          <w:lang w:val="en-ZA"/>
        </w:rPr>
        <w:t>,</w:t>
      </w:r>
      <w:r w:rsidR="00BE4C38" w:rsidRPr="00BE4C38">
        <w:rPr>
          <w:rFonts w:eastAsiaTheme="minorHAnsi"/>
          <w:lang w:val="en-ZA"/>
        </w:rPr>
        <w:t xml:space="preserve">308 people between the ages of 15 and 49 years were tested, exceeding the annual target of 10 million for the </w:t>
      </w:r>
      <w:r>
        <w:rPr>
          <w:rFonts w:eastAsiaTheme="minorHAnsi"/>
          <w:lang w:val="en-ZA"/>
        </w:rPr>
        <w:t>financial year 2015/16.</w:t>
      </w:r>
    </w:p>
    <w:p w:rsidR="00BE4C38" w:rsidRPr="00BE4C38" w:rsidRDefault="00E510C5" w:rsidP="00BE4C38">
      <w:pPr>
        <w:pStyle w:val="SingleTxtG"/>
        <w:rPr>
          <w:rFonts w:eastAsiaTheme="minorHAnsi"/>
          <w:lang w:val="en-ZA"/>
        </w:rPr>
      </w:pPr>
      <w:r>
        <w:rPr>
          <w:rFonts w:eastAsiaTheme="minorHAnsi"/>
          <w:lang w:val="en-ZA"/>
        </w:rPr>
        <w:t>49.</w:t>
      </w:r>
      <w:r>
        <w:rPr>
          <w:rFonts w:eastAsiaTheme="minorHAnsi"/>
          <w:lang w:val="en-ZA"/>
        </w:rPr>
        <w:tab/>
      </w:r>
      <w:r w:rsidR="00BE4C38" w:rsidRPr="00BE4C38">
        <w:rPr>
          <w:rFonts w:eastAsiaTheme="minorHAnsi"/>
          <w:lang w:val="en-ZA"/>
        </w:rPr>
        <w:t>South Africa is one of the first in the world to rollout the new TB diagnostic technology (</w:t>
      </w:r>
      <w:proofErr w:type="spellStart"/>
      <w:r w:rsidR="00BE4C38" w:rsidRPr="00BE4C38">
        <w:rPr>
          <w:rFonts w:eastAsiaTheme="minorHAnsi"/>
          <w:lang w:val="en-ZA"/>
        </w:rPr>
        <w:t>GeneXpert</w:t>
      </w:r>
      <w:proofErr w:type="spellEnd"/>
      <w:r w:rsidR="00BE4C38" w:rsidRPr="00BE4C38">
        <w:rPr>
          <w:rFonts w:eastAsiaTheme="minorHAnsi"/>
          <w:lang w:val="en-ZA"/>
        </w:rPr>
        <w:t xml:space="preserve">). Currently, South Africa conducts roughly 50% of the total volume of such tests performed globally to diagnose TB. In addition, 60% of patients globally on </w:t>
      </w:r>
      <w:proofErr w:type="spellStart"/>
      <w:r w:rsidR="00BE4C38" w:rsidRPr="00BE4C38">
        <w:rPr>
          <w:rFonts w:eastAsiaTheme="minorHAnsi"/>
          <w:lang w:val="en-ZA"/>
        </w:rPr>
        <w:t>bedaquiline</w:t>
      </w:r>
      <w:proofErr w:type="spellEnd"/>
      <w:r w:rsidR="00BE4C38" w:rsidRPr="00BE4C38">
        <w:rPr>
          <w:rFonts w:eastAsiaTheme="minorHAnsi"/>
          <w:lang w:val="en-ZA"/>
        </w:rPr>
        <w:t xml:space="preserve"> (newest medicine to treat drug resistant TB) are in South Africa. 63% of HIV positive people on treatment, globally, to prevent them from acquiring TB (isoniazid prevention therapy</w:t>
      </w:r>
      <w:r>
        <w:rPr>
          <w:rFonts w:eastAsiaTheme="minorHAnsi"/>
          <w:lang w:val="en-ZA"/>
        </w:rPr>
        <w:t xml:space="preserve"> – </w:t>
      </w:r>
      <w:r w:rsidR="00BE4C38" w:rsidRPr="00BE4C38">
        <w:rPr>
          <w:rFonts w:eastAsiaTheme="minorHAnsi"/>
          <w:lang w:val="en-ZA"/>
        </w:rPr>
        <w:t xml:space="preserve">IPT) </w:t>
      </w:r>
      <w:proofErr w:type="gramStart"/>
      <w:r w:rsidR="00BE4C38" w:rsidRPr="00BE4C38">
        <w:rPr>
          <w:rFonts w:eastAsiaTheme="minorHAnsi"/>
          <w:lang w:val="en-ZA"/>
        </w:rPr>
        <w:t>are</w:t>
      </w:r>
      <w:proofErr w:type="gramEnd"/>
      <w:r w:rsidR="00BE4C38" w:rsidRPr="00BE4C38">
        <w:rPr>
          <w:rFonts w:eastAsiaTheme="minorHAnsi"/>
          <w:lang w:val="en-ZA"/>
        </w:rPr>
        <w:t xml:space="preserve"> also in South Africa. In 2014, Government launched a massive TB screening programme targeting correctional facilities, mines and six </w:t>
      </w:r>
      <w:proofErr w:type="spellStart"/>
      <w:r w:rsidR="00BE4C38" w:rsidRPr="00BE4C38">
        <w:rPr>
          <w:rFonts w:eastAsiaTheme="minorHAnsi"/>
          <w:lang w:val="en-ZA"/>
        </w:rPr>
        <w:t>peri</w:t>
      </w:r>
      <w:proofErr w:type="spellEnd"/>
      <w:r w:rsidR="00BE4C38" w:rsidRPr="00BE4C38">
        <w:rPr>
          <w:rFonts w:eastAsiaTheme="minorHAnsi"/>
          <w:lang w:val="en-ZA"/>
        </w:rPr>
        <w:t>-mining communities. In 2015, 569</w:t>
      </w:r>
      <w:r>
        <w:rPr>
          <w:rFonts w:eastAsiaTheme="minorHAnsi"/>
          <w:lang w:val="en-ZA"/>
        </w:rPr>
        <w:t>,</w:t>
      </w:r>
      <w:r w:rsidR="00BE4C38" w:rsidRPr="00BE4C38">
        <w:rPr>
          <w:rFonts w:eastAsiaTheme="minorHAnsi"/>
          <w:lang w:val="en-ZA"/>
        </w:rPr>
        <w:t>475 inmates in correctional centres were screened during admission, incarceration and upon release; and 97.3% of the 221 controlled mines are providing TB screening to their employees. In addition, 30 million people were screened for TB in public health facilities in 2015.</w:t>
      </w:r>
    </w:p>
    <w:p w:rsidR="00BE4C38" w:rsidRPr="00BE4C38" w:rsidRDefault="00E510C5" w:rsidP="00BE4C38">
      <w:pPr>
        <w:pStyle w:val="SingleTxtG"/>
        <w:rPr>
          <w:rFonts w:eastAsiaTheme="minorHAnsi"/>
          <w:lang w:val="en-ZA"/>
        </w:rPr>
      </w:pPr>
      <w:r>
        <w:rPr>
          <w:rFonts w:eastAsiaTheme="minorHAnsi"/>
          <w:lang w:val="en-ZA"/>
        </w:rPr>
        <w:t>50.</w:t>
      </w:r>
      <w:r>
        <w:rPr>
          <w:rFonts w:eastAsiaTheme="minorHAnsi"/>
          <w:lang w:val="en-ZA"/>
        </w:rPr>
        <w:tab/>
      </w:r>
      <w:r w:rsidR="00BE4C38" w:rsidRPr="00BE4C38">
        <w:rPr>
          <w:rFonts w:eastAsiaTheme="minorHAnsi"/>
          <w:lang w:val="en-ZA"/>
        </w:rPr>
        <w:t xml:space="preserve">To improve access to early antenatal services and to empower pregnant women, the </w:t>
      </w:r>
      <w:proofErr w:type="spellStart"/>
      <w:r w:rsidR="00BE4C38" w:rsidRPr="00BE4C38">
        <w:rPr>
          <w:rFonts w:eastAsiaTheme="minorHAnsi"/>
          <w:lang w:val="en-ZA"/>
        </w:rPr>
        <w:t>DoH</w:t>
      </w:r>
      <w:proofErr w:type="spellEnd"/>
      <w:r w:rsidR="00BE4C38" w:rsidRPr="00BE4C38">
        <w:rPr>
          <w:rFonts w:eastAsiaTheme="minorHAnsi"/>
          <w:lang w:val="en-ZA"/>
        </w:rPr>
        <w:t xml:space="preserve"> launched the </w:t>
      </w:r>
      <w:proofErr w:type="spellStart"/>
      <w:r w:rsidR="00BE4C38" w:rsidRPr="00BE4C38">
        <w:rPr>
          <w:rFonts w:eastAsiaTheme="minorHAnsi"/>
          <w:lang w:val="en-ZA"/>
        </w:rPr>
        <w:t>MomConnect</w:t>
      </w:r>
      <w:proofErr w:type="spellEnd"/>
      <w:r w:rsidR="00BE4C38" w:rsidRPr="00BE4C38">
        <w:rPr>
          <w:rFonts w:eastAsiaTheme="minorHAnsi"/>
          <w:lang w:val="en-ZA"/>
        </w:rPr>
        <w:t xml:space="preserve"> programme in August 2014 through which pregnant women are registered via their mobile/cellular phones to receive weekly messages that are appropriate to their stage of pregnancy. Pregnant women can also send (unsolicited) complaints and compliments about services received at public clinics. As at 31 March </w:t>
      </w:r>
      <w:r>
        <w:rPr>
          <w:rFonts w:eastAsiaTheme="minorHAnsi"/>
          <w:lang w:val="en-ZA"/>
        </w:rPr>
        <w:t>2016, a cumulative total of 917,</w:t>
      </w:r>
      <w:r w:rsidR="00BE4C38" w:rsidRPr="00BE4C38">
        <w:rPr>
          <w:rFonts w:eastAsiaTheme="minorHAnsi"/>
          <w:lang w:val="en-ZA"/>
        </w:rPr>
        <w:t xml:space="preserve">053 pregnant women were registered and the </w:t>
      </w:r>
      <w:proofErr w:type="spellStart"/>
      <w:r w:rsidR="00BE4C38" w:rsidRPr="00BE4C38">
        <w:rPr>
          <w:rFonts w:eastAsiaTheme="minorHAnsi"/>
          <w:lang w:val="en-ZA"/>
        </w:rPr>
        <w:t>DoH</w:t>
      </w:r>
      <w:proofErr w:type="spellEnd"/>
      <w:r w:rsidR="00BE4C38" w:rsidRPr="00BE4C38">
        <w:rPr>
          <w:rFonts w:eastAsiaTheme="minorHAnsi"/>
          <w:lang w:val="en-ZA"/>
        </w:rPr>
        <w:t xml:space="preserve"> received 753 complaints and 4</w:t>
      </w:r>
      <w:r>
        <w:rPr>
          <w:rFonts w:eastAsiaTheme="minorHAnsi"/>
          <w:lang w:val="en-ZA"/>
        </w:rPr>
        <w:t>,</w:t>
      </w:r>
      <w:r w:rsidR="00BE4C38" w:rsidRPr="00BE4C38">
        <w:rPr>
          <w:rFonts w:eastAsiaTheme="minorHAnsi"/>
          <w:lang w:val="en-ZA"/>
        </w:rPr>
        <w:t>746 compliments.</w:t>
      </w:r>
    </w:p>
    <w:p w:rsidR="00BE4C38" w:rsidRPr="00BE4C38" w:rsidRDefault="00E510C5" w:rsidP="00BE4C38">
      <w:pPr>
        <w:pStyle w:val="SingleTxtG"/>
        <w:rPr>
          <w:rFonts w:eastAsiaTheme="minorHAnsi"/>
          <w:lang w:val="en-ZA"/>
        </w:rPr>
      </w:pPr>
      <w:r>
        <w:rPr>
          <w:rFonts w:eastAsiaTheme="minorHAnsi"/>
          <w:lang w:val="en-ZA"/>
        </w:rPr>
        <w:t>51.</w:t>
      </w:r>
      <w:r>
        <w:rPr>
          <w:rFonts w:eastAsiaTheme="minorHAnsi"/>
          <w:lang w:val="en-ZA"/>
        </w:rPr>
        <w:tab/>
      </w:r>
      <w:r w:rsidR="00BE4C38" w:rsidRPr="00BE4C38">
        <w:rPr>
          <w:rFonts w:eastAsiaTheme="minorHAnsi"/>
          <w:lang w:val="en-ZA"/>
        </w:rPr>
        <w:t xml:space="preserve">In 2015/16, the </w:t>
      </w:r>
      <w:proofErr w:type="spellStart"/>
      <w:r w:rsidR="00BE4C38" w:rsidRPr="00BE4C38">
        <w:rPr>
          <w:rFonts w:eastAsiaTheme="minorHAnsi"/>
          <w:lang w:val="en-ZA"/>
        </w:rPr>
        <w:t>DoH</w:t>
      </w:r>
      <w:proofErr w:type="spellEnd"/>
      <w:r w:rsidR="00BE4C38" w:rsidRPr="00BE4C38">
        <w:rPr>
          <w:rFonts w:eastAsiaTheme="minorHAnsi"/>
          <w:lang w:val="en-ZA"/>
        </w:rPr>
        <w:t xml:space="preserve"> commenced the Demographic and Health Survey in order to track progress in the health status of the people of South Africa against the NDP goals. This is a critical survey that will provide essential data to inform policy and management of strategic programmes. It covers demographic indicators, maternal, new-born and child health programme indicators, reproductive health and contraception, management of non-communicable diseases and risk factors, as well as women’s status in the society and will greatly assist the Government with its commitment to realise the vision of a ”A long and healthy life for all South Africans”.</w:t>
      </w:r>
    </w:p>
    <w:p w:rsidR="00BE4C38" w:rsidRPr="00BE4C38" w:rsidRDefault="00E510C5" w:rsidP="00BE4C38">
      <w:pPr>
        <w:pStyle w:val="SingleTxtG"/>
        <w:rPr>
          <w:rFonts w:eastAsiaTheme="minorHAnsi"/>
          <w:lang w:val="en-ZA"/>
        </w:rPr>
      </w:pPr>
      <w:r>
        <w:rPr>
          <w:rFonts w:eastAsiaTheme="minorHAnsi"/>
          <w:lang w:val="en-ZA"/>
        </w:rPr>
        <w:t>52.</w:t>
      </w:r>
      <w:r>
        <w:rPr>
          <w:rFonts w:eastAsiaTheme="minorHAnsi"/>
          <w:lang w:val="en-ZA"/>
        </w:rPr>
        <w:tab/>
      </w:r>
      <w:r w:rsidR="00BE4C38" w:rsidRPr="00BE4C38">
        <w:rPr>
          <w:rFonts w:eastAsiaTheme="minorHAnsi"/>
          <w:lang w:val="en-ZA"/>
        </w:rPr>
        <w:t xml:space="preserve">South Africa has become a major transit point and destination for mixed-migration flows. </w:t>
      </w:r>
      <w:r w:rsidR="00BE4C38" w:rsidRPr="00F46244">
        <w:rPr>
          <w:rFonts w:eastAsiaTheme="minorHAnsi"/>
          <w:b/>
          <w:lang w:val="en-ZA"/>
        </w:rPr>
        <w:t>Foreign nationals</w:t>
      </w:r>
      <w:r w:rsidR="00BE4C38" w:rsidRPr="00BE4C38">
        <w:rPr>
          <w:rFonts w:eastAsiaTheme="minorHAnsi"/>
          <w:lang w:val="en-ZA"/>
        </w:rPr>
        <w:t xml:space="preserve"> enjoy all rights enshrined in the Constitution, except for certain civil political rights reserved for citizens only. South Africa continues to be a major destination for asylum-seekers and a variety of migrants in search of better social and economic </w:t>
      </w:r>
      <w:r>
        <w:rPr>
          <w:rFonts w:eastAsiaTheme="minorHAnsi"/>
          <w:lang w:val="en-ZA"/>
        </w:rPr>
        <w:t>opportunities.</w:t>
      </w:r>
    </w:p>
    <w:p w:rsidR="00BE4C38" w:rsidRPr="00BE4C38" w:rsidRDefault="00E510C5" w:rsidP="00BE4C38">
      <w:pPr>
        <w:pStyle w:val="SingleTxtG"/>
        <w:rPr>
          <w:rFonts w:eastAsiaTheme="minorHAnsi"/>
          <w:lang w:val="en-ZA"/>
        </w:rPr>
      </w:pPr>
      <w:r>
        <w:rPr>
          <w:rFonts w:eastAsiaTheme="minorHAnsi"/>
          <w:lang w:val="en-ZA"/>
        </w:rPr>
        <w:t>53.</w:t>
      </w:r>
      <w:r>
        <w:rPr>
          <w:rFonts w:eastAsiaTheme="minorHAnsi"/>
          <w:lang w:val="en-ZA"/>
        </w:rPr>
        <w:tab/>
      </w:r>
      <w:r w:rsidR="00BE4C38" w:rsidRPr="00BE4C38">
        <w:rPr>
          <w:rFonts w:eastAsiaTheme="minorHAnsi"/>
          <w:lang w:val="en-ZA"/>
        </w:rPr>
        <w:t>Unaccompanied migrant children entering South Africa are kept in child and youth care centres and treated as children in need of care and protection. Often there are difficulties in tracing their families and repatriating them</w:t>
      </w:r>
      <w:r w:rsidR="0020048B">
        <w:rPr>
          <w:rFonts w:eastAsiaTheme="minorHAnsi"/>
          <w:lang w:val="en-ZA"/>
        </w:rPr>
        <w:t xml:space="preserve"> to their countries of origin. </w:t>
      </w:r>
      <w:r w:rsidR="00BE4C38" w:rsidRPr="00BE4C38">
        <w:rPr>
          <w:rFonts w:eastAsiaTheme="minorHAnsi"/>
          <w:lang w:val="en-ZA"/>
        </w:rPr>
        <w:t>Consequently, such children remain in the country for a long time. South Africa has noted the concluding observations of the CRC Committee which recommends the strengthening of systematic and disaggregated data collection on migrant, asylum seeking and refugee children and expediting the development of a protocol to streamline the delivery of timely child protection services to migrant asylum seeking and refugee children.</w:t>
      </w:r>
    </w:p>
    <w:p w:rsidR="00BE4C38" w:rsidRPr="00BE4C38" w:rsidRDefault="00E510C5" w:rsidP="00BE4C38">
      <w:pPr>
        <w:pStyle w:val="SingleTxtG"/>
        <w:rPr>
          <w:rFonts w:eastAsiaTheme="minorHAnsi"/>
          <w:lang w:val="en-ZA"/>
        </w:rPr>
      </w:pPr>
      <w:r>
        <w:rPr>
          <w:rFonts w:eastAsiaTheme="minorHAnsi"/>
          <w:lang w:val="en-ZA"/>
        </w:rPr>
        <w:t>54.</w:t>
      </w:r>
      <w:r>
        <w:rPr>
          <w:rFonts w:eastAsiaTheme="minorHAnsi"/>
          <w:lang w:val="en-ZA"/>
        </w:rPr>
        <w:tab/>
      </w:r>
      <w:r w:rsidR="00BE4C38" w:rsidRPr="00BE4C38">
        <w:rPr>
          <w:rFonts w:eastAsiaTheme="minorHAnsi"/>
          <w:lang w:val="en-ZA"/>
        </w:rPr>
        <w:t xml:space="preserve">In 2012, </w:t>
      </w:r>
      <w:r w:rsidR="000E6929">
        <w:rPr>
          <w:rFonts w:eastAsiaTheme="minorHAnsi"/>
          <w:lang w:val="en-ZA"/>
        </w:rPr>
        <w:t xml:space="preserve">the </w:t>
      </w:r>
      <w:r w:rsidR="00BE4C38" w:rsidRPr="00BE4C38">
        <w:rPr>
          <w:rFonts w:eastAsiaTheme="minorHAnsi"/>
          <w:lang w:val="en-ZA"/>
        </w:rPr>
        <w:t>Government convened a National Summit on Social Cohesion which reviewed progress made towards creating a caring and proud South African society and to provide a platform to discuss the National Strategy for Developing and Inclusive South African society. The summit recognised that social cohesion depends, in large measure, on the ability of communities, as part of society, to address this challenge and adopted a Programme of Action and a Declaration which acknowledged the challenges faced by South Africa in building a non-racial, non-sexist</w:t>
      </w:r>
      <w:r>
        <w:rPr>
          <w:rFonts w:eastAsiaTheme="minorHAnsi"/>
          <w:lang w:val="en-ZA"/>
        </w:rPr>
        <w:t xml:space="preserve"> and united society after 1994.</w:t>
      </w:r>
    </w:p>
    <w:p w:rsidR="00BE4C38" w:rsidRPr="00BE4C38" w:rsidRDefault="00E510C5" w:rsidP="00BE4C38">
      <w:pPr>
        <w:pStyle w:val="SingleTxtG"/>
        <w:rPr>
          <w:rFonts w:eastAsiaTheme="minorHAnsi"/>
          <w:lang w:val="en-ZA"/>
        </w:rPr>
      </w:pPr>
      <w:r>
        <w:rPr>
          <w:rFonts w:eastAsiaTheme="minorHAnsi"/>
          <w:lang w:val="en-ZA"/>
        </w:rPr>
        <w:t>55.</w:t>
      </w:r>
      <w:r>
        <w:rPr>
          <w:rFonts w:eastAsiaTheme="minorHAnsi"/>
          <w:lang w:val="en-ZA"/>
        </w:rPr>
        <w:tab/>
      </w:r>
      <w:r w:rsidR="00BE4C38" w:rsidRPr="00BE4C38">
        <w:rPr>
          <w:rFonts w:eastAsiaTheme="minorHAnsi"/>
          <w:lang w:val="en-ZA"/>
        </w:rPr>
        <w:t xml:space="preserve">Attacks on foreign nationals experienced in the past and, recently in 2015, resulted in the loss of life and damage to property. Government strongly condemned such attacks and the law enforcement agencies stepped in and stopped the attacks and the spread to other parts of the country. The restoration of peace, law and order in our communities is coordinated at the highest level of </w:t>
      </w:r>
      <w:r w:rsidR="000E6929">
        <w:rPr>
          <w:rFonts w:eastAsiaTheme="minorHAnsi"/>
          <w:lang w:val="en-ZA"/>
        </w:rPr>
        <w:t xml:space="preserve">the </w:t>
      </w:r>
      <w:r w:rsidR="00BE4C38" w:rsidRPr="00BE4C38">
        <w:rPr>
          <w:rFonts w:eastAsiaTheme="minorHAnsi"/>
          <w:lang w:val="en-ZA"/>
        </w:rPr>
        <w:t xml:space="preserve">Government. President Jacob Zuma convened meetings of stakeholders in South Africa to discuss the country’s migration policy and how various sectors can work with </w:t>
      </w:r>
      <w:r w:rsidR="000E6929">
        <w:rPr>
          <w:rFonts w:eastAsiaTheme="minorHAnsi"/>
          <w:lang w:val="en-ZA"/>
        </w:rPr>
        <w:t xml:space="preserve">the </w:t>
      </w:r>
      <w:r w:rsidR="00BE4C38" w:rsidRPr="00BE4C38">
        <w:rPr>
          <w:rFonts w:eastAsiaTheme="minorHAnsi"/>
          <w:lang w:val="en-ZA"/>
        </w:rPr>
        <w:t xml:space="preserve">Government to promote orderly migration and good relations between citizens and foreign nationals. The issues related to violence and discrimination against foreign nationals </w:t>
      </w:r>
      <w:proofErr w:type="gramStart"/>
      <w:r w:rsidR="00BE4C38" w:rsidRPr="00BE4C38">
        <w:rPr>
          <w:rFonts w:eastAsiaTheme="minorHAnsi"/>
          <w:lang w:val="en-ZA"/>
        </w:rPr>
        <w:t>are</w:t>
      </w:r>
      <w:proofErr w:type="gramEnd"/>
      <w:r w:rsidR="00BE4C38" w:rsidRPr="00BE4C38">
        <w:rPr>
          <w:rFonts w:eastAsiaTheme="minorHAnsi"/>
          <w:lang w:val="en-ZA"/>
        </w:rPr>
        <w:t xml:space="preserve"> being addressed through three main Inter-Ministerial Committees (IMCs), namely the Inter-Ministerial Committee (IMC) on Migration, the IMC on Social Cohesion and the IMC on Population Policy.</w:t>
      </w:r>
    </w:p>
    <w:p w:rsidR="00BE4C38" w:rsidRPr="00BE4C38" w:rsidRDefault="00E510C5" w:rsidP="00BE4C38">
      <w:pPr>
        <w:pStyle w:val="SingleTxtG"/>
        <w:rPr>
          <w:rFonts w:eastAsiaTheme="minorHAnsi"/>
          <w:lang w:val="en-ZA"/>
        </w:rPr>
      </w:pPr>
      <w:r>
        <w:rPr>
          <w:rFonts w:eastAsiaTheme="minorHAnsi"/>
          <w:lang w:val="en-ZA"/>
        </w:rPr>
        <w:t>56.</w:t>
      </w:r>
      <w:r>
        <w:rPr>
          <w:rFonts w:eastAsiaTheme="minorHAnsi"/>
          <w:lang w:val="en-ZA"/>
        </w:rPr>
        <w:tab/>
      </w:r>
      <w:r w:rsidR="00BE4C38" w:rsidRPr="00BE4C38">
        <w:rPr>
          <w:rFonts w:eastAsiaTheme="minorHAnsi"/>
          <w:lang w:val="en-ZA"/>
        </w:rPr>
        <w:t>In terms of paragraph 133 of the Durban Declaration and Programme of Action, the Government has developed human rights training for law enforcement officers. The purpose of this training is to ensure that enforcement of immigration legislation complies with the South African Government’s international obligations and promotes a human rights culture as provided for in the Constitution and the Immigration Act.</w:t>
      </w:r>
      <w:r w:rsidR="00F7073B">
        <w:rPr>
          <w:rStyle w:val="EndnoteReference"/>
          <w:rFonts w:eastAsiaTheme="minorHAnsi"/>
          <w:lang w:val="en-ZA"/>
        </w:rPr>
        <w:endnoteReference w:id="18"/>
      </w:r>
    </w:p>
    <w:p w:rsidR="00BE4C38" w:rsidRPr="00BE4C38" w:rsidRDefault="00E510C5" w:rsidP="00BE4C38">
      <w:pPr>
        <w:pStyle w:val="SingleTxtG"/>
        <w:rPr>
          <w:rFonts w:eastAsiaTheme="minorHAnsi"/>
          <w:lang w:val="en-ZA"/>
        </w:rPr>
      </w:pPr>
      <w:r>
        <w:rPr>
          <w:rFonts w:eastAsiaTheme="minorHAnsi"/>
          <w:lang w:val="en-ZA"/>
        </w:rPr>
        <w:t>57.</w:t>
      </w:r>
      <w:r>
        <w:rPr>
          <w:rFonts w:eastAsiaTheme="minorHAnsi"/>
          <w:lang w:val="en-ZA"/>
        </w:rPr>
        <w:tab/>
      </w:r>
      <w:r w:rsidR="000E6929">
        <w:rPr>
          <w:rFonts w:eastAsiaTheme="minorHAnsi"/>
          <w:lang w:val="en-ZA"/>
        </w:rPr>
        <w:t xml:space="preserve">The </w:t>
      </w:r>
      <w:r w:rsidR="00BE4C38" w:rsidRPr="00BE4C38">
        <w:rPr>
          <w:rFonts w:eastAsiaTheme="minorHAnsi"/>
          <w:lang w:val="en-ZA"/>
        </w:rPr>
        <w:t xml:space="preserve">Government is proposing a vision of South Africa as a country that embraces international migration for development. The </w:t>
      </w:r>
      <w:r w:rsidR="00BE4C38" w:rsidRPr="00F46244">
        <w:rPr>
          <w:rFonts w:eastAsiaTheme="minorHAnsi"/>
          <w:b/>
          <w:lang w:val="en-ZA"/>
        </w:rPr>
        <w:t>Green Paper on International Migration (2016)</w:t>
      </w:r>
      <w:r w:rsidR="00BE4C38" w:rsidRPr="00BE4C38">
        <w:rPr>
          <w:rFonts w:eastAsiaTheme="minorHAnsi"/>
          <w:lang w:val="en-ZA"/>
        </w:rPr>
        <w:t xml:space="preserve"> contends that it is neither desirable nor possible to stop international migration. It concludes that international migration is a natural and largely positive phenomenon which, if well managed, can, does and will make a crucial contribution to growing South Africa’s economy and transforming Africa as envisioned in Agenda 2063.</w:t>
      </w:r>
    </w:p>
    <w:p w:rsidR="00BE4C38" w:rsidRPr="00BE4C38" w:rsidRDefault="00E510C5" w:rsidP="00BE4C38">
      <w:pPr>
        <w:pStyle w:val="SingleTxtG"/>
        <w:rPr>
          <w:rFonts w:eastAsiaTheme="minorHAnsi"/>
          <w:lang w:val="en-ZA"/>
        </w:rPr>
      </w:pPr>
      <w:r>
        <w:rPr>
          <w:rFonts w:eastAsiaTheme="minorHAnsi"/>
          <w:lang w:val="en-ZA"/>
        </w:rPr>
        <w:t>58.</w:t>
      </w:r>
      <w:r>
        <w:rPr>
          <w:rFonts w:eastAsiaTheme="minorHAnsi"/>
          <w:lang w:val="en-ZA"/>
        </w:rPr>
        <w:tab/>
      </w:r>
      <w:r w:rsidR="00B56952">
        <w:rPr>
          <w:rFonts w:eastAsiaTheme="minorHAnsi"/>
          <w:lang w:val="en-ZA"/>
        </w:rPr>
        <w:t xml:space="preserve">The </w:t>
      </w:r>
      <w:r w:rsidR="00BE4C38" w:rsidRPr="00BE4C38">
        <w:rPr>
          <w:rFonts w:eastAsiaTheme="minorHAnsi"/>
          <w:lang w:val="en-ZA"/>
        </w:rPr>
        <w:t xml:space="preserve">Government has developed a draft </w:t>
      </w:r>
      <w:r w:rsidR="00BE4C38" w:rsidRPr="00F46244">
        <w:rPr>
          <w:rFonts w:eastAsiaTheme="minorHAnsi"/>
          <w:b/>
          <w:lang w:val="en-ZA"/>
        </w:rPr>
        <w:t>National Action Plan (NAP) to Combat Racism, Racial Discrimination, Xenophobia and Related Intolerance</w:t>
      </w:r>
      <w:r w:rsidR="00BE4C38" w:rsidRPr="00BE4C38">
        <w:rPr>
          <w:rFonts w:eastAsiaTheme="minorHAnsi"/>
          <w:lang w:val="en-ZA"/>
        </w:rPr>
        <w:t>, in collaboration with various role-players, including civil society. The draft will inform a plan which provides the basis for the development of a comprehensive public policy against racial discrimination, racial discrimination, xenophobia and related intolerance. The process relating to the development of a NAP for South Africa emanated from the Durban Declaration and Programme of Action (DDPA) adopted at the 3rd World Conference against Racism, Racial Discrimination, Xenophobia and Related Intolerance. The draft NAP was published for public comment from June to August 2016 and is currently being redrafted to be placed before Cabinet for consideratio</w:t>
      </w:r>
      <w:r>
        <w:rPr>
          <w:rFonts w:eastAsiaTheme="minorHAnsi"/>
          <w:lang w:val="en-ZA"/>
        </w:rPr>
        <w:t>n and approval later this year.</w:t>
      </w:r>
    </w:p>
    <w:p w:rsidR="00BE4C38" w:rsidRPr="00BE4C38" w:rsidRDefault="00E510C5" w:rsidP="00BE4C38">
      <w:pPr>
        <w:pStyle w:val="SingleTxtG"/>
        <w:rPr>
          <w:rFonts w:eastAsiaTheme="minorHAnsi"/>
          <w:lang w:val="en-ZA"/>
        </w:rPr>
      </w:pPr>
      <w:r>
        <w:rPr>
          <w:rFonts w:eastAsiaTheme="minorHAnsi"/>
          <w:lang w:val="en-ZA"/>
        </w:rPr>
        <w:t>59.</w:t>
      </w:r>
      <w:r>
        <w:rPr>
          <w:rFonts w:eastAsiaTheme="minorHAnsi"/>
          <w:lang w:val="en-ZA"/>
        </w:rPr>
        <w:tab/>
      </w:r>
      <w:r w:rsidR="00B56952">
        <w:rPr>
          <w:rFonts w:eastAsiaTheme="minorHAnsi"/>
          <w:lang w:val="en-ZA"/>
        </w:rPr>
        <w:t xml:space="preserve">The </w:t>
      </w:r>
      <w:r w:rsidR="00BE4C38" w:rsidRPr="00BE4C38">
        <w:rPr>
          <w:rFonts w:eastAsiaTheme="minorHAnsi"/>
          <w:lang w:val="en-ZA"/>
        </w:rPr>
        <w:t xml:space="preserve">Cabinet, in October 2016, approved the publication for public comment </w:t>
      </w:r>
      <w:r w:rsidR="00BE4C38" w:rsidRPr="00F46244">
        <w:rPr>
          <w:rFonts w:eastAsiaTheme="minorHAnsi"/>
          <w:b/>
          <w:lang w:val="en-ZA"/>
        </w:rPr>
        <w:t>of the Prevention and Combating of Hate Crimes and Hate Speech Bill</w:t>
      </w:r>
      <w:r w:rsidR="00BE4C38" w:rsidRPr="00F46244">
        <w:rPr>
          <w:rFonts w:eastAsiaTheme="minorHAnsi"/>
          <w:lang w:val="en-ZA"/>
        </w:rPr>
        <w:t>.</w:t>
      </w:r>
      <w:r w:rsidR="00BE4C38" w:rsidRPr="00BE4C38">
        <w:rPr>
          <w:rFonts w:eastAsiaTheme="minorHAnsi"/>
          <w:lang w:val="en-ZA"/>
        </w:rPr>
        <w:t xml:space="preserve"> The Bill creates the offences of hate crimes and </w:t>
      </w:r>
      <w:proofErr w:type="gramStart"/>
      <w:r w:rsidR="00BE4C38" w:rsidRPr="00BE4C38">
        <w:rPr>
          <w:rFonts w:eastAsiaTheme="minorHAnsi"/>
          <w:lang w:val="en-ZA"/>
        </w:rPr>
        <w:t>hate</w:t>
      </w:r>
      <w:proofErr w:type="gramEnd"/>
      <w:r w:rsidR="00BE4C38" w:rsidRPr="00BE4C38">
        <w:rPr>
          <w:rFonts w:eastAsiaTheme="minorHAnsi"/>
          <w:lang w:val="en-ZA"/>
        </w:rPr>
        <w:t xml:space="preserve"> speech, and also seeks to put in place measures to prevent and combat these offences. According to the Bill, a hate crime is committed if a person commits any recognised offence, that is a common law or statutory offence (referred to as the “base crime or offence”) and the commission of that offence is motivated by unlawful b</w:t>
      </w:r>
      <w:r>
        <w:rPr>
          <w:rFonts w:eastAsiaTheme="minorHAnsi"/>
          <w:lang w:val="en-ZA"/>
        </w:rPr>
        <w:t xml:space="preserve">ias, prejudice or intolerance. </w:t>
      </w:r>
      <w:r w:rsidR="00BE4C38" w:rsidRPr="00BE4C38">
        <w:rPr>
          <w:rFonts w:eastAsiaTheme="minorHAnsi"/>
          <w:lang w:val="en-ZA"/>
        </w:rPr>
        <w:t>Following public consultation and comments, the Bil</w:t>
      </w:r>
      <w:r>
        <w:rPr>
          <w:rFonts w:eastAsiaTheme="minorHAnsi"/>
          <w:lang w:val="en-ZA"/>
        </w:rPr>
        <w:t>l is currently being redrafted.</w:t>
      </w:r>
    </w:p>
    <w:p w:rsidR="00BE4C38" w:rsidRPr="00BE4C38" w:rsidRDefault="00E510C5" w:rsidP="00BE4C38">
      <w:pPr>
        <w:pStyle w:val="SingleTxtG"/>
        <w:rPr>
          <w:rFonts w:eastAsiaTheme="minorHAnsi"/>
          <w:lang w:val="en-ZA"/>
        </w:rPr>
      </w:pPr>
      <w:r>
        <w:rPr>
          <w:rFonts w:eastAsiaTheme="minorHAnsi"/>
          <w:lang w:val="en-ZA"/>
        </w:rPr>
        <w:t>60.</w:t>
      </w:r>
      <w:r>
        <w:rPr>
          <w:rFonts w:eastAsiaTheme="minorHAnsi"/>
          <w:lang w:val="en-ZA"/>
        </w:rPr>
        <w:tab/>
      </w:r>
      <w:r w:rsidR="00BE4C38" w:rsidRPr="00BE4C38">
        <w:rPr>
          <w:rFonts w:eastAsiaTheme="minorHAnsi"/>
          <w:lang w:val="en-ZA"/>
        </w:rPr>
        <w:t xml:space="preserve">The </w:t>
      </w:r>
      <w:r w:rsidR="00BE4C38" w:rsidRPr="00F46244">
        <w:rPr>
          <w:rFonts w:eastAsiaTheme="minorHAnsi"/>
          <w:b/>
          <w:lang w:val="en-ZA"/>
        </w:rPr>
        <w:t>safety of women and children</w:t>
      </w:r>
      <w:r w:rsidR="00BE4C38" w:rsidRPr="00BE4C38">
        <w:rPr>
          <w:rFonts w:eastAsiaTheme="minorHAnsi"/>
          <w:lang w:val="en-ZA"/>
        </w:rPr>
        <w:t xml:space="preserve"> in South African communities is paramount. Sexual violence against children remains a significant challenge and South Africa has noted the concluding observations of the CRC Committee regarding the low rates of reporting, prosecution and conviction; the overall lack of and regional disparity in the provision of support services to child victims, including emergency services, and the heavy reliance on civil society organizations for the delivery of such services.</w:t>
      </w:r>
    </w:p>
    <w:p w:rsidR="00BE4C38" w:rsidRPr="00BE4C38" w:rsidRDefault="00E510C5" w:rsidP="00BE4C38">
      <w:pPr>
        <w:pStyle w:val="SingleTxtG"/>
        <w:rPr>
          <w:rFonts w:eastAsiaTheme="minorHAnsi"/>
          <w:lang w:val="en-ZA"/>
        </w:rPr>
      </w:pPr>
      <w:r>
        <w:rPr>
          <w:rFonts w:eastAsiaTheme="minorHAnsi"/>
          <w:lang w:val="en-ZA"/>
        </w:rPr>
        <w:t>61.</w:t>
      </w:r>
      <w:r>
        <w:rPr>
          <w:rFonts w:eastAsiaTheme="minorHAnsi"/>
          <w:lang w:val="en-ZA"/>
        </w:rPr>
        <w:tab/>
      </w:r>
      <w:r w:rsidR="00163B1C">
        <w:rPr>
          <w:rFonts w:eastAsiaTheme="minorHAnsi"/>
          <w:lang w:val="en-ZA"/>
        </w:rPr>
        <w:t xml:space="preserve">The </w:t>
      </w:r>
      <w:r w:rsidR="00BE4C38" w:rsidRPr="00BE4C38">
        <w:rPr>
          <w:rFonts w:eastAsiaTheme="minorHAnsi"/>
          <w:lang w:val="en-ZA"/>
        </w:rPr>
        <w:t xml:space="preserve">Government has established </w:t>
      </w:r>
      <w:proofErr w:type="spellStart"/>
      <w:r w:rsidR="00BE4C38" w:rsidRPr="00BE4C38">
        <w:rPr>
          <w:rFonts w:eastAsiaTheme="minorHAnsi"/>
          <w:lang w:val="en-ZA"/>
        </w:rPr>
        <w:t>Thuthuzela</w:t>
      </w:r>
      <w:proofErr w:type="spellEnd"/>
      <w:r w:rsidR="00BE4C38" w:rsidRPr="00BE4C38">
        <w:rPr>
          <w:rFonts w:eastAsiaTheme="minorHAnsi"/>
          <w:lang w:val="en-ZA"/>
        </w:rPr>
        <w:t xml:space="preserve"> Care Centres (TCC) in the quest to reduce secondary victimization. The UN Secretary General, in 2011, recognised these centres as a “world best practice model” in the field of gender violence management and response. </w:t>
      </w:r>
      <w:proofErr w:type="spellStart"/>
      <w:r w:rsidR="00BE4C38" w:rsidRPr="00BE4C38">
        <w:rPr>
          <w:rFonts w:eastAsiaTheme="minorHAnsi"/>
          <w:lang w:val="en-ZA"/>
        </w:rPr>
        <w:t>Thuthuzela’s</w:t>
      </w:r>
      <w:proofErr w:type="spellEnd"/>
      <w:r w:rsidR="00BE4C38" w:rsidRPr="00BE4C38">
        <w:rPr>
          <w:rFonts w:eastAsiaTheme="minorHAnsi"/>
          <w:lang w:val="en-ZA"/>
        </w:rPr>
        <w:t xml:space="preserve"> integrated approach to sexual assault survivors is one of respect, comfort, restoring dignity and ensuring justice </w:t>
      </w:r>
      <w:r>
        <w:rPr>
          <w:rFonts w:eastAsiaTheme="minorHAnsi"/>
          <w:lang w:val="en-ZA"/>
        </w:rPr>
        <w:t>for victims of sexual violence.</w:t>
      </w:r>
    </w:p>
    <w:p w:rsidR="00BE4C38" w:rsidRPr="00BE4C38" w:rsidRDefault="00E510C5" w:rsidP="00BE4C38">
      <w:pPr>
        <w:pStyle w:val="SingleTxtG"/>
        <w:rPr>
          <w:rFonts w:eastAsiaTheme="minorHAnsi"/>
          <w:lang w:val="en-ZA"/>
        </w:rPr>
      </w:pPr>
      <w:r>
        <w:rPr>
          <w:rFonts w:eastAsiaTheme="minorHAnsi"/>
          <w:lang w:val="en-ZA"/>
        </w:rPr>
        <w:t>62.</w:t>
      </w:r>
      <w:r>
        <w:rPr>
          <w:rFonts w:eastAsiaTheme="minorHAnsi"/>
          <w:lang w:val="en-ZA"/>
        </w:rPr>
        <w:tab/>
      </w:r>
      <w:r w:rsidR="00BE4C38" w:rsidRPr="00BE4C38">
        <w:rPr>
          <w:rFonts w:eastAsiaTheme="minorHAnsi"/>
          <w:lang w:val="en-ZA"/>
        </w:rPr>
        <w:t>The management of TCC-model and roll-out falls within the responsibility of the National Prosecuting Authority (NPA). Its success is based upon effective and efficient stakeholder cooperation within Government Departments, and in collaboration with designated civil society organisations. The model is specifically focused on being victim-friendly and court directed, with prosecutor-guided investigations into the crimes and stakeholder cooperation. The ultimate goal is to minimise secondary victimization, reduce the cycle period for the finalisation of cases and to increase conviction rates in these cases.</w:t>
      </w:r>
    </w:p>
    <w:p w:rsidR="00BE4C38" w:rsidRPr="00BE4C38" w:rsidRDefault="00E510C5" w:rsidP="00BE4C38">
      <w:pPr>
        <w:pStyle w:val="SingleTxtG"/>
        <w:rPr>
          <w:rFonts w:eastAsiaTheme="minorHAnsi"/>
          <w:lang w:val="en-ZA"/>
        </w:rPr>
      </w:pPr>
      <w:r>
        <w:rPr>
          <w:rFonts w:eastAsiaTheme="minorHAnsi"/>
          <w:lang w:val="en-ZA"/>
        </w:rPr>
        <w:t>63.</w:t>
      </w:r>
      <w:r>
        <w:rPr>
          <w:rFonts w:eastAsiaTheme="minorHAnsi"/>
          <w:lang w:val="en-ZA"/>
        </w:rPr>
        <w:tab/>
      </w:r>
      <w:r w:rsidR="00BE4C38" w:rsidRPr="00BE4C38">
        <w:rPr>
          <w:rFonts w:eastAsiaTheme="minorHAnsi"/>
          <w:lang w:val="en-ZA"/>
        </w:rPr>
        <w:t>The South African Police Services (SAPS) has established the Family Violence, Child Protection and Sexual Offences Units in order to provide victim friendly services to victims of gender based violence. When reporting a crime, the victim is removed from an environment such as a police station, to a more victim-friendly environment before being transported by police or an ambulan</w:t>
      </w:r>
      <w:r>
        <w:rPr>
          <w:rFonts w:eastAsiaTheme="minorHAnsi"/>
          <w:lang w:val="en-ZA"/>
        </w:rPr>
        <w:t>ce to the TCC at the hospital.</w:t>
      </w:r>
    </w:p>
    <w:p w:rsidR="00BE4C38" w:rsidRPr="00BE4C38" w:rsidRDefault="00E510C5" w:rsidP="00BE4C38">
      <w:pPr>
        <w:pStyle w:val="SingleTxtG"/>
        <w:rPr>
          <w:rFonts w:eastAsiaTheme="minorHAnsi"/>
          <w:lang w:val="en-ZA"/>
        </w:rPr>
      </w:pPr>
      <w:r>
        <w:rPr>
          <w:rFonts w:eastAsiaTheme="minorHAnsi"/>
          <w:lang w:val="en-ZA"/>
        </w:rPr>
        <w:t>64.</w:t>
      </w:r>
      <w:r>
        <w:rPr>
          <w:rFonts w:eastAsiaTheme="minorHAnsi"/>
          <w:lang w:val="en-ZA"/>
        </w:rPr>
        <w:tab/>
      </w:r>
      <w:r w:rsidR="007D59DE">
        <w:rPr>
          <w:rFonts w:eastAsiaTheme="minorHAnsi"/>
          <w:lang w:val="en-ZA"/>
        </w:rPr>
        <w:t xml:space="preserve">The </w:t>
      </w:r>
      <w:r w:rsidR="00BE4C38" w:rsidRPr="00BE4C38">
        <w:rPr>
          <w:rFonts w:eastAsiaTheme="minorHAnsi"/>
          <w:lang w:val="en-ZA"/>
        </w:rPr>
        <w:t xml:space="preserve">Government has trained Victim Empowerment service providers in all nine provinces of the country and also established </w:t>
      </w:r>
      <w:proofErr w:type="spellStart"/>
      <w:r w:rsidR="00BE4C38" w:rsidRPr="00BE4C38">
        <w:rPr>
          <w:rFonts w:eastAsiaTheme="minorHAnsi"/>
          <w:lang w:val="en-ZA"/>
        </w:rPr>
        <w:t>Khuseleka</w:t>
      </w:r>
      <w:proofErr w:type="spellEnd"/>
      <w:r w:rsidR="00BE4C38" w:rsidRPr="00BE4C38">
        <w:rPr>
          <w:rFonts w:eastAsiaTheme="minorHAnsi"/>
          <w:lang w:val="en-ZA"/>
        </w:rPr>
        <w:t xml:space="preserve"> One Stop Centres which provide integrated victim empowerment services. </w:t>
      </w:r>
      <w:r w:rsidR="007D59DE">
        <w:rPr>
          <w:rFonts w:eastAsiaTheme="minorHAnsi"/>
          <w:lang w:val="en-ZA"/>
        </w:rPr>
        <w:t xml:space="preserve">The </w:t>
      </w:r>
      <w:r w:rsidR="00BE4C38" w:rsidRPr="00BE4C38">
        <w:rPr>
          <w:rFonts w:eastAsiaTheme="minorHAnsi"/>
          <w:lang w:val="en-ZA"/>
        </w:rPr>
        <w:t xml:space="preserve">Government has also established shelters for abused </w:t>
      </w:r>
      <w:proofErr w:type="gramStart"/>
      <w:r w:rsidR="00BE4C38" w:rsidRPr="00BE4C38">
        <w:rPr>
          <w:rFonts w:eastAsiaTheme="minorHAnsi"/>
          <w:lang w:val="en-ZA"/>
        </w:rPr>
        <w:t>women,</w:t>
      </w:r>
      <w:proofErr w:type="gramEnd"/>
      <w:r w:rsidR="00BE4C38" w:rsidRPr="00BE4C38">
        <w:rPr>
          <w:rFonts w:eastAsiaTheme="minorHAnsi"/>
          <w:lang w:val="en-ZA"/>
        </w:rPr>
        <w:t xml:space="preserve"> white door centres (centres of hope) for victims of gender based violence in different provinces and a 24-hour Gender Based Violence Command Call Centre which has won a number of international awards. South Africa’s 365 Days Campaign (which grew from the initial 16 Days of Activism for No Violence against Women and Children, held during November/December) has mobilised all sectors of society, aimed at mobilizing men and boys to become part of the solution in eradicating violence against women and children.</w:t>
      </w:r>
    </w:p>
    <w:p w:rsidR="00BE4C38" w:rsidRPr="00BE4C38" w:rsidRDefault="00E510C5" w:rsidP="00BE4C38">
      <w:pPr>
        <w:pStyle w:val="SingleTxtG"/>
        <w:rPr>
          <w:rFonts w:eastAsiaTheme="minorHAnsi"/>
          <w:lang w:val="en-ZA"/>
        </w:rPr>
      </w:pPr>
      <w:r>
        <w:rPr>
          <w:rFonts w:eastAsiaTheme="minorHAnsi"/>
          <w:lang w:val="en-ZA"/>
        </w:rPr>
        <w:t>65.</w:t>
      </w:r>
      <w:r>
        <w:rPr>
          <w:rFonts w:eastAsiaTheme="minorHAnsi"/>
          <w:lang w:val="en-ZA"/>
        </w:rPr>
        <w:tab/>
      </w:r>
      <w:r w:rsidR="00BE4C38" w:rsidRPr="00BE4C38">
        <w:rPr>
          <w:rFonts w:eastAsiaTheme="minorHAnsi"/>
          <w:lang w:val="en-ZA"/>
        </w:rPr>
        <w:t xml:space="preserve">In 2014, </w:t>
      </w:r>
      <w:r w:rsidR="007D59DE">
        <w:rPr>
          <w:rFonts w:eastAsiaTheme="minorHAnsi"/>
          <w:lang w:val="en-ZA"/>
        </w:rPr>
        <w:t xml:space="preserve">the </w:t>
      </w:r>
      <w:r w:rsidR="00BE4C38" w:rsidRPr="00BE4C38">
        <w:rPr>
          <w:rFonts w:eastAsiaTheme="minorHAnsi"/>
          <w:lang w:val="en-ZA"/>
        </w:rPr>
        <w:t xml:space="preserve">Government finalised a </w:t>
      </w:r>
      <w:r w:rsidR="00BE4C38" w:rsidRPr="00F46244">
        <w:rPr>
          <w:rFonts w:eastAsiaTheme="minorHAnsi"/>
          <w:b/>
          <w:lang w:val="en-ZA"/>
        </w:rPr>
        <w:t>National Strategy for Inter-sectoral Management of Sexual Offences</w:t>
      </w:r>
      <w:r w:rsidR="00BE4C38" w:rsidRPr="00BE4C38">
        <w:rPr>
          <w:rFonts w:eastAsiaTheme="minorHAnsi"/>
          <w:lang w:val="en-ZA"/>
        </w:rPr>
        <w:t xml:space="preserve"> which encourages the inter-sectoral approach to all matters relating to sexual offences courts. It sets out clear duties and responsibilities of all stakeholders in the establishment and management of these courts. The National Strategic Plan also provides for the minimum uniformed personnel required at each sexual offence court.</w:t>
      </w:r>
      <w:r w:rsidR="00F7073B">
        <w:rPr>
          <w:rStyle w:val="EndnoteReference"/>
          <w:rFonts w:eastAsiaTheme="minorHAnsi"/>
          <w:lang w:val="en-ZA"/>
        </w:rPr>
        <w:endnoteReference w:id="19"/>
      </w:r>
      <w:r w:rsidR="00BE4C38" w:rsidRPr="00BE4C38">
        <w:rPr>
          <w:rFonts w:eastAsiaTheme="minorHAnsi"/>
          <w:lang w:val="en-ZA"/>
        </w:rPr>
        <w:t xml:space="preserve"> All victims should have access to services such as court preparation programme; information materials in the form of text, visuals and Braille; allocation of food for children, vicarious trauma programmes for personnel working with victims of sexual violence as well as a case-flow management system and screening policy to direct sexual offences cases to sexual offences courts where they are established.</w:t>
      </w:r>
    </w:p>
    <w:p w:rsidR="00BE4C38" w:rsidRPr="00BE4C38" w:rsidRDefault="00E510C5" w:rsidP="00BE4C38">
      <w:pPr>
        <w:pStyle w:val="SingleTxtG"/>
        <w:rPr>
          <w:rFonts w:eastAsiaTheme="minorHAnsi"/>
          <w:lang w:val="en-ZA"/>
        </w:rPr>
      </w:pPr>
      <w:r>
        <w:rPr>
          <w:rFonts w:eastAsiaTheme="minorHAnsi"/>
          <w:lang w:val="en-ZA"/>
        </w:rPr>
        <w:t>66.</w:t>
      </w:r>
      <w:r>
        <w:rPr>
          <w:rFonts w:eastAsiaTheme="minorHAnsi"/>
          <w:lang w:val="en-ZA"/>
        </w:rPr>
        <w:tab/>
      </w:r>
      <w:r w:rsidR="00BE4C38" w:rsidRPr="00BE4C38">
        <w:rPr>
          <w:rFonts w:eastAsiaTheme="minorHAnsi"/>
          <w:lang w:val="en-ZA"/>
        </w:rPr>
        <w:t xml:space="preserve">The equality clause in the Constitution (section 9), expressly mentions marital status as one of listed grounds upon which unfair discrimination is prohibited. The Department of Social Development’s (DSD) </w:t>
      </w:r>
      <w:r w:rsidR="00BE4C38" w:rsidRPr="00F46244">
        <w:rPr>
          <w:rFonts w:eastAsiaTheme="minorHAnsi"/>
          <w:b/>
          <w:lang w:val="en-ZA"/>
        </w:rPr>
        <w:t>White Paper on Families in South Africa</w:t>
      </w:r>
      <w:r w:rsidR="00BE4C38" w:rsidRPr="00BE4C38">
        <w:rPr>
          <w:rFonts w:eastAsiaTheme="minorHAnsi"/>
          <w:lang w:val="en-ZA"/>
        </w:rPr>
        <w:t xml:space="preserve"> provides that along with the economy, polity and education, the family is universally viewed as one of the essential sectors without which no society can function. The family influences the way society is structured, organised, and functions.</w:t>
      </w:r>
    </w:p>
    <w:p w:rsidR="00BE4C38" w:rsidRPr="00BE4C38" w:rsidRDefault="00E510C5" w:rsidP="00BE4C38">
      <w:pPr>
        <w:pStyle w:val="SingleTxtG"/>
        <w:rPr>
          <w:rFonts w:eastAsiaTheme="minorHAnsi"/>
          <w:lang w:val="en-ZA"/>
        </w:rPr>
      </w:pPr>
      <w:r>
        <w:rPr>
          <w:rFonts w:eastAsiaTheme="minorHAnsi"/>
          <w:lang w:val="en-ZA"/>
        </w:rPr>
        <w:t>67.</w:t>
      </w:r>
      <w:r>
        <w:rPr>
          <w:rFonts w:eastAsiaTheme="minorHAnsi"/>
          <w:lang w:val="en-ZA"/>
        </w:rPr>
        <w:tab/>
      </w:r>
      <w:r w:rsidR="007D59DE">
        <w:rPr>
          <w:rFonts w:eastAsiaTheme="minorHAnsi"/>
          <w:lang w:val="en-ZA"/>
        </w:rPr>
        <w:t xml:space="preserve">The </w:t>
      </w:r>
      <w:r w:rsidR="00BE4C38" w:rsidRPr="00BE4C38">
        <w:rPr>
          <w:rFonts w:eastAsiaTheme="minorHAnsi"/>
          <w:lang w:val="en-ZA"/>
        </w:rPr>
        <w:t xml:space="preserve">Government, working with relevant stakeholders, developed a strategy to address gender-based and sexual orientation-based violence against lesbian, gay, bisexual, transgender and intersex people in South Africa. A </w:t>
      </w:r>
      <w:r w:rsidR="00BE4C38" w:rsidRPr="00F46244">
        <w:rPr>
          <w:rFonts w:eastAsiaTheme="minorHAnsi"/>
          <w:b/>
          <w:lang w:val="en-ZA"/>
        </w:rPr>
        <w:t>National Task Team (NTT)</w:t>
      </w:r>
      <w:r w:rsidR="00BE4C38" w:rsidRPr="00BE4C38">
        <w:rPr>
          <w:rFonts w:eastAsiaTheme="minorHAnsi"/>
          <w:b/>
          <w:lang w:val="en-ZA"/>
        </w:rPr>
        <w:t xml:space="preserve"> </w:t>
      </w:r>
      <w:r w:rsidR="00BE4C38" w:rsidRPr="00BE4C38">
        <w:rPr>
          <w:rFonts w:eastAsiaTheme="minorHAnsi"/>
          <w:lang w:val="en-ZA"/>
        </w:rPr>
        <w:t xml:space="preserve">was re-established in 2013, with </w:t>
      </w:r>
      <w:r w:rsidR="007D59DE">
        <w:rPr>
          <w:rFonts w:eastAsiaTheme="minorHAnsi"/>
          <w:lang w:val="en-ZA"/>
        </w:rPr>
        <w:t xml:space="preserve">the </w:t>
      </w:r>
      <w:r w:rsidR="00BE4C38" w:rsidRPr="00BE4C38">
        <w:rPr>
          <w:rFonts w:eastAsiaTheme="minorHAnsi"/>
          <w:lang w:val="en-ZA"/>
        </w:rPr>
        <w:t xml:space="preserve">Government together with representatives from Chapter 9 institutions and civil society organisations working in partnership to achieve a number of formidable tasks. These include, amongst others, the development of a National Intervention Strategy to respond to, and prevent, gender and sexual orientation-based violent crimes perpetrated against LGBTI persons and the development of an Inter-sectoral Implementation Plan which would link parallel and complementary initiatives. The NTT also undertook to strengthen </w:t>
      </w:r>
      <w:r w:rsidR="007D59DE">
        <w:rPr>
          <w:rFonts w:eastAsiaTheme="minorHAnsi"/>
          <w:lang w:val="en-ZA"/>
        </w:rPr>
        <w:t xml:space="preserve">the </w:t>
      </w:r>
      <w:r w:rsidR="00BE4C38" w:rsidRPr="00BE4C38">
        <w:rPr>
          <w:rFonts w:eastAsiaTheme="minorHAnsi"/>
          <w:lang w:val="en-ZA"/>
        </w:rPr>
        <w:t xml:space="preserve">Government’s ability to respond to LGBTI needs and to strengthen the capacity of civil society organisations to deliver related services. </w:t>
      </w:r>
      <w:r w:rsidR="007D59DE">
        <w:rPr>
          <w:rFonts w:eastAsiaTheme="minorHAnsi"/>
          <w:lang w:val="en-ZA"/>
        </w:rPr>
        <w:t xml:space="preserve">The </w:t>
      </w:r>
      <w:r w:rsidR="00BE4C38" w:rsidRPr="00BE4C38">
        <w:rPr>
          <w:rFonts w:eastAsiaTheme="minorHAnsi"/>
          <w:lang w:val="en-ZA"/>
        </w:rPr>
        <w:t xml:space="preserve">Government sets out to improve linkages amongst Government Departments, to undertake programmes such as the Access to Justice and the Promotion of Constitutional Rights Programme and the National Action Plan (NAP), as well as working closely with relevant human rights institutions - such as the Human Rights Commission and the Commission for Gender Equality – to combat racism, xenophobia and related intolerance and in that manner address the impact of different forms of discrimination targeting LGBTI persons. It seeks to improve the management of cases by relevant role-players in the criminal justice system, including the SAPS, the NPA, the DSD, the </w:t>
      </w:r>
      <w:proofErr w:type="spellStart"/>
      <w:r w:rsidR="00BE4C38" w:rsidRPr="00BE4C38">
        <w:rPr>
          <w:rFonts w:eastAsiaTheme="minorHAnsi"/>
          <w:lang w:val="en-ZA"/>
        </w:rPr>
        <w:t>DoH</w:t>
      </w:r>
      <w:proofErr w:type="spellEnd"/>
      <w:r w:rsidR="00BE4C38" w:rsidRPr="00BE4C38">
        <w:rPr>
          <w:rFonts w:eastAsiaTheme="minorHAnsi"/>
          <w:lang w:val="en-ZA"/>
        </w:rPr>
        <w:t xml:space="preserve"> and the Department of Correctional Services (DCS).</w:t>
      </w:r>
    </w:p>
    <w:p w:rsidR="00BE4C38" w:rsidRPr="00BE4C38" w:rsidRDefault="00E510C5" w:rsidP="00BE4C38">
      <w:pPr>
        <w:pStyle w:val="SingleTxtG"/>
        <w:rPr>
          <w:rFonts w:eastAsiaTheme="minorHAnsi"/>
        </w:rPr>
      </w:pPr>
      <w:r>
        <w:rPr>
          <w:rFonts w:eastAsiaTheme="minorHAnsi"/>
          <w:lang w:val="en-ZA"/>
        </w:rPr>
        <w:t>68.</w:t>
      </w:r>
      <w:r>
        <w:rPr>
          <w:rFonts w:eastAsiaTheme="minorHAnsi"/>
          <w:lang w:val="en-ZA"/>
        </w:rPr>
        <w:tab/>
      </w:r>
      <w:r w:rsidR="00BE4C38" w:rsidRPr="00BE4C38">
        <w:rPr>
          <w:rFonts w:eastAsiaTheme="minorHAnsi"/>
          <w:lang w:val="en-ZA"/>
        </w:rPr>
        <w:t>South Africa has taken significant steps to improve coordination between Government and civil society in combatting violence (including rape and murder) against LGBTI persons.</w:t>
      </w:r>
      <w:r w:rsidR="006E311C">
        <w:rPr>
          <w:rStyle w:val="EndnoteReference"/>
          <w:rFonts w:eastAsiaTheme="minorHAnsi"/>
          <w:lang w:val="en-ZA"/>
        </w:rPr>
        <w:endnoteReference w:id="20"/>
      </w:r>
    </w:p>
    <w:p w:rsidR="00BE4C38" w:rsidRPr="00BE4C38" w:rsidRDefault="00E510C5" w:rsidP="00BE4C38">
      <w:pPr>
        <w:pStyle w:val="SingleTxtG"/>
        <w:rPr>
          <w:rFonts w:eastAsiaTheme="minorHAnsi"/>
          <w:lang w:val="en-ZA"/>
        </w:rPr>
      </w:pPr>
      <w:r>
        <w:rPr>
          <w:rFonts w:eastAsiaTheme="minorHAnsi"/>
        </w:rPr>
        <w:t>69.</w:t>
      </w:r>
      <w:r>
        <w:rPr>
          <w:rFonts w:eastAsiaTheme="minorHAnsi"/>
        </w:rPr>
        <w:tab/>
      </w:r>
      <w:r w:rsidR="00835138">
        <w:rPr>
          <w:rFonts w:eastAsiaTheme="minorHAnsi"/>
        </w:rPr>
        <w:t xml:space="preserve">The </w:t>
      </w:r>
      <w:r w:rsidR="00BE4C38" w:rsidRPr="00BE4C38">
        <w:rPr>
          <w:rFonts w:eastAsiaTheme="minorHAnsi"/>
        </w:rPr>
        <w:t xml:space="preserve">Government is making strides to ensure that LGBTI persons are treated as equal citizens and ensure that any challenges to fulfil the rights of the LGBTI community are dealt with. </w:t>
      </w:r>
      <w:r w:rsidR="00835138">
        <w:rPr>
          <w:rFonts w:eastAsiaTheme="minorHAnsi"/>
        </w:rPr>
        <w:t xml:space="preserve">The </w:t>
      </w:r>
      <w:r w:rsidR="00BE4C38" w:rsidRPr="00BE4C38">
        <w:rPr>
          <w:rFonts w:eastAsiaTheme="minorHAnsi"/>
        </w:rPr>
        <w:t xml:space="preserve">Government does not allow any discriminatory practices in respect of the marriage of same-sex couples, or any form of degrading and harmful treatment of transgender persons. </w:t>
      </w:r>
      <w:r w:rsidR="00835138">
        <w:rPr>
          <w:rFonts w:eastAsiaTheme="minorHAnsi"/>
        </w:rPr>
        <w:t xml:space="preserve">The </w:t>
      </w:r>
      <w:r w:rsidR="00BE4C38" w:rsidRPr="00BE4C38">
        <w:rPr>
          <w:rFonts w:eastAsiaTheme="minorHAnsi"/>
        </w:rPr>
        <w:t>Government’s commitment to protect the rights of LGBTI persons in South Africa was recently exemplified by action by the Minister of Home Affairs, who denied a visa application by a cleric well known for preaching homophobia from the pulpit. The Minister of Home Affairs has established a task team to deal with similar cases in the future.</w:t>
      </w:r>
      <w:r w:rsidR="006E311C">
        <w:rPr>
          <w:rStyle w:val="EndnoteReference"/>
          <w:rFonts w:eastAsiaTheme="minorHAnsi"/>
        </w:rPr>
        <w:endnoteReference w:id="21"/>
      </w:r>
    </w:p>
    <w:p w:rsidR="00BE4C38" w:rsidRPr="00BE4C38" w:rsidRDefault="002152F0" w:rsidP="00BE4C38">
      <w:pPr>
        <w:pStyle w:val="SingleTxtG"/>
        <w:rPr>
          <w:rFonts w:eastAsiaTheme="minorHAnsi"/>
          <w:lang w:val="en-ZA"/>
        </w:rPr>
      </w:pPr>
      <w:r>
        <w:rPr>
          <w:rFonts w:eastAsiaTheme="minorHAnsi"/>
        </w:rPr>
        <w:t>70.</w:t>
      </w:r>
      <w:r>
        <w:rPr>
          <w:rFonts w:eastAsiaTheme="minorHAnsi"/>
        </w:rPr>
        <w:tab/>
      </w:r>
      <w:r w:rsidR="00BE4C38" w:rsidRPr="00BE4C38">
        <w:rPr>
          <w:rFonts w:eastAsiaTheme="minorHAnsi"/>
        </w:rPr>
        <w:t xml:space="preserve">In order to ensure that indigent people receive competent and adequate legal representation in court, </w:t>
      </w:r>
      <w:r w:rsidR="00BE4C38" w:rsidRPr="00F46244">
        <w:rPr>
          <w:rFonts w:eastAsiaTheme="minorHAnsi"/>
          <w:b/>
        </w:rPr>
        <w:t>Legal Aid South Africa</w:t>
      </w:r>
      <w:r w:rsidR="00BE4C38" w:rsidRPr="00BE4C38">
        <w:rPr>
          <w:rFonts w:eastAsiaTheme="minorHAnsi"/>
        </w:rPr>
        <w:t xml:space="preserve">, an autonomous statutory body, renders or makes available legal representation to indigent persons at </w:t>
      </w:r>
      <w:r w:rsidR="00835138">
        <w:rPr>
          <w:rFonts w:eastAsiaTheme="minorHAnsi"/>
        </w:rPr>
        <w:t>S</w:t>
      </w:r>
      <w:r w:rsidR="00BE4C38" w:rsidRPr="00BE4C38">
        <w:rPr>
          <w:rFonts w:eastAsiaTheme="minorHAnsi"/>
        </w:rPr>
        <w:t>tate expense.</w:t>
      </w:r>
      <w:r w:rsidR="006E311C">
        <w:rPr>
          <w:rStyle w:val="EndnoteReference"/>
          <w:rFonts w:eastAsiaTheme="minorHAnsi"/>
        </w:rPr>
        <w:endnoteReference w:id="22"/>
      </w:r>
    </w:p>
    <w:p w:rsidR="00BE4C38" w:rsidRPr="00BE4C38" w:rsidRDefault="002152F0" w:rsidP="00BE4C38">
      <w:pPr>
        <w:pStyle w:val="SingleTxtG"/>
        <w:rPr>
          <w:rFonts w:eastAsiaTheme="minorHAnsi"/>
          <w:lang w:val="en-ZA"/>
        </w:rPr>
      </w:pPr>
      <w:r>
        <w:rPr>
          <w:rFonts w:eastAsiaTheme="minorHAnsi"/>
          <w:lang w:val="en-ZA"/>
        </w:rPr>
        <w:t>71.</w:t>
      </w:r>
      <w:r>
        <w:rPr>
          <w:rFonts w:eastAsiaTheme="minorHAnsi"/>
          <w:lang w:val="en-ZA"/>
        </w:rPr>
        <w:tab/>
      </w:r>
      <w:r w:rsidR="00BE4C38" w:rsidRPr="00BE4C38">
        <w:rPr>
          <w:rFonts w:eastAsiaTheme="minorHAnsi"/>
          <w:lang w:val="en-ZA"/>
        </w:rPr>
        <w:t xml:space="preserve">With regards to </w:t>
      </w:r>
      <w:r w:rsidR="00BE4C38" w:rsidRPr="00F46244">
        <w:rPr>
          <w:rFonts w:eastAsiaTheme="minorHAnsi"/>
          <w:b/>
          <w:lang w:val="en-ZA"/>
        </w:rPr>
        <w:t>overcrowding in prisons</w:t>
      </w:r>
      <w:r w:rsidR="00BE4C38" w:rsidRPr="00BE4C38">
        <w:rPr>
          <w:rFonts w:eastAsiaTheme="minorHAnsi"/>
          <w:lang w:val="en-ZA"/>
        </w:rPr>
        <w:t xml:space="preserve">, </w:t>
      </w:r>
      <w:r w:rsidR="00A85051">
        <w:rPr>
          <w:rFonts w:eastAsiaTheme="minorHAnsi"/>
          <w:lang w:val="en-ZA"/>
        </w:rPr>
        <w:t xml:space="preserve">the </w:t>
      </w:r>
      <w:r w:rsidR="00BE4C38" w:rsidRPr="00BE4C38">
        <w:rPr>
          <w:rFonts w:eastAsiaTheme="minorHAnsi"/>
          <w:lang w:val="en-ZA"/>
        </w:rPr>
        <w:t xml:space="preserve">Government implemented the Electronic Monitoring of Parolees system in February 2012 as part of transforming our parole and social reintegration systems. This system alleviates the challenges of parolees absconding from the system of community corrections while also reducing the risk of recidivism. In 2012, </w:t>
      </w:r>
      <w:r w:rsidR="00A85051">
        <w:rPr>
          <w:rFonts w:eastAsiaTheme="minorHAnsi"/>
          <w:lang w:val="en-ZA"/>
        </w:rPr>
        <w:t xml:space="preserve">the </w:t>
      </w:r>
      <w:r w:rsidR="00BE4C38" w:rsidRPr="00BE4C38">
        <w:rPr>
          <w:rFonts w:eastAsiaTheme="minorHAnsi"/>
          <w:lang w:val="en-ZA"/>
        </w:rPr>
        <w:t>Government launched the first Halfway House for parolees in Gauteng Province. This event introduced a whole new era in rendering social int</w:t>
      </w:r>
      <w:r>
        <w:rPr>
          <w:rFonts w:eastAsiaTheme="minorHAnsi"/>
          <w:lang w:val="en-ZA"/>
        </w:rPr>
        <w:t>egration services to offenders.</w:t>
      </w:r>
    </w:p>
    <w:p w:rsidR="00BE4C38" w:rsidRPr="00BE4C38" w:rsidRDefault="002152F0" w:rsidP="00BE4C38">
      <w:pPr>
        <w:pStyle w:val="SingleTxtG"/>
        <w:rPr>
          <w:rFonts w:eastAsiaTheme="minorHAnsi"/>
          <w:lang w:val="en-ZA"/>
        </w:rPr>
      </w:pPr>
      <w:r>
        <w:rPr>
          <w:rFonts w:eastAsiaTheme="minorHAnsi"/>
          <w:lang w:val="en-ZA"/>
        </w:rPr>
        <w:t>72.</w:t>
      </w:r>
      <w:r>
        <w:rPr>
          <w:rFonts w:eastAsiaTheme="minorHAnsi"/>
          <w:lang w:val="en-ZA"/>
        </w:rPr>
        <w:tab/>
      </w:r>
      <w:r w:rsidR="00BE4C38" w:rsidRPr="00BE4C38">
        <w:rPr>
          <w:rFonts w:eastAsiaTheme="minorHAnsi"/>
          <w:lang w:val="en-ZA"/>
        </w:rPr>
        <w:t xml:space="preserve">Operation </w:t>
      </w:r>
      <w:proofErr w:type="spellStart"/>
      <w:r w:rsidR="00BE4C38" w:rsidRPr="00BE4C38">
        <w:rPr>
          <w:rFonts w:eastAsiaTheme="minorHAnsi"/>
          <w:lang w:val="en-ZA"/>
        </w:rPr>
        <w:t>Funda</w:t>
      </w:r>
      <w:proofErr w:type="spellEnd"/>
      <w:r w:rsidR="006E311C">
        <w:rPr>
          <w:rStyle w:val="EndnoteReference"/>
          <w:rFonts w:eastAsiaTheme="minorHAnsi"/>
          <w:lang w:val="en-ZA"/>
        </w:rPr>
        <w:endnoteReference w:id="23"/>
      </w:r>
      <w:r w:rsidR="00BE4C38" w:rsidRPr="00BE4C38">
        <w:rPr>
          <w:rFonts w:eastAsiaTheme="minorHAnsi"/>
          <w:lang w:val="en-ZA"/>
        </w:rPr>
        <w:t xml:space="preserve"> is one of </w:t>
      </w:r>
      <w:r w:rsidR="00A85051">
        <w:rPr>
          <w:rFonts w:eastAsiaTheme="minorHAnsi"/>
          <w:lang w:val="en-ZA"/>
        </w:rPr>
        <w:t xml:space="preserve">the </w:t>
      </w:r>
      <w:r w:rsidR="00BE4C38" w:rsidRPr="00BE4C38">
        <w:rPr>
          <w:rFonts w:eastAsiaTheme="minorHAnsi"/>
          <w:lang w:val="en-ZA"/>
        </w:rPr>
        <w:t xml:space="preserve">Government’s projects, launched in 2011, to enhance offenders' access to education and training to equip them for effective and sustainable social re-integration. The purpose of the correctional system is not punishment, but protection of the public, promotion of social responsibility and enhancing human development to prevent repeat offending or the return to crime. </w:t>
      </w:r>
      <w:r w:rsidR="00A85051">
        <w:rPr>
          <w:rFonts w:eastAsiaTheme="minorHAnsi"/>
          <w:lang w:val="en-ZA"/>
        </w:rPr>
        <w:t xml:space="preserve">The </w:t>
      </w:r>
      <w:r w:rsidR="00BE4C38" w:rsidRPr="00BE4C38">
        <w:rPr>
          <w:rFonts w:eastAsiaTheme="minorHAnsi"/>
          <w:lang w:val="en-ZA"/>
        </w:rPr>
        <w:t xml:space="preserve">Government insists that people who leave correctional centres must have appropriate attitudes, and competencies for them to successfully integrate back into society as law-abiding and productive citizens. Therefore, </w:t>
      </w:r>
      <w:r w:rsidR="00A85051">
        <w:rPr>
          <w:rFonts w:eastAsiaTheme="minorHAnsi"/>
          <w:lang w:val="en-ZA"/>
        </w:rPr>
        <w:t xml:space="preserve">the </w:t>
      </w:r>
      <w:r w:rsidR="00BE4C38" w:rsidRPr="00BE4C38">
        <w:rPr>
          <w:rFonts w:eastAsiaTheme="minorHAnsi"/>
          <w:lang w:val="en-ZA"/>
        </w:rPr>
        <w:t>Government implements a range of rehabilitative interventions to offenders, together with the relevant educational interventions, with the aim to strengthen the rehabilitation as well as the whole integration process of the offender. From April 2013, it is compulsory for every inmate to complete Adult Basic Educat</w:t>
      </w:r>
      <w:r>
        <w:rPr>
          <w:rFonts w:eastAsiaTheme="minorHAnsi"/>
          <w:lang w:val="en-ZA"/>
        </w:rPr>
        <w:t>ion and Training levels 1 to 4.</w:t>
      </w:r>
    </w:p>
    <w:p w:rsidR="00BE4C38" w:rsidRPr="00BE4C38" w:rsidRDefault="002152F0" w:rsidP="00BE4C38">
      <w:pPr>
        <w:pStyle w:val="SingleTxtG"/>
        <w:rPr>
          <w:rFonts w:eastAsiaTheme="minorHAnsi"/>
          <w:lang w:val="en-ZA"/>
        </w:rPr>
      </w:pPr>
      <w:r>
        <w:rPr>
          <w:rFonts w:eastAsiaTheme="minorHAnsi"/>
          <w:lang w:val="en-ZA"/>
        </w:rPr>
        <w:t>73.</w:t>
      </w:r>
      <w:r>
        <w:rPr>
          <w:rFonts w:eastAsiaTheme="minorHAnsi"/>
          <w:lang w:val="en-ZA"/>
        </w:rPr>
        <w:tab/>
      </w:r>
      <w:r w:rsidR="00BE4C38" w:rsidRPr="00BE4C38">
        <w:rPr>
          <w:rFonts w:eastAsiaTheme="minorHAnsi"/>
          <w:lang w:val="en-ZA"/>
        </w:rPr>
        <w:t xml:space="preserve">The </w:t>
      </w:r>
      <w:r w:rsidR="00BE4C38" w:rsidRPr="00F46244">
        <w:rPr>
          <w:rFonts w:eastAsiaTheme="minorHAnsi"/>
          <w:b/>
          <w:lang w:val="en-ZA"/>
        </w:rPr>
        <w:t>White Paper on Remand Detention</w:t>
      </w:r>
      <w:r w:rsidR="00BE4C38" w:rsidRPr="00BE4C38">
        <w:rPr>
          <w:rFonts w:eastAsiaTheme="minorHAnsi"/>
          <w:b/>
          <w:lang w:val="en-ZA"/>
        </w:rPr>
        <w:t xml:space="preserve"> </w:t>
      </w:r>
      <w:r w:rsidR="00BE4C38" w:rsidRPr="00BE4C38">
        <w:rPr>
          <w:rFonts w:eastAsiaTheme="minorHAnsi"/>
          <w:lang w:val="en-ZA"/>
        </w:rPr>
        <w:t>was signed into policy in March 2014. The White Paper seeks to develop a strategy to address the high levels of over-crowding in South African detention facilitie</w:t>
      </w:r>
      <w:bookmarkStart w:id="3" w:name="_Toc473904009"/>
      <w:r>
        <w:rPr>
          <w:rFonts w:eastAsiaTheme="minorHAnsi"/>
          <w:lang w:val="en-ZA"/>
        </w:rPr>
        <w:t>s for awaiting trial prisoners.</w:t>
      </w:r>
    </w:p>
    <w:p w:rsidR="00BE4C38" w:rsidRPr="00BE4C38" w:rsidRDefault="002152F0" w:rsidP="002152F0">
      <w:pPr>
        <w:pStyle w:val="H1G"/>
        <w:rPr>
          <w:rFonts w:eastAsiaTheme="minorHAnsi"/>
          <w:lang w:val="en-ZA"/>
        </w:rPr>
      </w:pPr>
      <w:r>
        <w:rPr>
          <w:rFonts w:eastAsiaTheme="minorHAnsi"/>
          <w:lang w:val="en-ZA"/>
        </w:rPr>
        <w:tab/>
      </w:r>
      <w:r>
        <w:rPr>
          <w:rFonts w:eastAsiaTheme="minorHAnsi"/>
          <w:lang w:val="en-ZA"/>
        </w:rPr>
        <w:tab/>
      </w:r>
      <w:r w:rsidR="00BE4C38" w:rsidRPr="00BE4C38">
        <w:rPr>
          <w:rFonts w:eastAsiaTheme="minorHAnsi"/>
          <w:lang w:val="en-ZA"/>
        </w:rPr>
        <w:t>Jurisprudence</w:t>
      </w:r>
      <w:bookmarkEnd w:id="3"/>
    </w:p>
    <w:p w:rsidR="00BE4C38" w:rsidRPr="00BE4C38" w:rsidRDefault="002152F0" w:rsidP="00BE4C38">
      <w:pPr>
        <w:pStyle w:val="SingleTxtG"/>
        <w:rPr>
          <w:rFonts w:eastAsiaTheme="minorHAnsi"/>
          <w:lang w:val="en-ZA"/>
        </w:rPr>
      </w:pPr>
      <w:r>
        <w:rPr>
          <w:rFonts w:eastAsiaTheme="minorHAnsi"/>
          <w:bCs/>
        </w:rPr>
        <w:t>74.</w:t>
      </w:r>
      <w:r>
        <w:rPr>
          <w:rFonts w:eastAsiaTheme="minorHAnsi"/>
          <w:bCs/>
        </w:rPr>
        <w:tab/>
      </w:r>
      <w:r w:rsidR="00BE4C38" w:rsidRPr="00BE4C38">
        <w:rPr>
          <w:rFonts w:eastAsiaTheme="minorHAnsi"/>
          <w:bCs/>
        </w:rPr>
        <w:t>The judgments of South Africa’s courts are continuously being factored into the policies of Government to ensure the strengthening of a human rights culture in the country</w:t>
      </w:r>
      <w:r>
        <w:rPr>
          <w:rFonts w:eastAsiaTheme="minorHAnsi"/>
          <w:lang w:val="en-ZA"/>
        </w:rPr>
        <w:t>.</w:t>
      </w:r>
    </w:p>
    <w:p w:rsidR="00BE4C38" w:rsidRPr="00BE4C38" w:rsidRDefault="002152F0" w:rsidP="00BE4C38">
      <w:pPr>
        <w:pStyle w:val="SingleTxtG"/>
        <w:rPr>
          <w:rFonts w:eastAsiaTheme="minorHAnsi"/>
          <w:lang w:val="en-ZA"/>
        </w:rPr>
      </w:pPr>
      <w:r>
        <w:rPr>
          <w:rFonts w:eastAsiaTheme="minorHAnsi"/>
          <w:lang w:val="en-ZA"/>
        </w:rPr>
        <w:t>75.</w:t>
      </w:r>
      <w:r>
        <w:rPr>
          <w:rFonts w:eastAsiaTheme="minorHAnsi"/>
          <w:lang w:val="en-ZA"/>
        </w:rPr>
        <w:tab/>
      </w:r>
      <w:r w:rsidR="00BE4C38" w:rsidRPr="00BE4C38">
        <w:rPr>
          <w:rFonts w:eastAsiaTheme="minorHAnsi"/>
          <w:lang w:val="en-ZA"/>
        </w:rPr>
        <w:t>The Constitution 17th Amendment Act, 2012 and the Superior Courts Act, 2013</w:t>
      </w:r>
      <w:r w:rsidR="006E311C">
        <w:rPr>
          <w:rStyle w:val="EndnoteReference"/>
          <w:rFonts w:eastAsiaTheme="minorHAnsi"/>
          <w:lang w:val="en-ZA"/>
        </w:rPr>
        <w:endnoteReference w:id="24"/>
      </w:r>
      <w:r>
        <w:rPr>
          <w:rFonts w:eastAsiaTheme="minorHAnsi"/>
          <w:lang w:val="en-ZA"/>
        </w:rPr>
        <w:t xml:space="preserve"> </w:t>
      </w:r>
      <w:r w:rsidR="00BE4C38" w:rsidRPr="00BE4C38">
        <w:rPr>
          <w:rFonts w:eastAsiaTheme="minorHAnsi"/>
          <w:lang w:val="en-ZA"/>
        </w:rPr>
        <w:t xml:space="preserve">are legislative measures designed to affirm the independence of the judiciary. These legislative measures acknowledge the Chief Justice as the head of the Judiciary, who exercises responsibility over the establishment and monitoring of the norms and standards for the exercise of judicial functions and </w:t>
      </w:r>
      <w:r>
        <w:rPr>
          <w:rFonts w:eastAsiaTheme="minorHAnsi"/>
          <w:lang w:val="en-ZA"/>
        </w:rPr>
        <w:t>the performance of all courts.</w:t>
      </w:r>
    </w:p>
    <w:p w:rsidR="00BE4C38" w:rsidRPr="00BE4C38" w:rsidRDefault="002152F0" w:rsidP="00BE4C38">
      <w:pPr>
        <w:pStyle w:val="SingleTxtG"/>
        <w:rPr>
          <w:rFonts w:eastAsiaTheme="minorHAnsi"/>
          <w:lang w:val="en-ZA"/>
        </w:rPr>
      </w:pPr>
      <w:r>
        <w:rPr>
          <w:rFonts w:eastAsiaTheme="minorHAnsi"/>
          <w:lang w:val="en-ZA"/>
        </w:rPr>
        <w:t>76.</w:t>
      </w:r>
      <w:r>
        <w:rPr>
          <w:rFonts w:eastAsiaTheme="minorHAnsi"/>
          <w:lang w:val="en-ZA"/>
        </w:rPr>
        <w:tab/>
      </w:r>
      <w:r w:rsidR="00BE4C38" w:rsidRPr="00BE4C38">
        <w:rPr>
          <w:rFonts w:eastAsiaTheme="minorHAnsi"/>
          <w:lang w:val="en-ZA"/>
        </w:rPr>
        <w:t>The independent Judiciary, as one of the three branches of the State, has been instrumental in upholding South Africa’s constitutional values such as human dignity, equality and the supremacy of the Constitution. Whilst significant progress has been made in respect of the transformation of the judiciary, further measures need to be taken to, amongst others, ensure that more wo</w:t>
      </w:r>
      <w:r>
        <w:rPr>
          <w:rFonts w:eastAsiaTheme="minorHAnsi"/>
          <w:lang w:val="en-ZA"/>
        </w:rPr>
        <w:t>men are appointed to the Bench.</w:t>
      </w:r>
    </w:p>
    <w:p w:rsidR="00BE4C38" w:rsidRPr="00BE4C38" w:rsidRDefault="002152F0" w:rsidP="00BE4C38">
      <w:pPr>
        <w:pStyle w:val="SingleTxtG"/>
        <w:rPr>
          <w:rFonts w:eastAsiaTheme="minorHAnsi"/>
          <w:lang w:val="en-ZA"/>
        </w:rPr>
      </w:pPr>
      <w:r>
        <w:rPr>
          <w:rFonts w:eastAsiaTheme="minorHAnsi"/>
          <w:lang w:val="en-ZA"/>
        </w:rPr>
        <w:t>77.</w:t>
      </w:r>
      <w:r>
        <w:rPr>
          <w:rFonts w:eastAsiaTheme="minorHAnsi"/>
          <w:lang w:val="en-ZA"/>
        </w:rPr>
        <w:tab/>
      </w:r>
      <w:r w:rsidR="00BE4C38" w:rsidRPr="00BE4C38">
        <w:rPr>
          <w:rFonts w:eastAsiaTheme="minorHAnsi"/>
          <w:lang w:val="en-ZA"/>
        </w:rPr>
        <w:t>A significant number of cases involving various aspects of human rights have been handed down by our courts during the period under review. For example, the Constitutional Court, which is South Africa’s apex court, handed down 35 judgments in 2012, 47 in 2013, 43 in 2014, 43 in 2015 and 17 in 2016. Numerous judgments are also handed down by the various High Courts, Magistrates’ Courts, Equality Courts and specialised courts such as the Land Claims Court and the Labour Court.</w:t>
      </w:r>
    </w:p>
    <w:p w:rsidR="00BE4C38" w:rsidRPr="00BE4C38" w:rsidRDefault="002152F0" w:rsidP="00BE4C38">
      <w:pPr>
        <w:pStyle w:val="SingleTxtG"/>
        <w:rPr>
          <w:rFonts w:eastAsiaTheme="minorHAnsi"/>
          <w:lang w:val="en-ZA"/>
        </w:rPr>
      </w:pPr>
      <w:r>
        <w:rPr>
          <w:rFonts w:eastAsiaTheme="minorHAnsi"/>
          <w:bCs/>
          <w:iCs/>
          <w:lang w:val="en-US"/>
        </w:rPr>
        <w:t>78.</w:t>
      </w:r>
      <w:r>
        <w:rPr>
          <w:rFonts w:eastAsiaTheme="minorHAnsi"/>
          <w:bCs/>
          <w:iCs/>
          <w:lang w:val="en-US"/>
        </w:rPr>
        <w:tab/>
      </w:r>
      <w:r w:rsidR="00BE4C38" w:rsidRPr="00BE4C38">
        <w:rPr>
          <w:rFonts w:eastAsiaTheme="minorHAnsi"/>
          <w:bCs/>
          <w:iCs/>
          <w:lang w:val="en-US"/>
        </w:rPr>
        <w:t xml:space="preserve">The case of </w:t>
      </w:r>
      <w:r w:rsidR="00BE4C38" w:rsidRPr="00BE4C38">
        <w:rPr>
          <w:rFonts w:eastAsiaTheme="minorHAnsi"/>
          <w:bCs/>
          <w:i/>
          <w:iCs/>
          <w:lang w:val="en-ZA"/>
        </w:rPr>
        <w:t xml:space="preserve">Minister of Home Affairs v </w:t>
      </w:r>
      <w:proofErr w:type="spellStart"/>
      <w:r w:rsidR="00BE4C38" w:rsidRPr="00BE4C38">
        <w:rPr>
          <w:rFonts w:eastAsiaTheme="minorHAnsi"/>
          <w:bCs/>
          <w:i/>
          <w:iCs/>
          <w:lang w:val="en-ZA"/>
        </w:rPr>
        <w:t>Tsebe</w:t>
      </w:r>
      <w:proofErr w:type="spellEnd"/>
      <w:r w:rsidR="006E311C" w:rsidRPr="00F46244">
        <w:rPr>
          <w:rStyle w:val="EndnoteReference"/>
          <w:rFonts w:eastAsiaTheme="minorHAnsi"/>
          <w:bCs/>
          <w:iCs/>
          <w:lang w:val="en-ZA"/>
        </w:rPr>
        <w:endnoteReference w:id="25"/>
      </w:r>
      <w:r w:rsidR="00BE4C38" w:rsidRPr="00BE4C38">
        <w:rPr>
          <w:rFonts w:eastAsiaTheme="minorHAnsi"/>
          <w:lang w:val="en-ZA"/>
        </w:rPr>
        <w:t xml:space="preserve"> provides a fitting example of how constitutional values impact and guide the various activities of the </w:t>
      </w:r>
      <w:r w:rsidR="00E57201">
        <w:rPr>
          <w:rFonts w:eastAsiaTheme="minorHAnsi"/>
          <w:lang w:val="en-ZA"/>
        </w:rPr>
        <w:t>S</w:t>
      </w:r>
      <w:r w:rsidR="00BE4C38" w:rsidRPr="00BE4C38">
        <w:rPr>
          <w:rFonts w:eastAsiaTheme="minorHAnsi"/>
          <w:lang w:val="en-ZA"/>
        </w:rPr>
        <w:t>tate</w:t>
      </w:r>
      <w:r w:rsidR="00E57201">
        <w:rPr>
          <w:rFonts w:eastAsiaTheme="minorHAnsi"/>
          <w:lang w:val="en-ZA"/>
        </w:rPr>
        <w:t>.</w:t>
      </w:r>
      <w:r w:rsidR="00BE4C38" w:rsidRPr="00BE4C38">
        <w:rPr>
          <w:rFonts w:eastAsiaTheme="minorHAnsi"/>
          <w:bCs/>
          <w:iCs/>
          <w:lang w:val="en-US"/>
        </w:rPr>
        <w:t xml:space="preserve"> </w:t>
      </w:r>
      <w:r w:rsidR="00BE4C38" w:rsidRPr="00BE4C38">
        <w:rPr>
          <w:rFonts w:eastAsiaTheme="minorHAnsi"/>
          <w:bCs/>
          <w:iCs/>
          <w:lang w:val="en-ZA"/>
        </w:rPr>
        <w:t xml:space="preserve">In this case, the Constitutional Court </w:t>
      </w:r>
      <w:r w:rsidR="00BE4C38" w:rsidRPr="00BE4C38">
        <w:rPr>
          <w:rFonts w:eastAsiaTheme="minorHAnsi"/>
          <w:bCs/>
          <w:iCs/>
          <w:lang w:val="en-US"/>
        </w:rPr>
        <w:t>clarified some aspects of extradition, as well as some relating to deportation and sojourn in South Africa. The Court held that – “</w:t>
      </w:r>
      <w:r w:rsidR="00BE4C38" w:rsidRPr="00BE4C38">
        <w:rPr>
          <w:rFonts w:eastAsiaTheme="minorHAnsi"/>
          <w:bCs/>
          <w:i/>
          <w:iCs/>
          <w:lang w:val="en-ZA"/>
        </w:rPr>
        <w:t>If we as a society or the State hand somebody over to another State where he will face the real risk of the death penalty, we fail to protect, respect and promote the right to life, the right to human dignity and the right not to be subjected to cruel, inhuman or degrading treatment or punishment of that person, all of which are rights our Constitution confers on everyone.”</w:t>
      </w:r>
      <w:r w:rsidR="006E311C" w:rsidRPr="00F46244">
        <w:rPr>
          <w:rStyle w:val="EndnoteReference"/>
          <w:rFonts w:eastAsiaTheme="minorHAnsi"/>
          <w:bCs/>
          <w:iCs/>
          <w:lang w:val="en-ZA"/>
        </w:rPr>
        <w:endnoteReference w:id="26"/>
      </w:r>
    </w:p>
    <w:p w:rsidR="00BE4C38" w:rsidRPr="00BE4C38" w:rsidRDefault="00CB63BB" w:rsidP="00BE4C38">
      <w:pPr>
        <w:pStyle w:val="SingleTxtG"/>
        <w:rPr>
          <w:rFonts w:eastAsiaTheme="minorHAnsi"/>
          <w:lang w:val="en-ZA"/>
        </w:rPr>
      </w:pPr>
      <w:r>
        <w:rPr>
          <w:rFonts w:eastAsiaTheme="minorHAnsi"/>
          <w:lang w:val="en-ZA"/>
        </w:rPr>
        <w:t>79.</w:t>
      </w:r>
      <w:r>
        <w:rPr>
          <w:rFonts w:eastAsiaTheme="minorHAnsi"/>
          <w:lang w:val="en-ZA"/>
        </w:rPr>
        <w:tab/>
      </w:r>
      <w:r w:rsidR="00BE4C38" w:rsidRPr="00BE4C38">
        <w:rPr>
          <w:rFonts w:eastAsiaTheme="minorHAnsi"/>
          <w:lang w:val="en-ZA"/>
        </w:rPr>
        <w:t xml:space="preserve">South African courts also pronounced on the realisation of various socio-economic rights. For example, </w:t>
      </w:r>
      <w:r w:rsidR="00BE4C38" w:rsidRPr="00BE4C38">
        <w:rPr>
          <w:rFonts w:eastAsiaTheme="minorHAnsi"/>
        </w:rPr>
        <w:t>during the period under review, important court decisions contributed to improve the realisation of the right to education. The judgment in</w:t>
      </w:r>
      <w:r w:rsidR="00BE4C38" w:rsidRPr="00BE4C38">
        <w:rPr>
          <w:rFonts w:eastAsiaTheme="minorHAnsi"/>
          <w:i/>
        </w:rPr>
        <w:t xml:space="preserve"> The Governing Body of </w:t>
      </w:r>
      <w:proofErr w:type="spellStart"/>
      <w:r w:rsidR="00BE4C38" w:rsidRPr="00BE4C38">
        <w:rPr>
          <w:rFonts w:eastAsiaTheme="minorHAnsi"/>
          <w:i/>
        </w:rPr>
        <w:t>Rivonia</w:t>
      </w:r>
      <w:proofErr w:type="spellEnd"/>
      <w:r w:rsidR="00BE4C38" w:rsidRPr="00BE4C38">
        <w:rPr>
          <w:rFonts w:eastAsiaTheme="minorHAnsi"/>
          <w:i/>
        </w:rPr>
        <w:t xml:space="preserve"> Primary School v The MEC of the Gauteng Department of Education</w:t>
      </w:r>
      <w:r w:rsidR="006E311C" w:rsidRPr="00F46244">
        <w:rPr>
          <w:rStyle w:val="EndnoteReference"/>
          <w:rFonts w:eastAsiaTheme="minorHAnsi"/>
        </w:rPr>
        <w:endnoteReference w:id="27"/>
      </w:r>
      <w:r w:rsidR="00BE4C38" w:rsidRPr="00BE4C38">
        <w:rPr>
          <w:rFonts w:eastAsiaTheme="minorHAnsi"/>
          <w:i/>
        </w:rPr>
        <w:t xml:space="preserve"> </w:t>
      </w:r>
      <w:r w:rsidR="00BE4C38" w:rsidRPr="00BE4C38">
        <w:rPr>
          <w:rFonts w:eastAsiaTheme="minorHAnsi"/>
        </w:rPr>
        <w:t xml:space="preserve">highlights the continued racial disparities </w:t>
      </w:r>
      <w:r>
        <w:rPr>
          <w:rFonts w:eastAsiaTheme="minorHAnsi"/>
        </w:rPr>
        <w:t xml:space="preserve">in our schooling system, where </w:t>
      </w:r>
      <w:r w:rsidR="00BE4C38" w:rsidRPr="00BE4C38">
        <w:rPr>
          <w:rFonts w:eastAsiaTheme="minorHAnsi"/>
        </w:rPr>
        <w:t>the court held that school governing bodies may not have an unqualified power to decide upon the admission policy to public schools.</w:t>
      </w:r>
      <w:r w:rsidR="00BE4C38" w:rsidRPr="00BE4C38">
        <w:rPr>
          <w:rFonts w:eastAsiaTheme="minorHAnsi"/>
          <w:lang w:val="en-ZA"/>
        </w:rPr>
        <w:t xml:space="preserve"> In the case of</w:t>
      </w:r>
      <w:r w:rsidR="00BE4C38" w:rsidRPr="00BE4C38">
        <w:rPr>
          <w:rFonts w:eastAsiaTheme="minorHAnsi"/>
          <w:i/>
          <w:lang w:val="en-ZA"/>
        </w:rPr>
        <w:t xml:space="preserve"> Head of Department, Department of Education, Free State Province v Welkom High School; Head of Department, Department of Education, Free State Province v Harmony High School</w:t>
      </w:r>
      <w:r w:rsidR="006E311C" w:rsidRPr="00F46244">
        <w:rPr>
          <w:rStyle w:val="EndnoteReference"/>
          <w:rFonts w:eastAsiaTheme="minorHAnsi"/>
          <w:lang w:val="en-ZA"/>
        </w:rPr>
        <w:endnoteReference w:id="28"/>
      </w:r>
      <w:r w:rsidR="00DC331F" w:rsidRPr="00F46244">
        <w:rPr>
          <w:rFonts w:eastAsiaTheme="minorHAnsi"/>
          <w:lang w:val="en-ZA"/>
        </w:rPr>
        <w:t>,</w:t>
      </w:r>
      <w:r w:rsidR="00BE4C38" w:rsidRPr="00BE4C38">
        <w:rPr>
          <w:rFonts w:eastAsiaTheme="minorHAnsi"/>
          <w:i/>
          <w:lang w:val="en-ZA"/>
        </w:rPr>
        <w:t xml:space="preserve"> </w:t>
      </w:r>
      <w:r w:rsidR="00BE4C38" w:rsidRPr="00BE4C38">
        <w:rPr>
          <w:rFonts w:eastAsiaTheme="minorHAnsi"/>
          <w:lang w:val="en-ZA"/>
        </w:rPr>
        <w:t>the Court considered the rights of pregnant learners and policies which state that pregnant learners must be absent from school for a certain period of time.</w:t>
      </w:r>
      <w:r w:rsidR="006E311C">
        <w:rPr>
          <w:rStyle w:val="EndnoteReference"/>
          <w:rFonts w:eastAsiaTheme="minorHAnsi"/>
          <w:lang w:val="en-ZA"/>
        </w:rPr>
        <w:endnoteReference w:id="29"/>
      </w:r>
      <w:r w:rsidR="00BE4C38" w:rsidRPr="00BE4C38">
        <w:rPr>
          <w:rFonts w:eastAsiaTheme="minorHAnsi"/>
          <w:lang w:val="en-ZA"/>
        </w:rPr>
        <w:t xml:space="preserve"> The Court held that these policies violate pregnant learners’ constitutional rights and therefore ordered</w:t>
      </w:r>
      <w:r>
        <w:rPr>
          <w:rFonts w:eastAsiaTheme="minorHAnsi"/>
          <w:lang w:val="en-ZA"/>
        </w:rPr>
        <w:t xml:space="preserve"> that the policies be reviewed.</w:t>
      </w:r>
    </w:p>
    <w:p w:rsidR="00BE4C38" w:rsidRPr="00BE4C38" w:rsidRDefault="00CB63BB" w:rsidP="00CB63BB">
      <w:pPr>
        <w:pStyle w:val="H1G"/>
        <w:rPr>
          <w:rFonts w:eastAsiaTheme="minorHAnsi"/>
          <w:lang w:val="en-ZA"/>
        </w:rPr>
      </w:pPr>
      <w:bookmarkStart w:id="4" w:name="_Toc473904010"/>
      <w:r>
        <w:rPr>
          <w:rFonts w:eastAsiaTheme="minorHAnsi"/>
          <w:lang w:val="en-ZA"/>
        </w:rPr>
        <w:tab/>
      </w:r>
      <w:r>
        <w:rPr>
          <w:rFonts w:eastAsiaTheme="minorHAnsi"/>
          <w:lang w:val="en-ZA"/>
        </w:rPr>
        <w:tab/>
      </w:r>
      <w:r w:rsidR="00BE4C38" w:rsidRPr="00BE4C38">
        <w:rPr>
          <w:rFonts w:eastAsiaTheme="minorHAnsi"/>
          <w:lang w:val="en-ZA"/>
        </w:rPr>
        <w:t>Human rights institutions</w:t>
      </w:r>
      <w:bookmarkEnd w:id="4"/>
    </w:p>
    <w:p w:rsidR="00BE4C38" w:rsidRPr="00BE4C38" w:rsidRDefault="00CB63BB" w:rsidP="00BE4C38">
      <w:pPr>
        <w:pStyle w:val="SingleTxtG"/>
        <w:rPr>
          <w:rFonts w:eastAsiaTheme="minorHAnsi"/>
          <w:lang w:val="en-ZA"/>
        </w:rPr>
      </w:pPr>
      <w:r>
        <w:rPr>
          <w:rFonts w:eastAsiaTheme="minorHAnsi"/>
          <w:lang w:val="en-ZA"/>
        </w:rPr>
        <w:t>80.</w:t>
      </w:r>
      <w:r>
        <w:rPr>
          <w:rFonts w:eastAsiaTheme="minorHAnsi"/>
          <w:lang w:val="en-ZA"/>
        </w:rPr>
        <w:tab/>
      </w:r>
      <w:r w:rsidR="00BE4C38" w:rsidRPr="00BE4C38">
        <w:rPr>
          <w:rFonts w:eastAsiaTheme="minorHAnsi"/>
          <w:lang w:val="en-ZA"/>
        </w:rPr>
        <w:t xml:space="preserve">Several institutions have been established to support the realisation of human rights in South Africa. Chapter 9 of the Constitution creates various </w:t>
      </w:r>
      <w:r w:rsidR="00A41AB0">
        <w:rPr>
          <w:rFonts w:eastAsiaTheme="minorHAnsi"/>
          <w:b/>
          <w:lang w:val="en-ZA"/>
        </w:rPr>
        <w:t>S</w:t>
      </w:r>
      <w:r w:rsidR="00BE4C38" w:rsidRPr="00F46244">
        <w:rPr>
          <w:rFonts w:eastAsiaTheme="minorHAnsi"/>
          <w:b/>
          <w:lang w:val="en-ZA"/>
        </w:rPr>
        <w:t>tate institutions supporting constitutional democracy</w:t>
      </w:r>
      <w:r w:rsidR="00BE4C38" w:rsidRPr="00BE4C38">
        <w:rPr>
          <w:rFonts w:eastAsiaTheme="minorHAnsi"/>
          <w:lang w:val="en-ZA"/>
        </w:rPr>
        <w:t>. These bodies include the South African Human Rights Commission (SAHRC) which is tasked with promoting respect for human rights and a culture of human rights, promoting the protection, development and attainment of human rights and monitor</w:t>
      </w:r>
      <w:r w:rsidR="00A41AB0">
        <w:rPr>
          <w:rFonts w:eastAsiaTheme="minorHAnsi"/>
          <w:lang w:val="en-ZA"/>
        </w:rPr>
        <w:t>ing</w:t>
      </w:r>
      <w:r w:rsidR="00BE4C38" w:rsidRPr="00BE4C38">
        <w:rPr>
          <w:rFonts w:eastAsiaTheme="minorHAnsi"/>
          <w:lang w:val="en-ZA"/>
        </w:rPr>
        <w:t xml:space="preserve"> and assess</w:t>
      </w:r>
      <w:r w:rsidR="00A41AB0">
        <w:rPr>
          <w:rFonts w:eastAsiaTheme="minorHAnsi"/>
          <w:lang w:val="en-ZA"/>
        </w:rPr>
        <w:t>ing</w:t>
      </w:r>
      <w:r w:rsidR="00BE4C38" w:rsidRPr="00BE4C38">
        <w:rPr>
          <w:rFonts w:eastAsiaTheme="minorHAnsi"/>
          <w:lang w:val="en-ZA"/>
        </w:rPr>
        <w:t xml:space="preserve"> the observance o</w:t>
      </w:r>
      <w:r>
        <w:rPr>
          <w:rFonts w:eastAsiaTheme="minorHAnsi"/>
          <w:lang w:val="en-ZA"/>
        </w:rPr>
        <w:t xml:space="preserve">f human rights in the country. </w:t>
      </w:r>
      <w:r w:rsidR="00BE4C38" w:rsidRPr="00BE4C38">
        <w:rPr>
          <w:rFonts w:eastAsiaTheme="minorHAnsi"/>
          <w:lang w:val="en-ZA"/>
        </w:rPr>
        <w:t xml:space="preserve">The SAHRC is an independent body and accountable only to Parliament. The SAHRC is enjoined to annually require relevant organs of </w:t>
      </w:r>
      <w:r w:rsidR="00A41AB0">
        <w:rPr>
          <w:rFonts w:eastAsiaTheme="minorHAnsi"/>
          <w:lang w:val="en-ZA"/>
        </w:rPr>
        <w:t>S</w:t>
      </w:r>
      <w:r w:rsidR="00BE4C38" w:rsidRPr="00BE4C38">
        <w:rPr>
          <w:rFonts w:eastAsiaTheme="minorHAnsi"/>
          <w:lang w:val="en-ZA"/>
        </w:rPr>
        <w:t>tate to provide it with information on the measures taken towards the realisation of rights concerning housing, health care, food, water, social security, education and the environment. Other bodies include the Commission on Gender Equality (CGE), the Public Protector and the Commission for the Promotion and Protection of the Rights of Cultural, Religious and Linguistic Communities.</w:t>
      </w:r>
    </w:p>
    <w:p w:rsidR="00BE4C38" w:rsidRPr="00BE4C38" w:rsidRDefault="00CB63BB" w:rsidP="00CB63BB">
      <w:pPr>
        <w:pStyle w:val="H1G"/>
        <w:rPr>
          <w:rFonts w:eastAsiaTheme="minorHAnsi"/>
          <w:lang w:val="en-ZA"/>
        </w:rPr>
      </w:pPr>
      <w:bookmarkStart w:id="5" w:name="_Toc473904011"/>
      <w:r>
        <w:rPr>
          <w:rFonts w:eastAsiaTheme="minorHAnsi"/>
          <w:lang w:val="en-ZA"/>
        </w:rPr>
        <w:tab/>
      </w:r>
      <w:r>
        <w:rPr>
          <w:rFonts w:eastAsiaTheme="minorHAnsi"/>
          <w:lang w:val="en-ZA"/>
        </w:rPr>
        <w:tab/>
      </w:r>
      <w:r w:rsidR="00BE4C38" w:rsidRPr="00BE4C38">
        <w:rPr>
          <w:rFonts w:eastAsiaTheme="minorHAnsi"/>
          <w:lang w:val="en-ZA"/>
        </w:rPr>
        <w:t>Human rights infrastructure</w:t>
      </w:r>
      <w:bookmarkEnd w:id="5"/>
    </w:p>
    <w:p w:rsidR="00BE4C38" w:rsidRPr="00BE4C38" w:rsidRDefault="00CB63BB" w:rsidP="00BE4C38">
      <w:pPr>
        <w:pStyle w:val="SingleTxtG"/>
        <w:rPr>
          <w:rFonts w:eastAsiaTheme="minorHAnsi"/>
          <w:lang w:val="en-ZA"/>
        </w:rPr>
      </w:pPr>
      <w:r>
        <w:rPr>
          <w:rFonts w:eastAsiaTheme="minorHAnsi"/>
          <w:lang w:val="en-ZA"/>
        </w:rPr>
        <w:t>81.</w:t>
      </w:r>
      <w:r>
        <w:rPr>
          <w:rFonts w:eastAsiaTheme="minorHAnsi"/>
          <w:lang w:val="en-ZA"/>
        </w:rPr>
        <w:tab/>
      </w:r>
      <w:r w:rsidR="008D2067">
        <w:rPr>
          <w:rFonts w:eastAsiaTheme="minorHAnsi"/>
          <w:lang w:val="en-ZA"/>
        </w:rPr>
        <w:t xml:space="preserve">The </w:t>
      </w:r>
      <w:r w:rsidR="00BE4C38" w:rsidRPr="00BE4C38">
        <w:rPr>
          <w:rFonts w:eastAsiaTheme="minorHAnsi"/>
          <w:lang w:val="en-ZA"/>
        </w:rPr>
        <w:t xml:space="preserve">Government recognises civil society is an important stakeholder in its quest to deepen democracy in South Africa. Defined as operating outside of the </w:t>
      </w:r>
      <w:r w:rsidR="008D2067">
        <w:rPr>
          <w:rFonts w:eastAsiaTheme="minorHAnsi"/>
          <w:lang w:val="en-ZA"/>
        </w:rPr>
        <w:t>S</w:t>
      </w:r>
      <w:r w:rsidR="00BE4C38" w:rsidRPr="00BE4C38">
        <w:rPr>
          <w:rFonts w:eastAsiaTheme="minorHAnsi"/>
          <w:lang w:val="en-ZA"/>
        </w:rPr>
        <w:t>tate and independent of the market, civil society is often referred to as the third sector. Civil society organisations (CSOs) are varied in their character and in their purpose. However, there is a common thread that holds them together, which is that they exist in public life to promote public good. In fact, the strength of a country’s civil society is often used as a measure to determine the strength of its democracy – this is also true of South Africa, which has dynamic and vibrant civil society organisations across various sectors.</w:t>
      </w:r>
    </w:p>
    <w:p w:rsidR="00BE4C38" w:rsidRPr="00BE4C38" w:rsidRDefault="00CB63BB" w:rsidP="00BE4C38">
      <w:pPr>
        <w:pStyle w:val="SingleTxtG"/>
        <w:rPr>
          <w:rFonts w:eastAsiaTheme="minorHAnsi"/>
          <w:lang w:val="en-ZA"/>
        </w:rPr>
      </w:pPr>
      <w:r>
        <w:rPr>
          <w:rFonts w:eastAsiaTheme="minorHAnsi"/>
          <w:lang w:val="en-ZA"/>
        </w:rPr>
        <w:t>82.</w:t>
      </w:r>
      <w:r>
        <w:rPr>
          <w:rFonts w:eastAsiaTheme="minorHAnsi"/>
          <w:lang w:val="en-ZA"/>
        </w:rPr>
        <w:tab/>
      </w:r>
      <w:r w:rsidR="008D2067">
        <w:rPr>
          <w:rFonts w:eastAsiaTheme="minorHAnsi"/>
          <w:lang w:val="en-ZA"/>
        </w:rPr>
        <w:t xml:space="preserve">The </w:t>
      </w:r>
      <w:r w:rsidR="00BE4C38" w:rsidRPr="00BE4C38">
        <w:rPr>
          <w:rFonts w:eastAsiaTheme="minorHAnsi"/>
          <w:lang w:val="en-ZA"/>
        </w:rPr>
        <w:t>Government always aims to include civil society role-players as much as possible in processes to provide input on Government programmes, draft legislation and policy as well as in general consultation. There has also been meaningful engagement on this issue with various court cases affirming the obligation of Parliament to facilitate public participation in legislative processes at all levels.</w:t>
      </w:r>
      <w:r w:rsidR="006E311C">
        <w:rPr>
          <w:rStyle w:val="EndnoteReference"/>
          <w:rFonts w:eastAsiaTheme="minorHAnsi"/>
          <w:lang w:val="en-ZA"/>
        </w:rPr>
        <w:endnoteReference w:id="30"/>
      </w:r>
      <w:r w:rsidR="00BE4C38" w:rsidRPr="00BE4C38">
        <w:rPr>
          <w:rFonts w:eastAsiaTheme="minorHAnsi"/>
          <w:lang w:val="en-ZA"/>
        </w:rPr>
        <w:t xml:space="preserve"> Some examples of successful civil society involvement include the National Task Team on LGBTI Rights, the draft National Action Plan against Racism, Xenophobia and Related Intolerance, a Reference Group on the Traditional Courts Bill and various programmes to increase constitutional r</w:t>
      </w:r>
      <w:r>
        <w:rPr>
          <w:rFonts w:eastAsiaTheme="minorHAnsi"/>
          <w:lang w:val="en-ZA"/>
        </w:rPr>
        <w:t>ights awareness and education.</w:t>
      </w:r>
    </w:p>
    <w:p w:rsidR="00BE4C38" w:rsidRPr="00BE4C38" w:rsidRDefault="00CB63BB" w:rsidP="00CB63BB">
      <w:pPr>
        <w:pStyle w:val="H1G"/>
        <w:rPr>
          <w:rFonts w:eastAsiaTheme="minorHAnsi"/>
          <w:lang w:val="en-ZA"/>
        </w:rPr>
      </w:pPr>
      <w:bookmarkStart w:id="6" w:name="_Toc473904012"/>
      <w:r>
        <w:rPr>
          <w:rFonts w:eastAsiaTheme="minorHAnsi"/>
          <w:lang w:val="en-ZA"/>
        </w:rPr>
        <w:tab/>
      </w:r>
      <w:r>
        <w:rPr>
          <w:rFonts w:eastAsiaTheme="minorHAnsi"/>
          <w:lang w:val="en-ZA"/>
        </w:rPr>
        <w:tab/>
      </w:r>
      <w:r w:rsidR="00BE4C38" w:rsidRPr="00BE4C38">
        <w:rPr>
          <w:rFonts w:eastAsiaTheme="minorHAnsi"/>
          <w:lang w:val="en-ZA"/>
        </w:rPr>
        <w:t>International obligations</w:t>
      </w:r>
      <w:bookmarkEnd w:id="6"/>
    </w:p>
    <w:p w:rsidR="00BE4C38" w:rsidRPr="00BE4C38" w:rsidRDefault="00CB63BB" w:rsidP="00BE4C38">
      <w:pPr>
        <w:pStyle w:val="SingleTxtG"/>
        <w:rPr>
          <w:rFonts w:eastAsiaTheme="minorHAnsi"/>
          <w:lang w:val="en-ZA"/>
        </w:rPr>
      </w:pPr>
      <w:r>
        <w:rPr>
          <w:rFonts w:eastAsiaTheme="minorHAnsi"/>
          <w:lang w:val="en-US"/>
        </w:rPr>
        <w:t>83.</w:t>
      </w:r>
      <w:r>
        <w:rPr>
          <w:rFonts w:eastAsiaTheme="minorHAnsi"/>
          <w:lang w:val="en-US"/>
        </w:rPr>
        <w:tab/>
      </w:r>
      <w:r w:rsidR="00BE4C38" w:rsidRPr="00BE4C38">
        <w:rPr>
          <w:rFonts w:eastAsiaTheme="minorHAnsi"/>
          <w:lang w:val="en-US"/>
        </w:rPr>
        <w:t xml:space="preserve">South Africa ratified the International Covenant on Economic, Social and Cultural Rights (ICESCR) on 12 January 2015. Ratifying the Covenant represents an important step forward, giving the ICESCR greater force in domestic law. South Africa’s ratification of the Covenant will deepen the enforcement of socio-economic rights in the country. South Africa has duly submitted </w:t>
      </w:r>
      <w:r w:rsidR="00BE4C38" w:rsidRPr="00BE4C38">
        <w:rPr>
          <w:rFonts w:eastAsiaTheme="minorHAnsi"/>
          <w:lang w:val="en-ZA"/>
        </w:rPr>
        <w:t>a number of other country reports in compliance with its reporting obligations.</w:t>
      </w:r>
      <w:r w:rsidR="006E311C">
        <w:rPr>
          <w:rStyle w:val="EndnoteReference"/>
          <w:rFonts w:eastAsiaTheme="minorHAnsi"/>
          <w:lang w:val="en-ZA"/>
        </w:rPr>
        <w:endnoteReference w:id="31"/>
      </w:r>
      <w:r w:rsidR="00BE4C38" w:rsidRPr="00BE4C38">
        <w:rPr>
          <w:rFonts w:eastAsiaTheme="minorHAnsi"/>
          <w:lang w:val="en-ZA"/>
        </w:rPr>
        <w:t xml:space="preserve"> South Africa is due to submit its country repo</w:t>
      </w:r>
      <w:r>
        <w:rPr>
          <w:rFonts w:eastAsiaTheme="minorHAnsi"/>
          <w:lang w:val="en-ZA"/>
        </w:rPr>
        <w:t>rt on the ICESCR in April 2017.</w:t>
      </w:r>
    </w:p>
    <w:p w:rsidR="00BE4C38" w:rsidRPr="00BE4C38" w:rsidRDefault="00CB63BB" w:rsidP="00BE4C38">
      <w:pPr>
        <w:pStyle w:val="SingleTxtG"/>
        <w:rPr>
          <w:rFonts w:eastAsiaTheme="minorHAnsi"/>
          <w:lang w:val="en-ZA"/>
        </w:rPr>
      </w:pPr>
      <w:r>
        <w:rPr>
          <w:rFonts w:eastAsiaTheme="minorHAnsi"/>
          <w:lang w:val="en-ZA"/>
        </w:rPr>
        <w:t>84.</w:t>
      </w:r>
      <w:r>
        <w:rPr>
          <w:rFonts w:eastAsiaTheme="minorHAnsi"/>
          <w:lang w:val="en-ZA"/>
        </w:rPr>
        <w:tab/>
      </w:r>
      <w:r w:rsidR="00BE4C38" w:rsidRPr="00BE4C38">
        <w:rPr>
          <w:rFonts w:eastAsiaTheme="minorHAnsi"/>
          <w:lang w:val="en-ZA"/>
        </w:rPr>
        <w:t>In addition to the foregoing, South Africa has also made a number of key commitments at the sub-regional, continental and international levels on promoting human rights, including the promoting of women’s empowerment and achieving gender equality.</w:t>
      </w:r>
      <w:r w:rsidR="006E311C">
        <w:rPr>
          <w:rStyle w:val="EndnoteReference"/>
          <w:rFonts w:eastAsiaTheme="minorHAnsi"/>
          <w:lang w:val="en-ZA"/>
        </w:rPr>
        <w:endnoteReference w:id="32"/>
      </w:r>
    </w:p>
    <w:p w:rsidR="00CB63BB" w:rsidRDefault="00CB63BB" w:rsidP="00CB63BB">
      <w:pPr>
        <w:pStyle w:val="HChG"/>
        <w:rPr>
          <w:rFonts w:eastAsiaTheme="minorHAnsi"/>
          <w:lang w:val="en-ZA"/>
        </w:rPr>
      </w:pPr>
      <w:bookmarkStart w:id="7" w:name="_Toc473904013"/>
      <w:r>
        <w:rPr>
          <w:rFonts w:eastAsiaTheme="minorHAnsi"/>
          <w:lang w:val="en-ZA"/>
        </w:rPr>
        <w:tab/>
        <w:t>III.</w:t>
      </w:r>
      <w:r>
        <w:rPr>
          <w:rFonts w:eastAsiaTheme="minorHAnsi"/>
          <w:lang w:val="en-ZA"/>
        </w:rPr>
        <w:tab/>
        <w:t>Promotion and protection of human rights</w:t>
      </w:r>
    </w:p>
    <w:bookmarkEnd w:id="7"/>
    <w:p w:rsidR="00BE4C38" w:rsidRPr="00BE4C38" w:rsidRDefault="00CB63BB" w:rsidP="00BE4C38">
      <w:pPr>
        <w:pStyle w:val="SingleTxtG"/>
        <w:rPr>
          <w:rFonts w:eastAsiaTheme="minorHAnsi"/>
          <w:bCs/>
          <w:lang w:val="en-ZA"/>
        </w:rPr>
      </w:pPr>
      <w:r>
        <w:rPr>
          <w:rFonts w:eastAsiaTheme="minorHAnsi"/>
          <w:lang w:val="en-ZA"/>
        </w:rPr>
        <w:t>85.</w:t>
      </w:r>
      <w:r>
        <w:rPr>
          <w:rFonts w:eastAsiaTheme="minorHAnsi"/>
          <w:lang w:val="en-ZA"/>
        </w:rPr>
        <w:tab/>
      </w:r>
      <w:r w:rsidR="00BE4C38" w:rsidRPr="00BE4C38">
        <w:rPr>
          <w:rFonts w:eastAsiaTheme="minorHAnsi"/>
          <w:lang w:val="en-ZA"/>
        </w:rPr>
        <w:t xml:space="preserve">South Africa has strong constitutional protections for human rights, yet the real test lies in implementation. The challenge lies in ensuring that the guarantees and aspirations of the Constitution are not mere promises on paper, but become a daily reality in the lives of people. </w:t>
      </w:r>
      <w:r w:rsidR="00BE4C38" w:rsidRPr="00BE4C38">
        <w:rPr>
          <w:rFonts w:eastAsiaTheme="minorHAnsi"/>
          <w:bCs/>
          <w:lang w:val="en-ZA"/>
        </w:rPr>
        <w:t xml:space="preserve">The delivery and protection of human rights takes place across the 3 Branches of the State, with all of them playing a pivotal role in giving meaning and content to these rights. </w:t>
      </w:r>
      <w:proofErr w:type="gramStart"/>
      <w:r w:rsidR="00BE4C38" w:rsidRPr="00BE4C38">
        <w:rPr>
          <w:rFonts w:eastAsiaTheme="minorHAnsi"/>
          <w:bCs/>
          <w:lang w:val="en-ZA"/>
        </w:rPr>
        <w:t>The Executive, through various policies, programmes and administrative measures; the Legislature through laws and the Judiciary through its jurisprudence.</w:t>
      </w:r>
      <w:proofErr w:type="gramEnd"/>
      <w:r w:rsidR="00BE4C38" w:rsidRPr="00BE4C38">
        <w:rPr>
          <w:rFonts w:eastAsiaTheme="minorHAnsi"/>
          <w:bCs/>
          <w:lang w:val="en-ZA"/>
        </w:rPr>
        <w:t xml:space="preserve"> Outside the 3 Branches of the </w:t>
      </w:r>
      <w:r w:rsidR="007E2690">
        <w:rPr>
          <w:rFonts w:eastAsiaTheme="minorHAnsi"/>
          <w:bCs/>
          <w:lang w:val="en-ZA"/>
        </w:rPr>
        <w:t>S</w:t>
      </w:r>
      <w:r w:rsidR="00BE4C38" w:rsidRPr="00BE4C38">
        <w:rPr>
          <w:rFonts w:eastAsiaTheme="minorHAnsi"/>
          <w:bCs/>
          <w:lang w:val="en-ZA"/>
        </w:rPr>
        <w:t xml:space="preserve">tate, civil society is </w:t>
      </w:r>
      <w:r w:rsidR="007E2690">
        <w:rPr>
          <w:rFonts w:eastAsiaTheme="minorHAnsi"/>
          <w:bCs/>
          <w:lang w:val="en-ZA"/>
        </w:rPr>
        <w:t xml:space="preserve">the </w:t>
      </w:r>
      <w:r w:rsidR="00BE4C38" w:rsidRPr="00BE4C38">
        <w:rPr>
          <w:rFonts w:eastAsiaTheme="minorHAnsi"/>
          <w:bCs/>
          <w:iCs/>
        </w:rPr>
        <w:t>Government’s most important partner in the quest for acc</w:t>
      </w:r>
      <w:r>
        <w:rPr>
          <w:rFonts w:eastAsiaTheme="minorHAnsi"/>
          <w:bCs/>
          <w:iCs/>
        </w:rPr>
        <w:t>essible justice in the country.</w:t>
      </w:r>
    </w:p>
    <w:p w:rsidR="00BE4C38" w:rsidRPr="00BE4C38" w:rsidRDefault="00CB63BB" w:rsidP="00BE4C38">
      <w:pPr>
        <w:pStyle w:val="SingleTxtG"/>
        <w:rPr>
          <w:rFonts w:eastAsiaTheme="minorHAnsi"/>
          <w:lang w:val="en-ZA"/>
        </w:rPr>
      </w:pPr>
      <w:r>
        <w:rPr>
          <w:rFonts w:eastAsiaTheme="minorHAnsi"/>
          <w:lang w:val="en-ZA"/>
        </w:rPr>
        <w:t>86.</w:t>
      </w:r>
      <w:r>
        <w:rPr>
          <w:rFonts w:eastAsiaTheme="minorHAnsi"/>
          <w:lang w:val="en-ZA"/>
        </w:rPr>
        <w:tab/>
      </w:r>
      <w:r w:rsidR="00BE4C38" w:rsidRPr="00BE4C38">
        <w:rPr>
          <w:rFonts w:eastAsiaTheme="minorHAnsi"/>
          <w:lang w:val="en-ZA"/>
        </w:rPr>
        <w:t xml:space="preserve">South Africa is committed to constitutional rights awareness and education. </w:t>
      </w:r>
      <w:r w:rsidR="00C75EC3">
        <w:rPr>
          <w:rFonts w:eastAsiaTheme="minorHAnsi"/>
          <w:lang w:val="en-ZA"/>
        </w:rPr>
        <w:t xml:space="preserve">The </w:t>
      </w:r>
      <w:r w:rsidR="00BE4C38" w:rsidRPr="00BE4C38">
        <w:rPr>
          <w:rFonts w:eastAsiaTheme="minorHAnsi"/>
          <w:lang w:val="en-ZA"/>
        </w:rPr>
        <w:t xml:space="preserve">Government’s Socio Economic Justice for All (SEJA) programme is informed by the goals of the National Development Plan, being among others, to create a more informed citizenry in an environment where citizens are not afraid to take up their rights. SEJA seeks to promote the realisation of socio-economic rights, particularly for vulnerable and marginalised groups in South Africa. It aims to assist </w:t>
      </w:r>
      <w:r w:rsidR="00C75EC3">
        <w:rPr>
          <w:rFonts w:eastAsiaTheme="minorHAnsi"/>
          <w:lang w:val="en-ZA"/>
        </w:rPr>
        <w:t xml:space="preserve">the </w:t>
      </w:r>
      <w:r w:rsidR="00BE4C38" w:rsidRPr="00BE4C38">
        <w:rPr>
          <w:rFonts w:eastAsiaTheme="minorHAnsi"/>
          <w:lang w:val="en-ZA"/>
        </w:rPr>
        <w:t>Government in eradicating poverty, promoting sustainability and improving democratic and economic governance delivery on socio-economic rights in compliance with the Constitution.</w:t>
      </w:r>
      <w:r w:rsidR="006E311C">
        <w:rPr>
          <w:rStyle w:val="EndnoteReference"/>
          <w:rFonts w:eastAsiaTheme="minorHAnsi"/>
          <w:lang w:val="en-ZA"/>
        </w:rPr>
        <w:endnoteReference w:id="33"/>
      </w:r>
      <w:r w:rsidR="00BE4C38" w:rsidRPr="00BE4C38">
        <w:rPr>
          <w:rFonts w:eastAsiaTheme="minorHAnsi"/>
          <w:lang w:val="en-ZA"/>
        </w:rPr>
        <w:t xml:space="preserve"> The programme provides grant funding to civil society organisations to promote awareness and access to socio-economic rights amongst vulnerable and marginalised groups. Community advice officers (CAOs) are also important, as they often serve as a person’s ‘first port of call’ for assistance with</w:t>
      </w:r>
      <w:r>
        <w:rPr>
          <w:rFonts w:eastAsiaTheme="minorHAnsi"/>
          <w:lang w:val="en-ZA"/>
        </w:rPr>
        <w:t xml:space="preserve"> matters of access to justice.</w:t>
      </w:r>
    </w:p>
    <w:p w:rsidR="00BE4C38" w:rsidRPr="00BE4C38" w:rsidRDefault="00E97F19" w:rsidP="00BE4C38">
      <w:pPr>
        <w:pStyle w:val="SingleTxtG"/>
        <w:rPr>
          <w:rFonts w:eastAsiaTheme="minorHAnsi"/>
          <w:lang w:val="en-ZA"/>
        </w:rPr>
      </w:pPr>
      <w:r>
        <w:rPr>
          <w:rFonts w:eastAsiaTheme="minorHAnsi"/>
        </w:rPr>
        <w:t>87.</w:t>
      </w:r>
      <w:r>
        <w:rPr>
          <w:rFonts w:eastAsiaTheme="minorHAnsi"/>
        </w:rPr>
        <w:tab/>
      </w:r>
      <w:r w:rsidR="009D00A1">
        <w:rPr>
          <w:rFonts w:eastAsiaTheme="minorHAnsi"/>
        </w:rPr>
        <w:t xml:space="preserve">The </w:t>
      </w:r>
      <w:r w:rsidR="00BE4C38" w:rsidRPr="00BE4C38">
        <w:rPr>
          <w:rFonts w:eastAsiaTheme="minorHAnsi"/>
        </w:rPr>
        <w:t>Government runs a number of constitutional and human rights awareness campaigns focussing on constitutionalism and human rights within the context of nation-building and social cohesion.</w:t>
      </w:r>
      <w:r w:rsidR="00BE4C38" w:rsidRPr="00BE4C38">
        <w:rPr>
          <w:rFonts w:eastAsiaTheme="minorHAnsi"/>
          <w:lang w:val="en-ZA"/>
        </w:rPr>
        <w:t xml:space="preserve"> The Constitution has been translated into all of South Africa’s 11 official languages and Braille, with copies printed and distributed. A booklet called </w:t>
      </w:r>
      <w:r w:rsidR="00BE4C38" w:rsidRPr="00BE4C38">
        <w:rPr>
          <w:rFonts w:eastAsiaTheme="minorHAnsi"/>
          <w:i/>
          <w:lang w:val="en-ZA"/>
        </w:rPr>
        <w:t>The Constitution Made Easy for Learners</w:t>
      </w:r>
      <w:r w:rsidR="00BE4C38" w:rsidRPr="00BE4C38">
        <w:rPr>
          <w:rFonts w:eastAsiaTheme="minorHAnsi"/>
          <w:lang w:val="en-ZA"/>
        </w:rPr>
        <w:t xml:space="preserve"> has been distributed to learners throughout the country. Constitutionally mandated pieces of legislation</w:t>
      </w:r>
      <w:r w:rsidR="006E311C">
        <w:rPr>
          <w:rStyle w:val="EndnoteReference"/>
          <w:rFonts w:eastAsiaTheme="minorHAnsi"/>
          <w:lang w:val="en-ZA"/>
        </w:rPr>
        <w:endnoteReference w:id="34"/>
      </w:r>
      <w:r w:rsidR="00BE4C38" w:rsidRPr="00BE4C38">
        <w:rPr>
          <w:rFonts w:eastAsiaTheme="minorHAnsi"/>
          <w:lang w:val="en-ZA"/>
        </w:rPr>
        <w:t xml:space="preserve"> have been printed in booklet form in all official languages. The National School Moot Court Competition, a collaborative initiative of the Department of Justice and Constitutional Development (</w:t>
      </w:r>
      <w:proofErr w:type="spellStart"/>
      <w:r w:rsidR="00BE4C38" w:rsidRPr="00BE4C38">
        <w:rPr>
          <w:rFonts w:eastAsiaTheme="minorHAnsi"/>
          <w:lang w:val="en-ZA"/>
        </w:rPr>
        <w:t>DoJ&amp;CD</w:t>
      </w:r>
      <w:proofErr w:type="spellEnd"/>
      <w:r w:rsidR="00BE4C38" w:rsidRPr="00BE4C38">
        <w:rPr>
          <w:rFonts w:eastAsiaTheme="minorHAnsi"/>
          <w:lang w:val="en-ZA"/>
        </w:rPr>
        <w:t>), the DBE and civil society, has become extremely popular with learners and has generated so much interest that the DBE has decided to include this programme into its curriculum.</w:t>
      </w:r>
    </w:p>
    <w:p w:rsidR="00BE4C38" w:rsidRPr="00BE4C38" w:rsidRDefault="00E97F19" w:rsidP="00BE4C38">
      <w:pPr>
        <w:pStyle w:val="SingleTxtG"/>
        <w:rPr>
          <w:rFonts w:eastAsiaTheme="minorHAnsi"/>
        </w:rPr>
      </w:pPr>
      <w:r>
        <w:rPr>
          <w:rFonts w:eastAsiaTheme="minorHAnsi"/>
        </w:rPr>
        <w:t>88.</w:t>
      </w:r>
      <w:r>
        <w:rPr>
          <w:rFonts w:eastAsiaTheme="minorHAnsi"/>
        </w:rPr>
        <w:tab/>
      </w:r>
      <w:r w:rsidR="00BE4C38" w:rsidRPr="00BE4C38">
        <w:rPr>
          <w:rFonts w:eastAsiaTheme="minorHAnsi"/>
        </w:rPr>
        <w:t xml:space="preserve">South Africa annually celebrates National Human Rights Day on 21 March. </w:t>
      </w:r>
      <w:r w:rsidR="00BE4C38" w:rsidRPr="00BE4C38">
        <w:rPr>
          <w:rFonts w:eastAsiaTheme="minorHAnsi"/>
          <w:lang w:val="en-ZA"/>
        </w:rPr>
        <w:t xml:space="preserve">March month is declared “Human Rights Month in South Africa, where celebrations and public awareness campaigns are held throughout the country. </w:t>
      </w:r>
      <w:r w:rsidR="00BE4C38" w:rsidRPr="00BE4C38">
        <w:rPr>
          <w:rFonts w:eastAsiaTheme="minorHAnsi"/>
        </w:rPr>
        <w:t>The SAHRC also regularly publishes reports on general human rights issues, as well as annual reports on equality, socio-economic rights, and international human rights developments.</w:t>
      </w:r>
    </w:p>
    <w:p w:rsidR="00BE4C38" w:rsidRPr="00BE4C38" w:rsidRDefault="00E97F19" w:rsidP="00BE4C38">
      <w:pPr>
        <w:pStyle w:val="SingleTxtG"/>
        <w:rPr>
          <w:rFonts w:eastAsiaTheme="minorHAnsi"/>
          <w:lang w:val="en-ZA"/>
        </w:rPr>
      </w:pPr>
      <w:r>
        <w:rPr>
          <w:rFonts w:eastAsiaTheme="minorHAnsi"/>
          <w:lang w:val="en-ZA"/>
        </w:rPr>
        <w:t>89.</w:t>
      </w:r>
      <w:r>
        <w:rPr>
          <w:rFonts w:eastAsiaTheme="minorHAnsi"/>
          <w:lang w:val="en-ZA"/>
        </w:rPr>
        <w:tab/>
      </w:r>
      <w:r w:rsidR="009D00A1">
        <w:rPr>
          <w:rFonts w:eastAsiaTheme="minorHAnsi"/>
          <w:lang w:val="en-ZA"/>
        </w:rPr>
        <w:t xml:space="preserve">The </w:t>
      </w:r>
      <w:r w:rsidR="00BE4C38" w:rsidRPr="00BE4C38">
        <w:rPr>
          <w:rFonts w:eastAsiaTheme="minorHAnsi"/>
          <w:lang w:val="en-ZA"/>
        </w:rPr>
        <w:t xml:space="preserve">Government continues to utilise a variety of platforms in an effort to consolidate, monitor and respond swiftly to public concerns. These include the Presidential Hotline, Public Liaison Offices, outreach activities and various access points across the country, including </w:t>
      </w:r>
      <w:proofErr w:type="spellStart"/>
      <w:r w:rsidR="00BE4C38" w:rsidRPr="00BE4C38">
        <w:rPr>
          <w:rFonts w:eastAsiaTheme="minorHAnsi"/>
          <w:lang w:val="en-ZA"/>
        </w:rPr>
        <w:t>Thusong</w:t>
      </w:r>
      <w:proofErr w:type="spellEnd"/>
      <w:r w:rsidR="00BE4C38" w:rsidRPr="00BE4C38">
        <w:rPr>
          <w:rFonts w:eastAsiaTheme="minorHAnsi"/>
          <w:lang w:val="en-ZA"/>
        </w:rPr>
        <w:t xml:space="preserve"> Service Centres. The use of </w:t>
      </w:r>
      <w:proofErr w:type="spellStart"/>
      <w:r w:rsidR="00BE4C38" w:rsidRPr="00BE4C38">
        <w:rPr>
          <w:rFonts w:eastAsiaTheme="minorHAnsi"/>
          <w:i/>
          <w:iCs/>
          <w:lang w:val="en-ZA"/>
        </w:rPr>
        <w:t>izimbizo</w:t>
      </w:r>
      <w:proofErr w:type="spellEnd"/>
      <w:r w:rsidR="00BE4C38" w:rsidRPr="00BE4C38">
        <w:rPr>
          <w:rFonts w:eastAsiaTheme="minorHAnsi"/>
          <w:lang w:val="en-ZA"/>
        </w:rPr>
        <w:t xml:space="preserve"> encapsulates an active reciprocal participatory programme through which South African citizens provide feedback to Government on policy delivery. The </w:t>
      </w:r>
      <w:proofErr w:type="spellStart"/>
      <w:r w:rsidR="00BE4C38" w:rsidRPr="00BE4C38">
        <w:rPr>
          <w:rFonts w:eastAsiaTheme="minorHAnsi"/>
          <w:i/>
          <w:iCs/>
          <w:lang w:val="en-ZA"/>
        </w:rPr>
        <w:t>imbizo</w:t>
      </w:r>
      <w:proofErr w:type="spellEnd"/>
      <w:r w:rsidR="00BE4C38" w:rsidRPr="00BE4C38">
        <w:rPr>
          <w:rFonts w:eastAsiaTheme="minorHAnsi"/>
          <w:lang w:val="en-ZA"/>
        </w:rPr>
        <w:t xml:space="preserve">, in its traditional form, has constituted an important aspect of the African political system for many centuries. During the period under review, numerous </w:t>
      </w:r>
      <w:proofErr w:type="spellStart"/>
      <w:r w:rsidR="00BE4C38" w:rsidRPr="00BE4C38">
        <w:rPr>
          <w:rFonts w:eastAsiaTheme="minorHAnsi"/>
          <w:i/>
          <w:lang w:val="en-ZA"/>
        </w:rPr>
        <w:t>izimbizo</w:t>
      </w:r>
      <w:proofErr w:type="spellEnd"/>
      <w:r w:rsidR="00BE4C38" w:rsidRPr="00BE4C38">
        <w:rPr>
          <w:rFonts w:eastAsiaTheme="minorHAnsi"/>
          <w:lang w:val="en-ZA"/>
        </w:rPr>
        <w:t xml:space="preserve"> were held by various Government Departments. </w:t>
      </w:r>
      <w:r w:rsidR="00BE4C38" w:rsidRPr="00BE4C38">
        <w:rPr>
          <w:rFonts w:eastAsiaTheme="minorHAnsi"/>
        </w:rPr>
        <w:t xml:space="preserve">Communication facilitated through unmediated platforms such as </w:t>
      </w:r>
      <w:proofErr w:type="spellStart"/>
      <w:r w:rsidR="00BE4C38" w:rsidRPr="00BE4C38">
        <w:rPr>
          <w:rFonts w:eastAsiaTheme="minorHAnsi"/>
          <w:i/>
        </w:rPr>
        <w:t>Izimbizo</w:t>
      </w:r>
      <w:proofErr w:type="spellEnd"/>
      <w:r w:rsidR="00BE4C38" w:rsidRPr="00BE4C38">
        <w:rPr>
          <w:rFonts w:eastAsiaTheme="minorHAnsi"/>
        </w:rPr>
        <w:t xml:space="preserve"> events strengthen partnerships between Government and communities. Principals are requested to commit to at least ten public engagements, including repeat and follow-up visits per year as part of the overall performance monitoring approach. </w:t>
      </w:r>
      <w:r w:rsidR="00BE4C38" w:rsidRPr="00BE4C38">
        <w:rPr>
          <w:rFonts w:eastAsiaTheme="minorHAnsi"/>
          <w:lang w:val="en-ZA"/>
        </w:rPr>
        <w:t>Par</w:t>
      </w:r>
      <w:r>
        <w:rPr>
          <w:rFonts w:eastAsiaTheme="minorHAnsi"/>
          <w:lang w:val="en-ZA"/>
        </w:rPr>
        <w:t xml:space="preserve">liament also undertook various </w:t>
      </w:r>
      <w:r w:rsidRPr="00F46244">
        <w:rPr>
          <w:rFonts w:eastAsiaTheme="minorHAnsi"/>
          <w:b/>
          <w:lang w:val="en-ZA"/>
        </w:rPr>
        <w:t>“</w:t>
      </w:r>
      <w:r w:rsidR="00BE4C38" w:rsidRPr="00F46244">
        <w:rPr>
          <w:rFonts w:eastAsiaTheme="minorHAnsi"/>
          <w:b/>
          <w:lang w:val="en-ZA"/>
        </w:rPr>
        <w:t>Taking Parliament to the People</w:t>
      </w:r>
      <w:r>
        <w:rPr>
          <w:rFonts w:eastAsiaTheme="minorHAnsi"/>
          <w:b/>
          <w:lang w:val="en-ZA"/>
        </w:rPr>
        <w:t>”</w:t>
      </w:r>
      <w:r w:rsidR="00BE4C38" w:rsidRPr="00BE4C38">
        <w:rPr>
          <w:rFonts w:eastAsiaTheme="minorHAnsi"/>
          <w:lang w:val="en-ZA"/>
        </w:rPr>
        <w:t xml:space="preserve"> Programmes. This programme gives South Africans the opportunity to make their voices heard by participating in parliamentary processes.</w:t>
      </w:r>
    </w:p>
    <w:p w:rsidR="00BE4C38" w:rsidRPr="00BE4C38" w:rsidRDefault="00E97F19" w:rsidP="00BE4C38">
      <w:pPr>
        <w:pStyle w:val="SingleTxtG"/>
        <w:rPr>
          <w:rFonts w:eastAsiaTheme="minorHAnsi"/>
          <w:lang w:val="en-ZA"/>
        </w:rPr>
      </w:pPr>
      <w:r>
        <w:rPr>
          <w:rFonts w:eastAsiaTheme="minorHAnsi"/>
          <w:lang w:val="en-ZA"/>
        </w:rPr>
        <w:t>90.</w:t>
      </w:r>
      <w:r>
        <w:rPr>
          <w:rFonts w:eastAsiaTheme="minorHAnsi"/>
          <w:lang w:val="en-ZA"/>
        </w:rPr>
        <w:tab/>
      </w:r>
      <w:r w:rsidR="00BE4C38" w:rsidRPr="00BE4C38">
        <w:rPr>
          <w:rFonts w:eastAsiaTheme="minorHAnsi"/>
          <w:lang w:val="en-ZA"/>
        </w:rPr>
        <w:t xml:space="preserve">Challenges that </w:t>
      </w:r>
      <w:r w:rsidR="009D00A1">
        <w:rPr>
          <w:rFonts w:eastAsiaTheme="minorHAnsi"/>
          <w:lang w:val="en-ZA"/>
        </w:rPr>
        <w:t xml:space="preserve">the </w:t>
      </w:r>
      <w:r w:rsidR="00BE4C38" w:rsidRPr="00BE4C38">
        <w:rPr>
          <w:rFonts w:eastAsiaTheme="minorHAnsi"/>
          <w:lang w:val="en-ZA"/>
        </w:rPr>
        <w:t>Government is grappling with i</w:t>
      </w:r>
      <w:r>
        <w:rPr>
          <w:rFonts w:eastAsiaTheme="minorHAnsi"/>
          <w:lang w:val="en-ZA"/>
        </w:rPr>
        <w:t>nclude:</w:t>
      </w:r>
    </w:p>
    <w:p w:rsidR="00BE4C38" w:rsidRPr="00BE4C38" w:rsidRDefault="00BE4C38" w:rsidP="00E97F19">
      <w:pPr>
        <w:pStyle w:val="Bullet1G"/>
        <w:rPr>
          <w:rFonts w:eastAsiaTheme="minorHAnsi"/>
          <w:lang w:val="en-ZA"/>
        </w:rPr>
      </w:pPr>
      <w:r w:rsidRPr="00F46244">
        <w:rPr>
          <w:rFonts w:eastAsiaTheme="minorHAnsi"/>
          <w:b/>
          <w:lang w:val="en-ZA"/>
        </w:rPr>
        <w:t>The decriminalisation of sex work</w:t>
      </w:r>
      <w:r w:rsidRPr="00BE4C38">
        <w:rPr>
          <w:rFonts w:eastAsiaTheme="minorHAnsi"/>
          <w:lang w:val="en-ZA"/>
        </w:rPr>
        <w:t xml:space="preserve">: The selling and buying of sexual services and related activities, and how the legal system should respond, continue to be the subject of considerable public debate in South Africa. The core provision criminalising prostitution was challenged in </w:t>
      </w:r>
      <w:r w:rsidRPr="00BE4C38">
        <w:rPr>
          <w:rFonts w:eastAsiaTheme="minorHAnsi"/>
          <w:i/>
          <w:lang w:val="en-ZA"/>
        </w:rPr>
        <w:t>S v Jordan</w:t>
      </w:r>
      <w:r w:rsidRPr="00BE4C38">
        <w:rPr>
          <w:rFonts w:eastAsiaTheme="minorHAnsi"/>
          <w:lang w:val="en-ZA"/>
        </w:rPr>
        <w:t xml:space="preserve"> – where the court found the law to be constitutional as it does not unfairly discriminate against women and does not infringe upon the right to privacy, freedom and security and the right to economic activity. Accordingly, </w:t>
      </w:r>
      <w:r w:rsidR="009D00A1">
        <w:rPr>
          <w:rFonts w:eastAsiaTheme="minorHAnsi"/>
          <w:lang w:val="en-ZA"/>
        </w:rPr>
        <w:t xml:space="preserve">the </w:t>
      </w:r>
      <w:r w:rsidRPr="00BE4C38">
        <w:rPr>
          <w:rFonts w:eastAsiaTheme="minorHAnsi"/>
          <w:lang w:val="en-ZA"/>
        </w:rPr>
        <w:t>Government is not, at present, constitutionally obliged to change the existing law or to follow a particular model – it is a matter of policy choice as there is a range of legal responses possible to address prostitution in open and democratic societies. Within the current South African context, the debate on adult prostitution is complicated by a number of socio-economic and other factors. The South Africa Law Reform Commission (SALRC) was tasked to review the fragmented legislative framework regulating the selling and buying of sexual services, consider the need for law reform in relation to adult prostitution and to identify alternative policy and legislative responses.</w:t>
      </w:r>
      <w:r w:rsidR="006E311C">
        <w:rPr>
          <w:rStyle w:val="EndnoteReference"/>
          <w:rFonts w:eastAsiaTheme="minorHAnsi"/>
          <w:lang w:val="en-ZA"/>
        </w:rPr>
        <w:endnoteReference w:id="35"/>
      </w:r>
      <w:r w:rsidRPr="00BE4C38">
        <w:rPr>
          <w:rFonts w:eastAsiaTheme="minorHAnsi"/>
          <w:lang w:val="en-ZA"/>
        </w:rPr>
        <w:t xml:space="preserve"> Their proposals are currently before Cabinet.</w:t>
      </w:r>
    </w:p>
    <w:p w:rsidR="00BE4C38" w:rsidRPr="00BE4C38" w:rsidRDefault="00BE4C38" w:rsidP="00E97F19">
      <w:pPr>
        <w:pStyle w:val="Bullet1G"/>
        <w:rPr>
          <w:rFonts w:eastAsiaTheme="minorHAnsi"/>
          <w:lang w:val="en-ZA"/>
        </w:rPr>
      </w:pPr>
      <w:r w:rsidRPr="00F46244">
        <w:rPr>
          <w:rFonts w:eastAsiaTheme="minorHAnsi"/>
          <w:b/>
          <w:lang w:val="en-ZA"/>
        </w:rPr>
        <w:t>The rights of mining-affected communities</w:t>
      </w:r>
      <w:r w:rsidRPr="00F46244">
        <w:rPr>
          <w:rFonts w:eastAsiaTheme="minorHAnsi"/>
          <w:lang w:val="en-ZA"/>
        </w:rPr>
        <w:t>:</w:t>
      </w:r>
      <w:r w:rsidRPr="00BE4C38">
        <w:rPr>
          <w:rFonts w:eastAsiaTheme="minorHAnsi"/>
          <w:lang w:val="en-ZA"/>
        </w:rPr>
        <w:t xml:space="preserve"> This is a complex issue with many human rights issues, also involving traditional leaders and communal land rights. There are various Government initiatives to, among others, strengthen the obligations of mining companies towards communities, their workers and the environment. </w:t>
      </w:r>
      <w:r w:rsidR="006F49DF">
        <w:rPr>
          <w:rFonts w:eastAsiaTheme="minorHAnsi"/>
          <w:lang w:val="en-ZA"/>
        </w:rPr>
        <w:t xml:space="preserve">The </w:t>
      </w:r>
      <w:r w:rsidRPr="00BE4C38">
        <w:rPr>
          <w:rFonts w:eastAsiaTheme="minorHAnsi"/>
          <w:lang w:val="en-ZA"/>
        </w:rPr>
        <w:t>Government has established an Inter-Ministerial Committee (IMC) to deal with the revitalisation of distressed mining towns and communities across the country and allocated R18 billion to improve their socio-economic conditions through various projects, including those relating to the provision of housing and wellness programmes.</w:t>
      </w:r>
      <w:r w:rsidR="006E311C">
        <w:rPr>
          <w:rStyle w:val="EndnoteReference"/>
          <w:rFonts w:eastAsiaTheme="minorHAnsi"/>
          <w:lang w:val="en-ZA"/>
        </w:rPr>
        <w:endnoteReference w:id="36"/>
      </w:r>
    </w:p>
    <w:p w:rsidR="00BE4C38" w:rsidRPr="00BE4C38" w:rsidRDefault="00BE4C38" w:rsidP="00E97F19">
      <w:pPr>
        <w:pStyle w:val="Bullet1G"/>
        <w:rPr>
          <w:rFonts w:eastAsiaTheme="minorHAnsi"/>
          <w:lang w:val="en-ZA"/>
        </w:rPr>
      </w:pPr>
      <w:r w:rsidRPr="00F46244">
        <w:rPr>
          <w:rFonts w:eastAsiaTheme="minorHAnsi"/>
          <w:b/>
          <w:lang w:val="en-ZA"/>
        </w:rPr>
        <w:t>Infant and maternal mortality</w:t>
      </w:r>
      <w:r w:rsidRPr="00BE4C38">
        <w:rPr>
          <w:rFonts w:eastAsiaTheme="minorHAnsi"/>
          <w:lang w:val="en-ZA"/>
        </w:rPr>
        <w:t>: South Africa has made significant progress regarding the improvement of maternal health and the reduction of maternal mortality</w:t>
      </w:r>
      <w:r w:rsidR="00E97F19">
        <w:rPr>
          <w:rFonts w:eastAsiaTheme="minorHAnsi"/>
          <w:lang w:val="en-ZA"/>
        </w:rPr>
        <w:t xml:space="preserve"> in </w:t>
      </w:r>
      <w:r w:rsidRPr="00BE4C38">
        <w:rPr>
          <w:rFonts w:eastAsiaTheme="minorHAnsi"/>
          <w:lang w:val="en-ZA"/>
        </w:rPr>
        <w:t xml:space="preserve">the last two decades. </w:t>
      </w:r>
      <w:r w:rsidR="00E97F19">
        <w:rPr>
          <w:rFonts w:eastAsiaTheme="minorHAnsi"/>
          <w:lang w:val="en-ZA"/>
        </w:rPr>
        <w:t xml:space="preserve">In </w:t>
      </w:r>
      <w:r w:rsidRPr="00BE4C38">
        <w:rPr>
          <w:rFonts w:eastAsiaTheme="minorHAnsi"/>
          <w:lang w:val="en-ZA"/>
        </w:rPr>
        <w:t xml:space="preserve">2010, </w:t>
      </w:r>
      <w:r w:rsidR="00E97F19">
        <w:rPr>
          <w:rFonts w:eastAsiaTheme="minorHAnsi"/>
          <w:lang w:val="en-ZA"/>
        </w:rPr>
        <w:t xml:space="preserve">it </w:t>
      </w:r>
      <w:r w:rsidRPr="00BE4C38">
        <w:rPr>
          <w:rFonts w:eastAsiaTheme="minorHAnsi"/>
          <w:lang w:val="en-ZA"/>
        </w:rPr>
        <w:t>was estimated that nearly 3</w:t>
      </w:r>
      <w:r w:rsidR="00E97F19">
        <w:rPr>
          <w:rFonts w:eastAsiaTheme="minorHAnsi"/>
          <w:lang w:val="en-ZA"/>
        </w:rPr>
        <w:t>,</w:t>
      </w:r>
      <w:r w:rsidRPr="00BE4C38">
        <w:rPr>
          <w:rFonts w:eastAsiaTheme="minorHAnsi"/>
          <w:lang w:val="en-ZA"/>
        </w:rPr>
        <w:t>000 women in South A</w:t>
      </w:r>
      <w:r w:rsidR="00E97F19">
        <w:rPr>
          <w:rFonts w:eastAsiaTheme="minorHAnsi"/>
          <w:lang w:val="en-ZA"/>
        </w:rPr>
        <w:t xml:space="preserve">frica died during child-birth, </w:t>
      </w:r>
      <w:r w:rsidRPr="00BE4C38">
        <w:rPr>
          <w:rFonts w:eastAsiaTheme="minorHAnsi"/>
          <w:lang w:val="en-ZA"/>
        </w:rPr>
        <w:t>bu</w:t>
      </w:r>
      <w:r w:rsidR="00E97F19">
        <w:rPr>
          <w:rFonts w:eastAsiaTheme="minorHAnsi"/>
          <w:lang w:val="en-ZA"/>
        </w:rPr>
        <w:t xml:space="preserve">t the latest estimates show </w:t>
      </w:r>
      <w:r w:rsidRPr="00BE4C38">
        <w:rPr>
          <w:rFonts w:eastAsiaTheme="minorHAnsi"/>
          <w:lang w:val="en-ZA"/>
        </w:rPr>
        <w:t>that maternal deaths have halved. The PMTCT programme, which aims to ensure that HIV-infected women re</w:t>
      </w:r>
      <w:r w:rsidR="00E97F19">
        <w:rPr>
          <w:rFonts w:eastAsiaTheme="minorHAnsi"/>
          <w:lang w:val="en-ZA"/>
        </w:rPr>
        <w:t xml:space="preserve">main healthy and give birth to </w:t>
      </w:r>
      <w:r w:rsidRPr="00BE4C38">
        <w:rPr>
          <w:rFonts w:eastAsiaTheme="minorHAnsi"/>
          <w:lang w:val="en-ZA"/>
        </w:rPr>
        <w:t>healthy children, has been expanded rapidly; and many more women have benefited from this programme.</w:t>
      </w:r>
      <w:r w:rsidR="006E311C">
        <w:rPr>
          <w:rStyle w:val="EndnoteReference"/>
          <w:rFonts w:eastAsiaTheme="minorHAnsi"/>
          <w:lang w:val="en-ZA"/>
        </w:rPr>
        <w:endnoteReference w:id="37"/>
      </w:r>
    </w:p>
    <w:p w:rsidR="00BE4C38" w:rsidRPr="00BE4C38" w:rsidRDefault="00BE4C38" w:rsidP="00E97F19">
      <w:pPr>
        <w:pStyle w:val="Bullet1G"/>
        <w:rPr>
          <w:rFonts w:eastAsiaTheme="minorHAnsi"/>
          <w:lang w:val="en-ZA"/>
        </w:rPr>
      </w:pPr>
      <w:r w:rsidRPr="00F46244">
        <w:rPr>
          <w:rFonts w:eastAsiaTheme="minorHAnsi"/>
          <w:b/>
          <w:lang w:val="en-ZA"/>
        </w:rPr>
        <w:t>Stateless persons</w:t>
      </w:r>
      <w:r w:rsidRPr="00BE4C38">
        <w:rPr>
          <w:rFonts w:eastAsiaTheme="minorHAnsi"/>
          <w:lang w:val="en-ZA"/>
        </w:rPr>
        <w:t xml:space="preserve">: Although </w:t>
      </w:r>
      <w:r w:rsidR="006F49DF">
        <w:rPr>
          <w:rFonts w:eastAsiaTheme="minorHAnsi"/>
          <w:lang w:val="en-ZA"/>
        </w:rPr>
        <w:t xml:space="preserve">the </w:t>
      </w:r>
      <w:r w:rsidRPr="00BE4C38">
        <w:rPr>
          <w:rFonts w:eastAsiaTheme="minorHAnsi"/>
          <w:lang w:val="en-ZA"/>
        </w:rPr>
        <w:t>Government is still considering the ratification of the two Conventions on Statelessness,</w:t>
      </w:r>
      <w:r w:rsidR="006E311C">
        <w:rPr>
          <w:rStyle w:val="EndnoteReference"/>
          <w:rFonts w:eastAsiaTheme="minorHAnsi"/>
          <w:lang w:val="en-ZA"/>
        </w:rPr>
        <w:endnoteReference w:id="38"/>
      </w:r>
      <w:r w:rsidRPr="00BE4C38">
        <w:rPr>
          <w:rFonts w:eastAsiaTheme="minorHAnsi"/>
          <w:lang w:val="en-ZA"/>
        </w:rPr>
        <w:t xml:space="preserve"> it has: actively participated in the annual processes of the Executive Committee of the UNHCR (UNEXCOM), engaged its counterparts in the Southern African Development Community (SADC) region regarding the statelessness of several generations of people who originate from these countries, now living in South Africa without a citizenship status; convened a Birth Registration Indaba in December, 2015; and issued directives encouraging all South Africans to register timeously, including the early birth registration of all c</w:t>
      </w:r>
      <w:r w:rsidR="00E97F19">
        <w:rPr>
          <w:rFonts w:eastAsiaTheme="minorHAnsi"/>
          <w:lang w:val="en-ZA"/>
        </w:rPr>
        <w:t xml:space="preserve">hildren born in South Africa. </w:t>
      </w:r>
      <w:r w:rsidRPr="00BE4C38">
        <w:rPr>
          <w:rFonts w:eastAsiaTheme="minorHAnsi"/>
          <w:lang w:val="en-ZA"/>
        </w:rPr>
        <w:t>South Africa has enacted domestic legislation,</w:t>
      </w:r>
      <w:r w:rsidR="006E311C">
        <w:rPr>
          <w:rStyle w:val="EndnoteReference"/>
          <w:rFonts w:eastAsiaTheme="minorHAnsi"/>
          <w:lang w:val="en-ZA"/>
        </w:rPr>
        <w:endnoteReference w:id="39"/>
      </w:r>
      <w:r w:rsidR="00E97F19">
        <w:rPr>
          <w:rFonts w:eastAsiaTheme="minorHAnsi"/>
          <w:lang w:val="en-ZA"/>
        </w:rPr>
        <w:t xml:space="preserve"> </w:t>
      </w:r>
      <w:r w:rsidRPr="00BE4C38">
        <w:rPr>
          <w:rFonts w:eastAsiaTheme="minorHAnsi"/>
          <w:lang w:val="en-ZA"/>
        </w:rPr>
        <w:t>which is consistent with the spirit and letter of the Conventions aimed at reducing statelessness. Despite the challenges associated with efforts to resolve this phenomenon, South Africa remains committed to addressing statelessness through various p</w:t>
      </w:r>
      <w:r w:rsidR="00E97F19">
        <w:rPr>
          <w:rFonts w:eastAsiaTheme="minorHAnsi"/>
          <w:lang w:val="en-ZA"/>
        </w:rPr>
        <w:t>olicy and legislative measures.</w:t>
      </w:r>
    </w:p>
    <w:p w:rsidR="00BE4C38" w:rsidRPr="00BE4C38" w:rsidRDefault="00BE4C38" w:rsidP="00E97F19">
      <w:pPr>
        <w:pStyle w:val="Bullet1G"/>
        <w:rPr>
          <w:rFonts w:eastAsiaTheme="minorHAnsi"/>
          <w:b/>
          <w:lang w:val="en-ZA"/>
        </w:rPr>
      </w:pPr>
      <w:r w:rsidRPr="00F46244">
        <w:rPr>
          <w:rFonts w:eastAsiaTheme="minorHAnsi"/>
          <w:b/>
          <w:lang w:val="en-ZA"/>
        </w:rPr>
        <w:t>Early registration of birth</w:t>
      </w:r>
      <w:r w:rsidRPr="00E97F19">
        <w:rPr>
          <w:rFonts w:eastAsiaTheme="minorHAnsi"/>
          <w:lang w:val="en-ZA"/>
        </w:rPr>
        <w:t>:</w:t>
      </w:r>
      <w:r w:rsidRPr="00BE4C38">
        <w:rPr>
          <w:rFonts w:eastAsiaTheme="minorHAnsi"/>
          <w:lang w:val="en-ZA"/>
        </w:rPr>
        <w:t xml:space="preserve"> Effective civil registration requires universal early registration of birth in order to safeguard the identity and status of each South African, and the accuracy of our National Population Register. Late Registration of Birth presents risks.</w:t>
      </w:r>
      <w:r w:rsidR="006E311C">
        <w:rPr>
          <w:rStyle w:val="EndnoteReference"/>
          <w:rFonts w:eastAsiaTheme="minorHAnsi"/>
          <w:lang w:val="en-ZA"/>
        </w:rPr>
        <w:endnoteReference w:id="40"/>
      </w:r>
      <w:r w:rsidR="00E97F19">
        <w:rPr>
          <w:rFonts w:eastAsiaTheme="minorHAnsi"/>
          <w:lang w:val="en-ZA"/>
        </w:rPr>
        <w:t xml:space="preserve"> </w:t>
      </w:r>
      <w:r w:rsidRPr="00BE4C38">
        <w:rPr>
          <w:rFonts w:eastAsiaTheme="minorHAnsi"/>
          <w:lang w:val="en-ZA"/>
        </w:rPr>
        <w:t xml:space="preserve">Since 2010, </w:t>
      </w:r>
      <w:r w:rsidR="006F49DF">
        <w:rPr>
          <w:rFonts w:eastAsiaTheme="minorHAnsi"/>
          <w:lang w:val="en-ZA"/>
        </w:rPr>
        <w:t xml:space="preserve">the </w:t>
      </w:r>
      <w:r w:rsidRPr="00BE4C38">
        <w:rPr>
          <w:rFonts w:eastAsiaTheme="minorHAnsi"/>
          <w:lang w:val="en-ZA"/>
        </w:rPr>
        <w:t>Government has intensified its efforts to entrench Early Birth Registration (EBR) and to end late registration of birth. EBR also ensures that children are provided with access to health care, access to immunisation, and enrol in school at the right age. South Africa has made great strides in EBR in recent years.</w:t>
      </w:r>
      <w:r w:rsidR="006E311C">
        <w:rPr>
          <w:rStyle w:val="EndnoteReference"/>
          <w:rFonts w:eastAsiaTheme="minorHAnsi"/>
          <w:lang w:val="en-ZA"/>
        </w:rPr>
        <w:endnoteReference w:id="41"/>
      </w:r>
      <w:r w:rsidRPr="00BE4C38">
        <w:rPr>
          <w:rFonts w:eastAsiaTheme="minorHAnsi"/>
          <w:lang w:val="en-ZA"/>
        </w:rPr>
        <w:t xml:space="preserve"> South Africa notes the observations of the CRC Committee regarding administrative and practical obstacles in obtaining birth registration, including punitive measures for late birth registration and the CRC’s recommendations regarding birth registration to ensure full conformity with the Convention. Renewed efforts will be made to address the concerns.</w:t>
      </w:r>
    </w:p>
    <w:p w:rsidR="00E97F19" w:rsidRDefault="00E97F19" w:rsidP="00E97F19">
      <w:pPr>
        <w:pStyle w:val="HChG"/>
        <w:rPr>
          <w:rFonts w:eastAsiaTheme="minorHAnsi"/>
          <w:lang w:val="en-ZA"/>
        </w:rPr>
      </w:pPr>
      <w:bookmarkStart w:id="8" w:name="_Toc473904014"/>
      <w:r>
        <w:rPr>
          <w:rFonts w:eastAsiaTheme="minorHAnsi"/>
          <w:lang w:val="en-ZA"/>
        </w:rPr>
        <w:tab/>
        <w:t>IV.</w:t>
      </w:r>
      <w:r>
        <w:rPr>
          <w:rFonts w:eastAsiaTheme="minorHAnsi"/>
          <w:lang w:val="en-ZA"/>
        </w:rPr>
        <w:tab/>
        <w:t>Implementation of recommendations</w:t>
      </w:r>
    </w:p>
    <w:bookmarkEnd w:id="8"/>
    <w:p w:rsidR="00BE4C38" w:rsidRPr="00E97F19" w:rsidRDefault="00E97F19" w:rsidP="00E97F19">
      <w:pPr>
        <w:pStyle w:val="SingleTxtG"/>
        <w:rPr>
          <w:rFonts w:eastAsiaTheme="minorHAnsi"/>
        </w:rPr>
      </w:pPr>
      <w:r>
        <w:rPr>
          <w:rFonts w:eastAsiaTheme="minorHAnsi"/>
        </w:rPr>
        <w:t>91.</w:t>
      </w:r>
      <w:r>
        <w:rPr>
          <w:rFonts w:eastAsiaTheme="minorHAnsi"/>
        </w:rPr>
        <w:tab/>
      </w:r>
      <w:r w:rsidR="001A2345">
        <w:rPr>
          <w:rFonts w:eastAsiaTheme="minorHAnsi"/>
        </w:rPr>
        <w:t xml:space="preserve">The </w:t>
      </w:r>
      <w:r w:rsidR="00BE4C38" w:rsidRPr="00E97F19">
        <w:rPr>
          <w:rFonts w:eastAsiaTheme="minorHAnsi"/>
        </w:rPr>
        <w:t>Government’s commitment to the realisation of human rights for all within its borders is self-evident from the policies, legislative enactments and programmes it has initiated to meet its domestic and international obligations following its unconditional acceptance of the recommendations made to it at the 2nd Cycle UPR Report review in 2012. South Africa’s steps taken to meet the accepted recommendations are outlined below within the approved guidelines and thematic framework set out in South Africa’s response to the recommendations.</w:t>
      </w:r>
      <w:r w:rsidR="006E311C">
        <w:rPr>
          <w:rStyle w:val="EndnoteReference"/>
          <w:rFonts w:eastAsiaTheme="minorHAnsi"/>
        </w:rPr>
        <w:endnoteReference w:id="42"/>
      </w:r>
      <w:r w:rsidR="00BE4C38" w:rsidRPr="00E97F19">
        <w:rPr>
          <w:rFonts w:eastAsiaTheme="minorHAnsi"/>
        </w:rPr>
        <w:t xml:space="preserve"> Most recommendations have been implemented, while others are in the process of being implemented through policy development initiatives and programmatic interventions (</w:t>
      </w:r>
      <w:r w:rsidR="00BE4C38" w:rsidRPr="00F46244">
        <w:rPr>
          <w:rFonts w:eastAsiaTheme="minorHAnsi"/>
          <w:b/>
        </w:rPr>
        <w:t>see annexed Matrix</w:t>
      </w:r>
      <w:r w:rsidR="00BE4C38" w:rsidRPr="00E97F19">
        <w:rPr>
          <w:rFonts w:eastAsiaTheme="minorHAnsi"/>
        </w:rPr>
        <w:t>).</w:t>
      </w:r>
    </w:p>
    <w:p w:rsidR="00BE4C38" w:rsidRDefault="000B245B" w:rsidP="00E97F19">
      <w:pPr>
        <w:pStyle w:val="SingleTxtG"/>
        <w:rPr>
          <w:rFonts w:eastAsiaTheme="minorHAnsi"/>
        </w:rPr>
      </w:pPr>
      <w:r>
        <w:rPr>
          <w:rFonts w:eastAsiaTheme="minorHAnsi"/>
        </w:rPr>
        <w:t>92.</w:t>
      </w:r>
      <w:r>
        <w:rPr>
          <w:rFonts w:eastAsiaTheme="minorHAnsi"/>
        </w:rPr>
        <w:tab/>
      </w:r>
      <w:r w:rsidR="00BE4C38" w:rsidRPr="00E97F19">
        <w:rPr>
          <w:rFonts w:eastAsiaTheme="minorHAnsi"/>
        </w:rPr>
        <w:t xml:space="preserve">Human Rights </w:t>
      </w:r>
      <w:proofErr w:type="gramStart"/>
      <w:r w:rsidR="00BE4C38" w:rsidRPr="00E97F19">
        <w:rPr>
          <w:rFonts w:eastAsiaTheme="minorHAnsi"/>
        </w:rPr>
        <w:t>is</w:t>
      </w:r>
      <w:proofErr w:type="gramEnd"/>
      <w:r w:rsidR="00BE4C38" w:rsidRPr="00E97F19">
        <w:rPr>
          <w:rFonts w:eastAsiaTheme="minorHAnsi"/>
        </w:rPr>
        <w:t xml:space="preserve"> a permanent standing item on the agenda of the Cluster Meetings of Directors-General</w:t>
      </w:r>
      <w:r w:rsidR="006E311C">
        <w:rPr>
          <w:rStyle w:val="EndnoteReference"/>
          <w:rFonts w:eastAsiaTheme="minorHAnsi"/>
        </w:rPr>
        <w:endnoteReference w:id="43"/>
      </w:r>
      <w:r w:rsidR="00BE4C38" w:rsidRPr="00E97F19">
        <w:rPr>
          <w:rFonts w:eastAsiaTheme="minorHAnsi"/>
        </w:rPr>
        <w:t>. The Ministerial Clusters exercise oversight over the work of</w:t>
      </w:r>
      <w:r>
        <w:rPr>
          <w:rFonts w:eastAsiaTheme="minorHAnsi"/>
        </w:rPr>
        <w:t xml:space="preserve"> the Clusters of Directors-</w:t>
      </w:r>
      <w:r w:rsidR="00BE4C38" w:rsidRPr="00E97F19">
        <w:rPr>
          <w:rFonts w:eastAsiaTheme="minorHAnsi"/>
        </w:rPr>
        <w:t>General</w:t>
      </w:r>
      <w:r w:rsidR="006E311C">
        <w:rPr>
          <w:rStyle w:val="EndnoteReference"/>
          <w:rFonts w:eastAsiaTheme="minorHAnsi"/>
        </w:rPr>
        <w:endnoteReference w:id="44"/>
      </w:r>
      <w:r w:rsidR="00717B6F">
        <w:rPr>
          <w:rFonts w:eastAsiaTheme="minorHAnsi"/>
        </w:rPr>
        <w:t>.</w:t>
      </w:r>
    </w:p>
    <w:p w:rsidR="000B245B" w:rsidRPr="00E97F19" w:rsidRDefault="000B245B" w:rsidP="000B245B">
      <w:pPr>
        <w:pStyle w:val="HChG"/>
        <w:rPr>
          <w:rFonts w:eastAsiaTheme="minorHAnsi"/>
        </w:rPr>
      </w:pPr>
      <w:r>
        <w:rPr>
          <w:rFonts w:eastAsiaTheme="minorHAnsi"/>
        </w:rPr>
        <w:tab/>
        <w:t>V.</w:t>
      </w:r>
      <w:r>
        <w:rPr>
          <w:rFonts w:eastAsiaTheme="minorHAnsi"/>
        </w:rPr>
        <w:tab/>
        <w:t>Key national priorities</w:t>
      </w:r>
    </w:p>
    <w:p w:rsidR="00BE4C38" w:rsidRPr="00BE4C38" w:rsidRDefault="000B245B" w:rsidP="00BE4C38">
      <w:pPr>
        <w:pStyle w:val="SingleTxtG"/>
        <w:rPr>
          <w:rFonts w:eastAsiaTheme="minorHAnsi"/>
          <w:lang w:val="en-ZA"/>
        </w:rPr>
      </w:pPr>
      <w:r>
        <w:rPr>
          <w:rFonts w:eastAsiaTheme="minorHAnsi"/>
          <w:lang w:val="en-ZA"/>
        </w:rPr>
        <w:t>93.</w:t>
      </w:r>
      <w:r>
        <w:rPr>
          <w:rFonts w:eastAsiaTheme="minorHAnsi"/>
          <w:lang w:val="en-ZA"/>
        </w:rPr>
        <w:tab/>
      </w:r>
      <w:r w:rsidR="00BE4C38" w:rsidRPr="00BE4C38">
        <w:rPr>
          <w:rFonts w:eastAsiaTheme="minorHAnsi"/>
          <w:lang w:val="en-ZA"/>
        </w:rPr>
        <w:t xml:space="preserve">The NDP drives </w:t>
      </w:r>
      <w:r w:rsidR="00717B6F">
        <w:rPr>
          <w:rFonts w:eastAsiaTheme="minorHAnsi"/>
          <w:lang w:val="en-ZA"/>
        </w:rPr>
        <w:t xml:space="preserve">the </w:t>
      </w:r>
      <w:r w:rsidR="00BE4C38" w:rsidRPr="00BE4C38">
        <w:rPr>
          <w:rFonts w:eastAsiaTheme="minorHAnsi"/>
          <w:lang w:val="en-ZA"/>
        </w:rPr>
        <w:t xml:space="preserve">Government’s agenda. In-line therewith, </w:t>
      </w:r>
      <w:r w:rsidR="00717B6F">
        <w:rPr>
          <w:rFonts w:eastAsiaTheme="minorHAnsi"/>
          <w:lang w:val="en-ZA"/>
        </w:rPr>
        <w:t xml:space="preserve">the </w:t>
      </w:r>
      <w:r w:rsidR="00BE4C38" w:rsidRPr="00BE4C38">
        <w:rPr>
          <w:rFonts w:eastAsiaTheme="minorHAnsi"/>
          <w:lang w:val="en-ZA"/>
        </w:rPr>
        <w:t xml:space="preserve">Government pursues the realisation of 14 outcomes as set out in its MTSF: 2014-2019. The MTSF has two overarching strategic themes – radical economic transformation and improving service delivery. </w:t>
      </w:r>
      <w:r w:rsidR="00717B6F">
        <w:rPr>
          <w:rFonts w:eastAsiaTheme="minorHAnsi"/>
          <w:lang w:val="en-ZA"/>
        </w:rPr>
        <w:t xml:space="preserve">The </w:t>
      </w:r>
      <w:r w:rsidR="00BE4C38" w:rsidRPr="00BE4C38">
        <w:rPr>
          <w:rFonts w:eastAsiaTheme="minorHAnsi"/>
          <w:lang w:val="en-ZA"/>
        </w:rPr>
        <w:t>Government’s programme of radical economic transformation is focused on placing the economy on a qualitatively different path in order to ensure more rapid, sustainable growth, higher investment, increased employment, reduced inequality and de-racialisation of the economy.</w:t>
      </w:r>
    </w:p>
    <w:p w:rsidR="00BE4C38" w:rsidRPr="00BE4C38" w:rsidRDefault="000B245B" w:rsidP="00BE4C38">
      <w:pPr>
        <w:pStyle w:val="SingleTxtG"/>
        <w:rPr>
          <w:rFonts w:eastAsiaTheme="minorHAnsi"/>
          <w:lang w:val="en-ZA"/>
        </w:rPr>
      </w:pPr>
      <w:r>
        <w:rPr>
          <w:rFonts w:eastAsiaTheme="minorHAnsi"/>
        </w:rPr>
        <w:t>94.</w:t>
      </w:r>
      <w:r>
        <w:rPr>
          <w:rFonts w:eastAsiaTheme="minorHAnsi"/>
        </w:rPr>
        <w:tab/>
      </w:r>
      <w:r w:rsidR="00BE4C38" w:rsidRPr="00BE4C38">
        <w:rPr>
          <w:rFonts w:eastAsiaTheme="minorHAnsi"/>
        </w:rPr>
        <w:t xml:space="preserve">South Africa has seen visible improvements in living standards. The Millennium Development Goals (MDG) Country Report: 2013, indicates that South Africa has made good progress in poverty alleviation. However, </w:t>
      </w:r>
      <w:r w:rsidR="00717B6F">
        <w:rPr>
          <w:rFonts w:eastAsiaTheme="minorHAnsi"/>
        </w:rPr>
        <w:t xml:space="preserve">the </w:t>
      </w:r>
      <w:r w:rsidR="00BE4C38" w:rsidRPr="00BE4C38">
        <w:rPr>
          <w:rFonts w:eastAsiaTheme="minorHAnsi"/>
        </w:rPr>
        <w:t xml:space="preserve">Government remains acutely aware that the level of poverty among vulnerable groups such as women and children is higher than the poverty levels for the general population. A myriad of poverty alleviation programmes addressing income, human capital and asset poverty have resulted in more South Africans having access to some form of household income, even if only in the form of a social grant, as well as access to free basic services such as housing, piped water and sanitation. Overall, South Africans are enjoying a higher standard of living and </w:t>
      </w:r>
      <w:r w:rsidR="00717B6F">
        <w:rPr>
          <w:rFonts w:eastAsiaTheme="minorHAnsi"/>
        </w:rPr>
        <w:t xml:space="preserve">the </w:t>
      </w:r>
      <w:r w:rsidR="00BE4C38" w:rsidRPr="00BE4C38">
        <w:rPr>
          <w:rFonts w:eastAsiaTheme="minorHAnsi"/>
        </w:rPr>
        <w:t>Government is fully committed to the implementation of Agenda 20</w:t>
      </w:r>
      <w:r>
        <w:rPr>
          <w:rFonts w:eastAsiaTheme="minorHAnsi"/>
        </w:rPr>
        <w:t>30 for Sustainable Development.</w:t>
      </w:r>
    </w:p>
    <w:p w:rsidR="00BE4C38" w:rsidRPr="00BE4C38" w:rsidRDefault="000B245B" w:rsidP="000B245B">
      <w:pPr>
        <w:pStyle w:val="H1G"/>
        <w:rPr>
          <w:rFonts w:eastAsiaTheme="minorHAnsi"/>
          <w:lang w:val="en-ZA"/>
        </w:rPr>
      </w:pPr>
      <w:bookmarkStart w:id="9" w:name="_Toc473904016"/>
      <w:r>
        <w:rPr>
          <w:rFonts w:eastAsiaTheme="minorHAnsi"/>
          <w:lang w:val="en-ZA"/>
        </w:rPr>
        <w:tab/>
      </w:r>
      <w:r>
        <w:rPr>
          <w:rFonts w:eastAsiaTheme="minorHAnsi"/>
          <w:lang w:val="en-ZA"/>
        </w:rPr>
        <w:tab/>
      </w:r>
      <w:r w:rsidR="00BE4C38" w:rsidRPr="00BE4C38">
        <w:rPr>
          <w:rFonts w:eastAsiaTheme="minorHAnsi"/>
          <w:lang w:val="en-ZA"/>
        </w:rPr>
        <w:t>Specific challenges</w:t>
      </w:r>
      <w:bookmarkEnd w:id="9"/>
    </w:p>
    <w:p w:rsidR="00BE4C38" w:rsidRPr="00BE4C38" w:rsidRDefault="000B245B" w:rsidP="00BE4C38">
      <w:pPr>
        <w:pStyle w:val="SingleTxtG"/>
        <w:rPr>
          <w:rFonts w:eastAsiaTheme="minorHAnsi"/>
          <w:lang w:val="en-ZA"/>
        </w:rPr>
      </w:pPr>
      <w:r>
        <w:rPr>
          <w:rFonts w:eastAsiaTheme="minorHAnsi"/>
        </w:rPr>
        <w:t>95.</w:t>
      </w:r>
      <w:r>
        <w:rPr>
          <w:rFonts w:eastAsiaTheme="minorHAnsi"/>
        </w:rPr>
        <w:tab/>
      </w:r>
      <w:r w:rsidR="00BE4C38" w:rsidRPr="00BE4C38">
        <w:rPr>
          <w:rFonts w:eastAsiaTheme="minorHAnsi"/>
        </w:rPr>
        <w:t xml:space="preserve">Addressing </w:t>
      </w:r>
      <w:r w:rsidR="00BE4C38" w:rsidRPr="00F46244">
        <w:rPr>
          <w:rFonts w:eastAsiaTheme="minorHAnsi"/>
          <w:b/>
        </w:rPr>
        <w:t>unemployment</w:t>
      </w:r>
      <w:r w:rsidR="00BE4C38" w:rsidRPr="000B245B">
        <w:rPr>
          <w:rFonts w:eastAsiaTheme="minorHAnsi"/>
        </w:rPr>
        <w:t xml:space="preserve"> </w:t>
      </w:r>
      <w:r w:rsidR="00BE4C38" w:rsidRPr="00BE4C38">
        <w:rPr>
          <w:rFonts w:eastAsiaTheme="minorHAnsi"/>
        </w:rPr>
        <w:t xml:space="preserve">remains high on </w:t>
      </w:r>
      <w:r w:rsidR="000F5357">
        <w:rPr>
          <w:rFonts w:eastAsiaTheme="minorHAnsi"/>
        </w:rPr>
        <w:t xml:space="preserve">the </w:t>
      </w:r>
      <w:r w:rsidR="00BE4C38" w:rsidRPr="00BE4C38">
        <w:rPr>
          <w:rFonts w:eastAsiaTheme="minorHAnsi"/>
        </w:rPr>
        <w:t xml:space="preserve">Government’s agenda. </w:t>
      </w:r>
      <w:r w:rsidR="000F5357">
        <w:rPr>
          <w:rFonts w:eastAsiaTheme="minorHAnsi"/>
        </w:rPr>
        <w:t xml:space="preserve">The </w:t>
      </w:r>
      <w:r w:rsidR="00BE4C38" w:rsidRPr="00BE4C38">
        <w:rPr>
          <w:rFonts w:eastAsiaTheme="minorHAnsi"/>
          <w:lang w:val="en-ZA"/>
        </w:rPr>
        <w:t xml:space="preserve">Government has developed various programmes and initiatives to create decent jobs. </w:t>
      </w:r>
      <w:r w:rsidR="00BE4C38" w:rsidRPr="00BE4C38">
        <w:rPr>
          <w:rFonts w:eastAsiaTheme="minorHAnsi"/>
        </w:rPr>
        <w:t xml:space="preserve">Despite these policies and strategies, unemployment remains stubbornly high, compounded by the </w:t>
      </w:r>
      <w:r>
        <w:rPr>
          <w:rFonts w:eastAsiaTheme="minorHAnsi"/>
        </w:rPr>
        <w:t xml:space="preserve">turmoil in the global economy. </w:t>
      </w:r>
      <w:r w:rsidR="00BE4C38" w:rsidRPr="00BE4C38">
        <w:rPr>
          <w:rFonts w:eastAsiaTheme="minorHAnsi"/>
        </w:rPr>
        <w:t>The Quarterly Labour Force Survey for Quarter 3: 2016 shows:</w:t>
      </w:r>
    </w:p>
    <w:p w:rsidR="00BE4C38" w:rsidRDefault="003D57D1" w:rsidP="000B245B">
      <w:pPr>
        <w:ind w:left="1134"/>
        <w:rPr>
          <w:rFonts w:ascii="Arial" w:hAnsi="Arial" w:cs="Arial"/>
          <w:noProof/>
          <w:lang w:eastAsia="ja-JP"/>
        </w:rPr>
      </w:pPr>
      <w:r>
        <w:rPr>
          <w:rFonts w:ascii="Arial" w:hAnsi="Arial" w:cs="Arial"/>
          <w:noProof/>
          <w:lang w:eastAsia="ja-JP"/>
        </w:rPr>
        <w:drawing>
          <wp:inline distT="0" distB="0" distL="0" distR="0">
            <wp:extent cx="5404485" cy="2484120"/>
            <wp:effectExtent l="0" t="0" r="571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484120"/>
                    </a:xfrm>
                    <a:prstGeom prst="rect">
                      <a:avLst/>
                    </a:prstGeom>
                    <a:noFill/>
                    <a:ln>
                      <a:noFill/>
                    </a:ln>
                  </pic:spPr>
                </pic:pic>
              </a:graphicData>
            </a:graphic>
          </wp:inline>
        </w:drawing>
      </w:r>
    </w:p>
    <w:p w:rsidR="000B245B" w:rsidRPr="000B245B" w:rsidRDefault="000B245B" w:rsidP="003D57D1">
      <w:pPr>
        <w:pStyle w:val="SingleTxtG"/>
        <w:spacing w:before="240"/>
        <w:rPr>
          <w:rFonts w:eastAsiaTheme="minorHAnsi"/>
          <w:lang w:val="en-ZA"/>
        </w:rPr>
      </w:pPr>
      <w:r>
        <w:rPr>
          <w:rFonts w:eastAsiaTheme="minorHAnsi"/>
          <w:lang w:val="en-ZA"/>
        </w:rPr>
        <w:t>96.</w:t>
      </w:r>
      <w:r>
        <w:rPr>
          <w:rFonts w:eastAsiaTheme="minorHAnsi"/>
          <w:lang w:val="en-ZA"/>
        </w:rPr>
        <w:tab/>
      </w:r>
      <w:r w:rsidRPr="00F46244">
        <w:rPr>
          <w:rFonts w:eastAsiaTheme="minorHAnsi"/>
          <w:b/>
          <w:lang w:val="en-ZA"/>
        </w:rPr>
        <w:t>Poverty and inequality</w:t>
      </w:r>
      <w:r w:rsidRPr="000B245B">
        <w:rPr>
          <w:rFonts w:eastAsiaTheme="minorHAnsi"/>
          <w:lang w:val="en-ZA"/>
        </w:rPr>
        <w:t xml:space="preserve"> remain major challenges. Despite the removal of many apartheid laws from the statute books, their consequences continue to define the South African social and economic landscape. The latest Income and Expenditure Survey (IES) examines the increases to income according to population group. South Africa has seen the largest increases in ‘non-white’ household income. Indian/Asia</w:t>
      </w:r>
      <w:r>
        <w:rPr>
          <w:rFonts w:eastAsiaTheme="minorHAnsi"/>
          <w:lang w:val="en-ZA"/>
        </w:rPr>
        <w:t>n-headed households showed a 36.</w:t>
      </w:r>
      <w:r w:rsidRPr="000B245B">
        <w:rPr>
          <w:rFonts w:eastAsiaTheme="minorHAnsi"/>
          <w:lang w:val="en-ZA"/>
        </w:rPr>
        <w:t xml:space="preserve">8% increase, followed by black </w:t>
      </w:r>
      <w:r>
        <w:rPr>
          <w:rFonts w:eastAsiaTheme="minorHAnsi"/>
          <w:lang w:val="en-ZA"/>
        </w:rPr>
        <w:t>African-headed households at 34.</w:t>
      </w:r>
      <w:r w:rsidRPr="000B245B">
        <w:rPr>
          <w:rFonts w:eastAsiaTheme="minorHAnsi"/>
          <w:lang w:val="en-ZA"/>
        </w:rPr>
        <w:t>5%. Househol</w:t>
      </w:r>
      <w:r>
        <w:rPr>
          <w:rFonts w:eastAsiaTheme="minorHAnsi"/>
          <w:lang w:val="en-ZA"/>
        </w:rPr>
        <w:t>ds headed by coloureds saw a 27.</w:t>
      </w:r>
      <w:r w:rsidRPr="000B245B">
        <w:rPr>
          <w:rFonts w:eastAsiaTheme="minorHAnsi"/>
          <w:lang w:val="en-ZA"/>
        </w:rPr>
        <w:t>7% increase in income while white</w:t>
      </w:r>
      <w:r>
        <w:rPr>
          <w:rFonts w:eastAsiaTheme="minorHAnsi"/>
          <w:lang w:val="en-ZA"/>
        </w:rPr>
        <w:t>-headed households saw only a 0.</w:t>
      </w:r>
      <w:r w:rsidRPr="000B245B">
        <w:rPr>
          <w:rFonts w:eastAsiaTheme="minorHAnsi"/>
          <w:lang w:val="en-ZA"/>
        </w:rPr>
        <w:t xml:space="preserve">4% real increase. However, despite this significant growth in income among non-white households, there remains a tremendous gap between the population groups. White-headed households on average earn more than 5.5 times the income of the average black African-headed household. So, while the income growth trend shows very positive </w:t>
      </w:r>
      <w:proofErr w:type="gramStart"/>
      <w:r w:rsidRPr="000B245B">
        <w:rPr>
          <w:rFonts w:eastAsiaTheme="minorHAnsi"/>
          <w:lang w:val="en-ZA"/>
        </w:rPr>
        <w:t>signs, historic inequality remains</w:t>
      </w:r>
      <w:proofErr w:type="gramEnd"/>
      <w:r w:rsidRPr="000B245B">
        <w:rPr>
          <w:rFonts w:eastAsiaTheme="minorHAnsi"/>
          <w:lang w:val="en-ZA"/>
        </w:rPr>
        <w:t xml:space="preserve"> a serious barrier. Even though South Africans are getting richer, overall, there are still very high levels of inequality across and within population groups as the table below illustrates:</w:t>
      </w:r>
    </w:p>
    <w:p w:rsidR="000B245B" w:rsidRDefault="003D57D1" w:rsidP="000B245B">
      <w:pPr>
        <w:ind w:left="1134"/>
        <w:rPr>
          <w:rFonts w:ascii="Arial" w:hAnsi="Arial" w:cs="Arial"/>
          <w:noProof/>
          <w:lang w:eastAsia="ja-JP"/>
        </w:rPr>
      </w:pPr>
      <w:r>
        <w:rPr>
          <w:rFonts w:ascii="Arial" w:hAnsi="Arial" w:cs="Arial"/>
          <w:noProof/>
          <w:lang w:eastAsia="ja-JP"/>
        </w:rPr>
        <w:drawing>
          <wp:inline distT="0" distB="0" distL="0" distR="0">
            <wp:extent cx="5404485" cy="1337310"/>
            <wp:effectExtent l="0" t="0" r="571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85" cy="1337310"/>
                    </a:xfrm>
                    <a:prstGeom prst="rect">
                      <a:avLst/>
                    </a:prstGeom>
                    <a:noFill/>
                    <a:ln>
                      <a:noFill/>
                    </a:ln>
                  </pic:spPr>
                </pic:pic>
              </a:graphicData>
            </a:graphic>
          </wp:inline>
        </w:drawing>
      </w:r>
    </w:p>
    <w:p w:rsidR="000B245B" w:rsidRPr="000B245B" w:rsidRDefault="000B245B" w:rsidP="003D57D1">
      <w:pPr>
        <w:pStyle w:val="SingleTxtG"/>
        <w:spacing w:before="240"/>
        <w:rPr>
          <w:rFonts w:eastAsiaTheme="minorHAnsi"/>
          <w:lang w:val="en-ZA"/>
        </w:rPr>
      </w:pPr>
      <w:r>
        <w:rPr>
          <w:rFonts w:eastAsiaTheme="minorHAnsi"/>
          <w:lang w:val="en-ZA"/>
        </w:rPr>
        <w:t>97.</w:t>
      </w:r>
      <w:r>
        <w:rPr>
          <w:rFonts w:eastAsiaTheme="minorHAnsi"/>
          <w:lang w:val="en-ZA"/>
        </w:rPr>
        <w:tab/>
      </w:r>
      <w:r w:rsidR="000F5357" w:rsidRPr="00F46244">
        <w:rPr>
          <w:rFonts w:eastAsia="Calibri"/>
          <w:b/>
          <w:lang w:val="en-ZA"/>
        </w:rPr>
        <w:t>#</w:t>
      </w:r>
      <w:proofErr w:type="spellStart"/>
      <w:proofErr w:type="gramStart"/>
      <w:r w:rsidRPr="00F46244">
        <w:rPr>
          <w:rFonts w:eastAsiaTheme="minorHAnsi"/>
          <w:b/>
          <w:lang w:val="en-ZA"/>
        </w:rPr>
        <w:t>FeesMustFall</w:t>
      </w:r>
      <w:proofErr w:type="spellEnd"/>
      <w:r w:rsidRPr="000B245B">
        <w:rPr>
          <w:rFonts w:eastAsiaTheme="minorHAnsi"/>
          <w:lang w:val="en-ZA"/>
        </w:rPr>
        <w:t>,</w:t>
      </w:r>
      <w:proofErr w:type="gramEnd"/>
      <w:r w:rsidRPr="000B245B">
        <w:rPr>
          <w:rFonts w:eastAsiaTheme="minorHAnsi"/>
          <w:lang w:val="en-ZA"/>
        </w:rPr>
        <w:t xml:space="preserve"> is a student campaign which began in October 2015 in South Africa. Under this campaign, students are calling for free higher education in South Africa. </w:t>
      </w:r>
      <w:r w:rsidR="000F5357">
        <w:rPr>
          <w:rFonts w:eastAsiaTheme="minorHAnsi"/>
          <w:lang w:val="en-ZA"/>
        </w:rPr>
        <w:t xml:space="preserve">The </w:t>
      </w:r>
      <w:r w:rsidRPr="000B245B">
        <w:rPr>
          <w:rFonts w:eastAsiaTheme="minorHAnsi"/>
          <w:lang w:val="en-ZA"/>
        </w:rPr>
        <w:t xml:space="preserve">Government has established </w:t>
      </w:r>
      <w:r w:rsidR="000F5357">
        <w:rPr>
          <w:rFonts w:eastAsiaTheme="minorHAnsi"/>
          <w:lang w:val="en-ZA"/>
        </w:rPr>
        <w:t xml:space="preserve">the </w:t>
      </w:r>
      <w:r w:rsidRPr="000B245B">
        <w:rPr>
          <w:rFonts w:eastAsiaTheme="minorHAnsi"/>
          <w:lang w:val="en-ZA"/>
        </w:rPr>
        <w:t>Judicial Commission of Inquiry into Higher Education and Training to investigate the feasibility thereof and is expected to complete its work before end of 2017.</w:t>
      </w:r>
    </w:p>
    <w:p w:rsidR="000B245B" w:rsidRPr="000B245B" w:rsidRDefault="000B245B" w:rsidP="000B245B">
      <w:pPr>
        <w:pStyle w:val="SingleTxtG"/>
        <w:rPr>
          <w:rFonts w:eastAsiaTheme="minorHAnsi"/>
          <w:lang w:val="en-ZA"/>
        </w:rPr>
      </w:pPr>
      <w:r>
        <w:rPr>
          <w:rFonts w:eastAsiaTheme="minorHAnsi"/>
          <w:lang w:val="en-ZA"/>
        </w:rPr>
        <w:t>98.</w:t>
      </w:r>
      <w:r>
        <w:rPr>
          <w:rFonts w:eastAsiaTheme="minorHAnsi"/>
          <w:lang w:val="en-ZA"/>
        </w:rPr>
        <w:tab/>
      </w:r>
      <w:r w:rsidRPr="000B245B">
        <w:rPr>
          <w:rFonts w:eastAsiaTheme="minorHAnsi"/>
          <w:lang w:val="en-ZA"/>
        </w:rPr>
        <w:t xml:space="preserve">Two key concerns lie at the heart of the matter. First, despite massive increases in allocations to the National Student Financial Aid Scheme (NSFAS), the enrolment of academically deserving students from poor communities has grown faster than available funding. Second, there is no clear national framework for financing students who, although not affluent, are above the modest threshold established by the NSFAS means test. As a result, many students face financial hardships that undermine their ability to succeed academically. </w:t>
      </w:r>
      <w:r w:rsidR="00346556">
        <w:rPr>
          <w:rFonts w:eastAsiaTheme="minorHAnsi"/>
          <w:lang w:val="en-ZA"/>
        </w:rPr>
        <w:t xml:space="preserve">The </w:t>
      </w:r>
      <w:r w:rsidRPr="000B245B">
        <w:rPr>
          <w:rFonts w:eastAsiaTheme="minorHAnsi"/>
          <w:lang w:val="en-ZA"/>
        </w:rPr>
        <w:t xml:space="preserve">Government has significantly expanded funding of education over the past 20 years. Basic education is the largest item in the national budget. </w:t>
      </w:r>
      <w:r w:rsidR="00346556">
        <w:rPr>
          <w:rFonts w:eastAsiaTheme="minorHAnsi"/>
          <w:lang w:val="en-ZA"/>
        </w:rPr>
        <w:t xml:space="preserve">The </w:t>
      </w:r>
      <w:r w:rsidRPr="000B245B">
        <w:rPr>
          <w:rFonts w:eastAsiaTheme="minorHAnsi"/>
          <w:lang w:val="en-ZA"/>
        </w:rPr>
        <w:t>Government’s current policy framework calls for the progressive expansion of post-school education within available resources. Despite fiscal constraints, subsidies to universities grow at approximately 10.9 % each year and transfers to NSFAS grow at approximately 18.5% as illustrated below:</w:t>
      </w:r>
    </w:p>
    <w:p w:rsidR="000B245B" w:rsidRDefault="003D57D1" w:rsidP="000B245B">
      <w:pPr>
        <w:ind w:left="1134"/>
        <w:rPr>
          <w:rFonts w:ascii="Arial" w:hAnsi="Arial" w:cs="Arial"/>
          <w:noProof/>
          <w:lang w:eastAsia="ja-JP"/>
        </w:rPr>
      </w:pPr>
      <w:r>
        <w:rPr>
          <w:rFonts w:ascii="Arial" w:hAnsi="Arial" w:cs="Arial"/>
          <w:noProof/>
          <w:lang w:eastAsia="ja-JP"/>
        </w:rPr>
        <w:drawing>
          <wp:inline distT="0" distB="0" distL="0" distR="0">
            <wp:extent cx="5418455" cy="2688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8455" cy="2688590"/>
                    </a:xfrm>
                    <a:prstGeom prst="rect">
                      <a:avLst/>
                    </a:prstGeom>
                    <a:noFill/>
                    <a:ln>
                      <a:noFill/>
                    </a:ln>
                  </pic:spPr>
                </pic:pic>
              </a:graphicData>
            </a:graphic>
          </wp:inline>
        </w:drawing>
      </w:r>
    </w:p>
    <w:p w:rsidR="000B245B" w:rsidRPr="000B245B" w:rsidRDefault="000B245B" w:rsidP="000B245B">
      <w:pPr>
        <w:pStyle w:val="HChG"/>
        <w:rPr>
          <w:rFonts w:eastAsiaTheme="minorHAnsi"/>
          <w:lang w:val="en-ZA"/>
        </w:rPr>
      </w:pPr>
      <w:bookmarkStart w:id="10" w:name="_Toc473904017"/>
      <w:r>
        <w:rPr>
          <w:rFonts w:eastAsiaTheme="minorHAnsi"/>
          <w:lang w:val="en-ZA"/>
        </w:rPr>
        <w:tab/>
        <w:t>VI.</w:t>
      </w:r>
      <w:r>
        <w:rPr>
          <w:rFonts w:eastAsiaTheme="minorHAnsi"/>
          <w:lang w:val="en-ZA"/>
        </w:rPr>
        <w:tab/>
        <w:t>Technical assistance</w:t>
      </w:r>
      <w:bookmarkEnd w:id="10"/>
    </w:p>
    <w:p w:rsidR="000B245B" w:rsidRPr="000B245B" w:rsidRDefault="000B245B" w:rsidP="000B245B">
      <w:pPr>
        <w:pStyle w:val="SingleTxtG"/>
        <w:rPr>
          <w:rFonts w:eastAsiaTheme="minorHAnsi"/>
          <w:lang w:val="en-ZA"/>
        </w:rPr>
      </w:pPr>
      <w:r>
        <w:rPr>
          <w:rFonts w:eastAsiaTheme="minorHAnsi"/>
          <w:lang w:val="en-ZA"/>
        </w:rPr>
        <w:t>99.</w:t>
      </w:r>
      <w:r>
        <w:rPr>
          <w:rFonts w:eastAsiaTheme="minorHAnsi"/>
          <w:lang w:val="en-ZA"/>
        </w:rPr>
        <w:tab/>
      </w:r>
      <w:r w:rsidRPr="000B245B">
        <w:rPr>
          <w:rFonts w:eastAsiaTheme="minorHAnsi"/>
          <w:lang w:val="en-ZA"/>
        </w:rPr>
        <w:t xml:space="preserve">Technical assistance plays a big role in the attainment of human rights and fundamental freedoms in South Africa. South Africa has bilateral agreements with various countries which provide aid towards the development of the country. Foreign aid is used to augment existing budgetary resources in order to ensure the realisation of all human rights guaranteed in the country’s constitution, especially the fulfilment of socio-economic rights. The Government of South Africa welcomes the continued valuable technical assistance and capacity building provided </w:t>
      </w:r>
      <w:r>
        <w:rPr>
          <w:rFonts w:eastAsiaTheme="minorHAnsi"/>
          <w:lang w:val="en-ZA"/>
        </w:rPr>
        <w:t>by the international community.</w:t>
      </w:r>
    </w:p>
    <w:p w:rsidR="000B245B" w:rsidRPr="000B245B" w:rsidRDefault="000B245B" w:rsidP="000B245B">
      <w:pPr>
        <w:pStyle w:val="HChG"/>
        <w:rPr>
          <w:rFonts w:eastAsiaTheme="minorHAnsi"/>
          <w:lang w:val="en-ZA"/>
        </w:rPr>
      </w:pPr>
      <w:r>
        <w:rPr>
          <w:rFonts w:eastAsiaTheme="minorHAnsi"/>
          <w:lang w:val="en-ZA"/>
        </w:rPr>
        <w:tab/>
      </w:r>
      <w:r>
        <w:rPr>
          <w:rFonts w:eastAsiaTheme="minorHAnsi"/>
          <w:lang w:val="en-ZA"/>
        </w:rPr>
        <w:tab/>
        <w:t>Conclusion</w:t>
      </w:r>
    </w:p>
    <w:p w:rsidR="000B245B" w:rsidRPr="000B245B" w:rsidRDefault="000B245B" w:rsidP="000B245B">
      <w:pPr>
        <w:pStyle w:val="SingleTxtG"/>
        <w:rPr>
          <w:rFonts w:eastAsiaTheme="minorHAnsi"/>
          <w:lang w:val="en-ZA"/>
        </w:rPr>
      </w:pPr>
      <w:r>
        <w:rPr>
          <w:rFonts w:eastAsiaTheme="minorHAnsi"/>
          <w:lang w:val="en-ZA"/>
        </w:rPr>
        <w:t>100.</w:t>
      </w:r>
      <w:r>
        <w:rPr>
          <w:rFonts w:eastAsiaTheme="minorHAnsi"/>
          <w:lang w:val="en-ZA"/>
        </w:rPr>
        <w:tab/>
      </w:r>
      <w:r w:rsidRPr="000B245B">
        <w:rPr>
          <w:rFonts w:eastAsiaTheme="minorHAnsi"/>
          <w:lang w:val="en-ZA"/>
        </w:rPr>
        <w:t>South Africa’s commitment to the attainment of all human rights and fundamental freedoms for all remains unwavering. As South Africa recently celebrated the 20</w:t>
      </w:r>
      <w:r w:rsidRPr="000B245B">
        <w:rPr>
          <w:rFonts w:eastAsiaTheme="minorHAnsi"/>
          <w:vertAlign w:val="superscript"/>
          <w:lang w:val="en-ZA"/>
        </w:rPr>
        <w:t>th</w:t>
      </w:r>
      <w:r w:rsidRPr="000B245B">
        <w:rPr>
          <w:rFonts w:eastAsiaTheme="minorHAnsi"/>
          <w:lang w:val="en-ZA"/>
        </w:rPr>
        <w:t xml:space="preserve"> Anniversary of the 1996 Constitution, we realise once again that the struggle was not only for political freedom but the attainment of a better life for all. The UPR assists South Africa in assessing its fulfilment of its commitment to providing better lives for </w:t>
      </w:r>
      <w:proofErr w:type="gramStart"/>
      <w:r w:rsidRPr="000B245B">
        <w:rPr>
          <w:rFonts w:eastAsiaTheme="minorHAnsi"/>
          <w:lang w:val="en-ZA"/>
        </w:rPr>
        <w:t>all its</w:t>
      </w:r>
      <w:proofErr w:type="gramEnd"/>
      <w:r w:rsidRPr="000B245B">
        <w:rPr>
          <w:rFonts w:eastAsiaTheme="minorHAnsi"/>
          <w:lang w:val="en-ZA"/>
        </w:rPr>
        <w:t xml:space="preserve"> people.</w:t>
      </w:r>
    </w:p>
    <w:p w:rsidR="000B245B" w:rsidRPr="00AD0BF0" w:rsidRDefault="000B245B" w:rsidP="000B245B">
      <w:pPr>
        <w:pStyle w:val="H4G"/>
        <w:rPr>
          <w:rFonts w:eastAsiaTheme="minorHAnsi"/>
        </w:rPr>
      </w:pPr>
      <w:r>
        <w:rPr>
          <w:rFonts w:eastAsiaTheme="minorHAnsi"/>
        </w:rPr>
        <w:t>Notes</w:t>
      </w:r>
    </w:p>
    <w:sectPr w:rsidR="000B245B" w:rsidRPr="00AD0BF0" w:rsidSect="007B5271">
      <w:headerReference w:type="even" r:id="rId17"/>
      <w:headerReference w:type="default" r:id="rId18"/>
      <w:footerReference w:type="even" r:id="rId19"/>
      <w:footerReference w:type="default" r:id="rId20"/>
      <w:footerReference w:type="first" r:id="rId2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0C5" w:rsidRDefault="00E510C5"/>
  </w:endnote>
  <w:endnote w:type="continuationSeparator" w:id="0">
    <w:p w:rsidR="00E510C5" w:rsidRDefault="00E510C5"/>
  </w:endnote>
  <w:endnote w:type="continuationNotice" w:id="1">
    <w:p w:rsidR="00E510C5" w:rsidRDefault="00E510C5"/>
  </w:endnote>
  <w:endnote w:id="2">
    <w:p w:rsidR="00F7073B" w:rsidRDefault="00F7073B" w:rsidP="00F7073B">
      <w:pPr>
        <w:pStyle w:val="EndnoteText"/>
        <w:widowControl w:val="0"/>
        <w:tabs>
          <w:tab w:val="clear" w:pos="1021"/>
          <w:tab w:val="right" w:pos="1020"/>
        </w:tabs>
      </w:pPr>
      <w:r>
        <w:tab/>
      </w:r>
      <w:r>
        <w:rPr>
          <w:rStyle w:val="EndnoteReference"/>
        </w:rPr>
        <w:endnoteRef/>
      </w:r>
      <w:r>
        <w:tab/>
      </w:r>
      <w:r w:rsidRPr="00F7073B">
        <w:t xml:space="preserve">Many rights are subject to </w:t>
      </w:r>
      <w:r w:rsidRPr="00F46244">
        <w:rPr>
          <w:b/>
        </w:rPr>
        <w:t>immediate</w:t>
      </w:r>
      <w:r w:rsidRPr="00F7073B">
        <w:t xml:space="preserve"> implementation such as the obligation to refrain from torture, discrimination on prohibited grounds, to guarantee freedom of religion and expression etc. Not all socio-economic rights are subject to “</w:t>
      </w:r>
      <w:r w:rsidRPr="00F46244">
        <w:rPr>
          <w:b/>
        </w:rPr>
        <w:t>progressive realisation</w:t>
      </w:r>
      <w:r w:rsidRPr="00F7073B">
        <w:t>”. Some socio-economic rights such as the right to “basic education” (s 29(1)(a) of the Constitution) or “primary education” in article 13(2)(a) of the International Covenant on Economic, Social and Cultural Rights are subject to immediate realisation (or failing which to a plan of action in terms of article 14).</w:t>
      </w:r>
    </w:p>
  </w:endnote>
  <w:endnote w:id="3">
    <w:p w:rsidR="00F7073B" w:rsidRDefault="00F7073B" w:rsidP="00F7073B">
      <w:pPr>
        <w:pStyle w:val="EndnoteText"/>
        <w:widowControl w:val="0"/>
        <w:tabs>
          <w:tab w:val="clear" w:pos="1021"/>
          <w:tab w:val="right" w:pos="1020"/>
        </w:tabs>
      </w:pPr>
      <w:r>
        <w:tab/>
      </w:r>
      <w:r>
        <w:rPr>
          <w:rStyle w:val="EndnoteReference"/>
        </w:rPr>
        <w:endnoteRef/>
      </w:r>
      <w:r>
        <w:tab/>
      </w:r>
      <w:r w:rsidRPr="00F7073B">
        <w:t>Act No. 4 of 2000</w:t>
      </w:r>
      <w:r>
        <w:t>.</w:t>
      </w:r>
    </w:p>
  </w:endnote>
  <w:endnote w:id="4">
    <w:p w:rsidR="00F7073B" w:rsidRDefault="00F7073B" w:rsidP="00F7073B">
      <w:pPr>
        <w:pStyle w:val="EndnoteText"/>
        <w:widowControl w:val="0"/>
        <w:tabs>
          <w:tab w:val="clear" w:pos="1021"/>
          <w:tab w:val="right" w:pos="1020"/>
        </w:tabs>
      </w:pPr>
      <w:r>
        <w:tab/>
      </w:r>
      <w:r>
        <w:rPr>
          <w:rStyle w:val="EndnoteReference"/>
        </w:rPr>
        <w:endnoteRef/>
      </w:r>
      <w:r>
        <w:tab/>
      </w:r>
      <w:r w:rsidRPr="00F7073B">
        <w:t>Act No. 13 of 2013</w:t>
      </w:r>
      <w:r>
        <w:t>.</w:t>
      </w:r>
    </w:p>
  </w:endnote>
  <w:endnote w:id="5">
    <w:p w:rsidR="00F7073B" w:rsidRDefault="00F7073B" w:rsidP="00F7073B">
      <w:pPr>
        <w:pStyle w:val="EndnoteText"/>
        <w:widowControl w:val="0"/>
        <w:tabs>
          <w:tab w:val="clear" w:pos="1021"/>
          <w:tab w:val="right" w:pos="1020"/>
        </w:tabs>
      </w:pPr>
      <w:r>
        <w:tab/>
      </w:r>
      <w:r>
        <w:rPr>
          <w:rStyle w:val="EndnoteReference"/>
        </w:rPr>
        <w:endnoteRef/>
      </w:r>
      <w:r>
        <w:tab/>
      </w:r>
      <w:r w:rsidRPr="00F7073B">
        <w:t>Act No.</w:t>
      </w:r>
      <w:r w:rsidR="00661BAB">
        <w:t xml:space="preserve"> </w:t>
      </w:r>
      <w:r w:rsidRPr="00F7073B">
        <w:t>7 of 2013</w:t>
      </w:r>
      <w:r>
        <w:t>.</w:t>
      </w:r>
    </w:p>
  </w:endnote>
  <w:endnote w:id="6">
    <w:p w:rsidR="00F7073B" w:rsidRDefault="00F7073B" w:rsidP="00F7073B">
      <w:pPr>
        <w:pStyle w:val="EndnoteText"/>
        <w:widowControl w:val="0"/>
        <w:tabs>
          <w:tab w:val="clear" w:pos="1021"/>
          <w:tab w:val="right" w:pos="1020"/>
        </w:tabs>
      </w:pPr>
      <w:r>
        <w:tab/>
      </w:r>
      <w:r>
        <w:rPr>
          <w:rStyle w:val="EndnoteReference"/>
        </w:rPr>
        <w:endnoteRef/>
      </w:r>
      <w:r>
        <w:tab/>
      </w:r>
      <w:r w:rsidRPr="00F7073B">
        <w:t>For instance, the Sexual Offences and Related Matters Amendment Act, 2007 (Act No. 32 of 2007) addresses the trafficking of persons for purposes of sexual exploitation, while the Children's Act, addresses the trafficking of children.</w:t>
      </w:r>
    </w:p>
  </w:endnote>
  <w:endnote w:id="7">
    <w:p w:rsidR="00F7073B" w:rsidRDefault="00F7073B" w:rsidP="00F7073B">
      <w:pPr>
        <w:pStyle w:val="EndnoteText"/>
        <w:widowControl w:val="0"/>
        <w:tabs>
          <w:tab w:val="clear" w:pos="1021"/>
          <w:tab w:val="right" w:pos="1020"/>
        </w:tabs>
      </w:pPr>
      <w:r>
        <w:tab/>
      </w:r>
      <w:r>
        <w:rPr>
          <w:rStyle w:val="EndnoteReference"/>
        </w:rPr>
        <w:endnoteRef/>
      </w:r>
      <w:r>
        <w:tab/>
      </w:r>
      <w:r w:rsidRPr="00F7073B">
        <w:t>Act No. 4 of 2013</w:t>
      </w:r>
      <w:r>
        <w:t>.</w:t>
      </w:r>
    </w:p>
  </w:endnote>
  <w:endnote w:id="8">
    <w:p w:rsidR="00F7073B" w:rsidRDefault="00F7073B" w:rsidP="00F7073B">
      <w:pPr>
        <w:pStyle w:val="EndnoteText"/>
        <w:widowControl w:val="0"/>
        <w:tabs>
          <w:tab w:val="clear" w:pos="1021"/>
          <w:tab w:val="right" w:pos="1020"/>
        </w:tabs>
      </w:pPr>
      <w:r>
        <w:tab/>
      </w:r>
      <w:r>
        <w:rPr>
          <w:rStyle w:val="EndnoteReference"/>
        </w:rPr>
        <w:endnoteRef/>
      </w:r>
      <w:r>
        <w:tab/>
      </w:r>
      <w:r w:rsidRPr="00F7073B">
        <w:t>Criminal Law (Sexual Offences and Related Matters) Amendment Act, 2012 [Act No. 10 of 2012]; South Africa Police Service Amendment Act, 2012 [Act No. 12 of 2012]; Use of Official Languages Act, 2012 [Act No. 20 of 2012]; Repeal of the Black Administration Act and Amendment of Certain Laws Amendment Act, 2012 [Act No. 12 of 2013]; National Health Amendment Act, 2013 [Act No. 14 of 2013]; National Environmental Management Laws Amendment Act, 2013 [Act No. 15 of 2013]; Dangerous Weapons Act, 2013 [Act No. 16 of 2013]; Spatial Planning and Land Use Management Act, 2013 [Act No. 17 of 2013]; Commission on Gender Equality Amendment Act, 2013 [Act No. 20 of 2013]; Basic Conditions of Employment Amendment Act, 2013 [Act No. 20 of 2013]; Merchant Shipping (International Oil Pollution) Act, 2013 [Act No. 24 of 2013]; Employment Equity Amendment Act, 2013 [Act No. 47 of 2013]; Employment Services Act, 2014 [Act No. 4 of 2014]; Marine Living Resources Amendment Act, 2014 [Act No. 5 of 2014]; Labour Relations Amendment Act, 2014 [Act No. 6 of 2014]; Mental Health Care Amendment Act, 2014 [Act No. 12 of 2014]; Infrastructure Development Act, 2014 [Act No. 23 of 2014]; National Water Amendment Act, 2014 [Act No. 27 of 2014]; Legal Practice Act, 2014 [Act No. 28 of 2014]; Rental Housing Amendment Act, 2014 [Act No. 35 of 2014]; Criminal Law (Sexual Offences and Related Matters) Amendment Act, 2015 [Act No. 5 of 2015]; Maintenance Amendment Act, 2015 [Act No. 9 of 2015]; Refugees Amendment Act, 2015 [Act No. 10 of 2015]; Immigration Amendment Act, 2016 [Act No. 8 of 2016]; Higher Education Amendment Act, 2016 [Act No. 9 of 2016]; Unemployment Insurance Amendment Act No. 6 of 2012 [Act No. 10 of 2016]; and Children’s Amendment A</w:t>
      </w:r>
      <w:r>
        <w:t>ct, 2016 [Act No. 17 of 2016].</w:t>
      </w:r>
    </w:p>
  </w:endnote>
  <w:endnote w:id="9">
    <w:p w:rsidR="00F7073B" w:rsidRDefault="00F7073B" w:rsidP="00F7073B">
      <w:pPr>
        <w:pStyle w:val="EndnoteText"/>
        <w:widowControl w:val="0"/>
        <w:tabs>
          <w:tab w:val="clear" w:pos="1021"/>
          <w:tab w:val="right" w:pos="1020"/>
        </w:tabs>
      </w:pPr>
      <w:r>
        <w:tab/>
      </w:r>
      <w:r>
        <w:rPr>
          <w:rStyle w:val="EndnoteReference"/>
        </w:rPr>
        <w:endnoteRef/>
      </w:r>
      <w:r>
        <w:tab/>
      </w:r>
      <w:r w:rsidRPr="00F7073B">
        <w:t>Act No. 16 of 2013</w:t>
      </w:r>
      <w:r>
        <w:t>.</w:t>
      </w:r>
    </w:p>
  </w:endnote>
  <w:endnote w:id="10">
    <w:p w:rsidR="00F7073B" w:rsidRDefault="00F7073B" w:rsidP="00F7073B">
      <w:pPr>
        <w:pStyle w:val="EndnoteText"/>
        <w:widowControl w:val="0"/>
        <w:tabs>
          <w:tab w:val="clear" w:pos="1021"/>
          <w:tab w:val="right" w:pos="1020"/>
        </w:tabs>
      </w:pPr>
      <w:r>
        <w:tab/>
      </w:r>
      <w:r>
        <w:rPr>
          <w:rStyle w:val="EndnoteReference"/>
        </w:rPr>
        <w:endnoteRef/>
      </w:r>
      <w:r>
        <w:tab/>
      </w:r>
      <w:r w:rsidRPr="00F7073B">
        <w:t>Act No. 13 of 2004</w:t>
      </w:r>
      <w:r>
        <w:t>.</w:t>
      </w:r>
    </w:p>
  </w:endnote>
  <w:endnote w:id="11">
    <w:p w:rsidR="00F7073B" w:rsidRDefault="00F7073B" w:rsidP="00F7073B">
      <w:pPr>
        <w:pStyle w:val="EndnoteText"/>
        <w:widowControl w:val="0"/>
        <w:tabs>
          <w:tab w:val="clear" w:pos="1021"/>
          <w:tab w:val="right" w:pos="1020"/>
        </w:tabs>
      </w:pPr>
      <w:r>
        <w:tab/>
      </w:r>
      <w:r>
        <w:rPr>
          <w:rStyle w:val="EndnoteReference"/>
        </w:rPr>
        <w:endnoteRef/>
      </w:r>
      <w:r>
        <w:tab/>
      </w:r>
      <w:r w:rsidRPr="00F7073B">
        <w:t>Act No. 9 of 2004</w:t>
      </w:r>
      <w:r>
        <w:t>.</w:t>
      </w:r>
    </w:p>
  </w:endnote>
  <w:endnote w:id="12">
    <w:p w:rsidR="00F7073B" w:rsidRDefault="00F7073B" w:rsidP="00F7073B">
      <w:pPr>
        <w:pStyle w:val="EndnoteText"/>
        <w:widowControl w:val="0"/>
        <w:tabs>
          <w:tab w:val="clear" w:pos="1021"/>
          <w:tab w:val="right" w:pos="1020"/>
        </w:tabs>
      </w:pPr>
      <w:r>
        <w:tab/>
      </w:r>
      <w:r>
        <w:rPr>
          <w:rStyle w:val="EndnoteReference"/>
        </w:rPr>
        <w:endnoteRef/>
      </w:r>
      <w:r>
        <w:tab/>
      </w:r>
      <w:proofErr w:type="gramStart"/>
      <w:r w:rsidRPr="00F7073B">
        <w:t>SA Report to the UN Committee on the Rights of the Child (2015) (para</w:t>
      </w:r>
      <w:r>
        <w:t>.</w:t>
      </w:r>
      <w:r w:rsidRPr="00F7073B">
        <w:t xml:space="preserve"> 91).</w:t>
      </w:r>
      <w:proofErr w:type="gramEnd"/>
    </w:p>
  </w:endnote>
  <w:endnote w:id="13">
    <w:p w:rsidR="00F7073B" w:rsidRDefault="00F7073B" w:rsidP="00F7073B">
      <w:pPr>
        <w:pStyle w:val="EndnoteText"/>
        <w:widowControl w:val="0"/>
        <w:tabs>
          <w:tab w:val="clear" w:pos="1021"/>
          <w:tab w:val="right" w:pos="1020"/>
        </w:tabs>
      </w:pPr>
      <w:r>
        <w:tab/>
      </w:r>
      <w:r>
        <w:rPr>
          <w:rStyle w:val="EndnoteReference"/>
        </w:rPr>
        <w:endnoteRef/>
      </w:r>
      <w:r>
        <w:tab/>
      </w:r>
      <w:r w:rsidRPr="00F7073B">
        <w:t>Act No. 55 of 1998</w:t>
      </w:r>
      <w:r>
        <w:t>.</w:t>
      </w:r>
    </w:p>
  </w:endnote>
  <w:endnote w:id="14">
    <w:p w:rsidR="00F7073B" w:rsidRDefault="00F7073B" w:rsidP="00F7073B">
      <w:pPr>
        <w:pStyle w:val="EndnoteText"/>
        <w:widowControl w:val="0"/>
        <w:tabs>
          <w:tab w:val="clear" w:pos="1021"/>
          <w:tab w:val="right" w:pos="1020"/>
        </w:tabs>
      </w:pPr>
      <w:r>
        <w:tab/>
      </w:r>
      <w:r>
        <w:rPr>
          <w:rStyle w:val="EndnoteReference"/>
        </w:rPr>
        <w:endnoteRef/>
      </w:r>
      <w:r>
        <w:tab/>
      </w:r>
      <w:r w:rsidRPr="00F7073B">
        <w:t>It contains an important amendment that prohibits anyone from requiring or permitting a child under the age of 15 years to work. It also makes it an offence for anyone to require or permit a child to perform any such work or to provide any service that places t</w:t>
      </w:r>
      <w:r>
        <w:t xml:space="preserve">he child’s well-being at risk. </w:t>
      </w:r>
      <w:r w:rsidRPr="00F7073B">
        <w:t>The Amendment Act further empowers the Minister of Labour to regulate a broader range of matters in sectoral determinations, changes the Minister’s powers in relation to sectoral determinations and changes enforcement procedures, which are intended to simplify the Department of Labour’s ability to take enforcement steps against non-compliant employers and to access the Labour Court for this purpose.</w:t>
      </w:r>
    </w:p>
  </w:endnote>
  <w:endnote w:id="15">
    <w:p w:rsidR="00F7073B" w:rsidRDefault="00F7073B" w:rsidP="00F7073B">
      <w:pPr>
        <w:pStyle w:val="EndnoteText"/>
        <w:widowControl w:val="0"/>
        <w:tabs>
          <w:tab w:val="clear" w:pos="1021"/>
          <w:tab w:val="right" w:pos="1020"/>
        </w:tabs>
      </w:pPr>
      <w:r>
        <w:tab/>
      </w:r>
      <w:r>
        <w:rPr>
          <w:rStyle w:val="EndnoteReference"/>
        </w:rPr>
        <w:endnoteRef/>
      </w:r>
      <w:r>
        <w:tab/>
      </w:r>
      <w:r w:rsidRPr="00F7073B">
        <w:t>Act No. 66 of 1995</w:t>
      </w:r>
      <w:r>
        <w:t>.</w:t>
      </w:r>
    </w:p>
  </w:endnote>
  <w:endnote w:id="16">
    <w:p w:rsidR="00F7073B" w:rsidRDefault="00F7073B" w:rsidP="00F7073B">
      <w:pPr>
        <w:pStyle w:val="EndnoteText"/>
        <w:widowControl w:val="0"/>
        <w:tabs>
          <w:tab w:val="clear" w:pos="1021"/>
          <w:tab w:val="right" w:pos="1020"/>
        </w:tabs>
      </w:pPr>
      <w:r>
        <w:tab/>
      </w:r>
      <w:r>
        <w:rPr>
          <w:rStyle w:val="EndnoteReference"/>
        </w:rPr>
        <w:endnoteRef/>
      </w:r>
      <w:r>
        <w:tab/>
      </w:r>
      <w:r w:rsidRPr="00F7073B">
        <w:rPr>
          <w:bCs/>
        </w:rPr>
        <w:t>It is important to note that the Labour Relations Act, 1995 is currently in the process of amendment in order to address the adversarial labour relations environment characterized by the labour unrest and unprotected strikes. South Africa is also currently in the process of establishing a national minimum wage in order to address not only the low levels of wages and income poverty but also to address persistent inequality.</w:t>
      </w:r>
    </w:p>
  </w:endnote>
  <w:endnote w:id="17">
    <w:p w:rsidR="00F7073B" w:rsidRDefault="00F7073B" w:rsidP="00F7073B">
      <w:pPr>
        <w:pStyle w:val="EndnoteText"/>
        <w:widowControl w:val="0"/>
        <w:tabs>
          <w:tab w:val="clear" w:pos="1021"/>
          <w:tab w:val="right" w:pos="1020"/>
        </w:tabs>
      </w:pPr>
      <w:r>
        <w:tab/>
      </w:r>
      <w:r>
        <w:rPr>
          <w:rStyle w:val="EndnoteReference"/>
        </w:rPr>
        <w:endnoteRef/>
      </w:r>
      <w:r>
        <w:tab/>
      </w:r>
      <w:r w:rsidRPr="00F7073B">
        <w:rPr>
          <w:bCs/>
        </w:rPr>
        <w:t>This was done in line with the ILO HIV and Aids Recommendation 2010.</w:t>
      </w:r>
    </w:p>
  </w:endnote>
  <w:endnote w:id="18">
    <w:p w:rsidR="00F7073B" w:rsidRDefault="00F7073B" w:rsidP="00F7073B">
      <w:pPr>
        <w:pStyle w:val="EndnoteText"/>
        <w:widowControl w:val="0"/>
        <w:tabs>
          <w:tab w:val="clear" w:pos="1021"/>
          <w:tab w:val="right" w:pos="1020"/>
        </w:tabs>
      </w:pPr>
      <w:r>
        <w:tab/>
      </w:r>
      <w:r>
        <w:rPr>
          <w:rStyle w:val="EndnoteReference"/>
        </w:rPr>
        <w:endnoteRef/>
      </w:r>
      <w:r>
        <w:tab/>
      </w:r>
      <w:r w:rsidRPr="00F7073B">
        <w:t>The Immigration Act, 2002 (Act No. 13 of 2002)</w:t>
      </w:r>
      <w:r>
        <w:t>.</w:t>
      </w:r>
    </w:p>
  </w:endnote>
  <w:endnote w:id="19">
    <w:p w:rsidR="00F7073B" w:rsidRDefault="00F7073B" w:rsidP="00F7073B">
      <w:pPr>
        <w:pStyle w:val="EndnoteText"/>
        <w:widowControl w:val="0"/>
        <w:tabs>
          <w:tab w:val="clear" w:pos="1021"/>
          <w:tab w:val="right" w:pos="1020"/>
        </w:tabs>
      </w:pPr>
      <w:r>
        <w:tab/>
      </w:r>
      <w:r>
        <w:rPr>
          <w:rStyle w:val="EndnoteReference"/>
        </w:rPr>
        <w:endnoteRef/>
      </w:r>
      <w:r>
        <w:tab/>
      </w:r>
      <w:r w:rsidRPr="00F7073B">
        <w:t>The personnel include: (</w:t>
      </w:r>
      <w:proofErr w:type="spellStart"/>
      <w:r w:rsidRPr="00F7073B">
        <w:t>i</w:t>
      </w:r>
      <w:proofErr w:type="spellEnd"/>
      <w:r w:rsidRPr="00F7073B">
        <w:t xml:space="preserve">) 1 presiding officer; (ii) 2 prosecutors; (iii) 1 intermediary; </w:t>
      </w:r>
      <w:proofErr w:type="gramStart"/>
      <w:r w:rsidRPr="00F7073B">
        <w:t>(iv) 1</w:t>
      </w:r>
      <w:proofErr w:type="gramEnd"/>
      <w:r w:rsidRPr="00F7073B">
        <w:t xml:space="preserve"> designated clerk; (v) 1 designated social worker; (vi) 1 legal aid practitioner; and (vii) 1 court preparation / victim support officer.</w:t>
      </w:r>
    </w:p>
  </w:endnote>
  <w:endnote w:id="20">
    <w:p w:rsidR="006E311C" w:rsidRDefault="006E311C" w:rsidP="006E311C">
      <w:pPr>
        <w:pStyle w:val="EndnoteText"/>
        <w:widowControl w:val="0"/>
        <w:tabs>
          <w:tab w:val="clear" w:pos="1021"/>
          <w:tab w:val="right" w:pos="1020"/>
        </w:tabs>
      </w:pPr>
      <w:r>
        <w:tab/>
      </w:r>
      <w:r>
        <w:rPr>
          <w:rStyle w:val="EndnoteReference"/>
        </w:rPr>
        <w:endnoteRef/>
      </w:r>
      <w:r>
        <w:tab/>
      </w:r>
      <w:r w:rsidRPr="006E311C">
        <w:t>Human Rights Watch, World Report, 2017</w:t>
      </w:r>
      <w:r>
        <w:t>.</w:t>
      </w:r>
    </w:p>
  </w:endnote>
  <w:endnote w:id="21">
    <w:p w:rsidR="006E311C" w:rsidRDefault="006E311C" w:rsidP="006E311C">
      <w:pPr>
        <w:pStyle w:val="EndnoteText"/>
        <w:widowControl w:val="0"/>
        <w:tabs>
          <w:tab w:val="clear" w:pos="1021"/>
          <w:tab w:val="right" w:pos="1020"/>
        </w:tabs>
      </w:pPr>
      <w:r>
        <w:tab/>
      </w:r>
      <w:r>
        <w:rPr>
          <w:rStyle w:val="EndnoteReference"/>
        </w:rPr>
        <w:endnoteRef/>
      </w:r>
      <w:r>
        <w:tab/>
      </w:r>
      <w:r w:rsidRPr="006E311C">
        <w:t>The task team was</w:t>
      </w:r>
      <w:r w:rsidR="000C409F">
        <w:t>,</w:t>
      </w:r>
      <w:r w:rsidRPr="006E311C">
        <w:t xml:space="preserve"> amongst others, tasked to address issues of strengthening legislation, processes, SOP, identifying areas of weaknesses which may prejudice the treatment of LGBTI, devising strategies for training on attitude and sensitivity, identifying and addressing challenges in dealing with issues of same sex marriages. Processes relating to gender change were also revised to ensure improved turnaround time, changes in gender status and newly assumed identity documents. A circular instructing every DHA official around dealings with LGBTI persons was also issued through internal communication. On a regular basis, the Minister holds meetings and media briefings to sensitise people about a myriad of issues (including LGBTI), the human rights issues of LGBTI persons. The DHA is working around the clock to ensure the changing sex of transgender people are reflected in their ID documents; the registration of adoptions by same-sex couples; and the treatment of asylum seekers on the basis of sexual orientation. The DHA compiled and distributed a list of Home Affairs branches that offer same-sex marriage services, to avoid unnecessary inconvenience. The list was published on the departmental website. The Minister had set up a task team, consisting of departmental officials and LGBTI groups, to review legislation, clarify those areas in law that are not clear, and to standardise operations at Home Affairs. Such meetings are chaired by a DDG who reports progress to DG and Minister. Recommendations on the way forward and a timeline to resolve issues shall be tabled to the Minister in the not too distant future.</w:t>
      </w:r>
    </w:p>
  </w:endnote>
  <w:endnote w:id="22">
    <w:p w:rsidR="006E311C" w:rsidRDefault="006E311C" w:rsidP="006E311C">
      <w:pPr>
        <w:pStyle w:val="EndnoteText"/>
        <w:widowControl w:val="0"/>
        <w:tabs>
          <w:tab w:val="clear" w:pos="1021"/>
          <w:tab w:val="right" w:pos="1020"/>
        </w:tabs>
      </w:pPr>
      <w:r>
        <w:tab/>
      </w:r>
      <w:r>
        <w:rPr>
          <w:rStyle w:val="EndnoteReference"/>
        </w:rPr>
        <w:endnoteRef/>
      </w:r>
      <w:r>
        <w:tab/>
      </w:r>
      <w:r w:rsidRPr="006E311C">
        <w:t>Legal Aid South Africa has done sterling work in advancing access to justice for indigent persons in need of legal representation, though there are still challenges in the sense that demand outweighs supply and Legal Aid South Africa is unable to assist all the persons currently in need of their services.</w:t>
      </w:r>
    </w:p>
  </w:endnote>
  <w:endnote w:id="23">
    <w:p w:rsidR="006E311C" w:rsidRDefault="006E311C" w:rsidP="006E311C">
      <w:pPr>
        <w:pStyle w:val="EndnoteText"/>
        <w:widowControl w:val="0"/>
        <w:tabs>
          <w:tab w:val="clear" w:pos="1021"/>
          <w:tab w:val="right" w:pos="1020"/>
        </w:tabs>
      </w:pPr>
      <w:r>
        <w:tab/>
      </w:r>
      <w:r>
        <w:rPr>
          <w:rStyle w:val="EndnoteReference"/>
        </w:rPr>
        <w:endnoteRef/>
      </w:r>
      <w:r>
        <w:tab/>
      </w:r>
      <w:r w:rsidRPr="006E311C">
        <w:t xml:space="preserve">Operation </w:t>
      </w:r>
      <w:proofErr w:type="spellStart"/>
      <w:r w:rsidRPr="006E311C">
        <w:rPr>
          <w:lang w:val="en-US"/>
        </w:rPr>
        <w:t>Funda</w:t>
      </w:r>
      <w:proofErr w:type="spellEnd"/>
      <w:r w:rsidRPr="006E311C">
        <w:rPr>
          <w:lang w:val="en-US"/>
        </w:rPr>
        <w:t xml:space="preserve"> means Operation learn.</w:t>
      </w:r>
    </w:p>
  </w:endnote>
  <w:endnote w:id="24">
    <w:p w:rsidR="006E311C" w:rsidRDefault="006E311C" w:rsidP="006E311C">
      <w:pPr>
        <w:pStyle w:val="EndnoteText"/>
        <w:widowControl w:val="0"/>
        <w:tabs>
          <w:tab w:val="clear" w:pos="1021"/>
          <w:tab w:val="right" w:pos="1020"/>
        </w:tabs>
      </w:pPr>
      <w:r>
        <w:tab/>
      </w:r>
      <w:r>
        <w:rPr>
          <w:rStyle w:val="EndnoteReference"/>
        </w:rPr>
        <w:endnoteRef/>
      </w:r>
      <w:r>
        <w:tab/>
      </w:r>
      <w:r w:rsidRPr="006E311C">
        <w:t>Act No. 10 of 2013</w:t>
      </w:r>
      <w:r>
        <w:t>.</w:t>
      </w:r>
    </w:p>
  </w:endnote>
  <w:endnote w:id="25">
    <w:p w:rsidR="006E311C" w:rsidRDefault="006E311C" w:rsidP="006E311C">
      <w:pPr>
        <w:pStyle w:val="EndnoteText"/>
        <w:widowControl w:val="0"/>
        <w:tabs>
          <w:tab w:val="clear" w:pos="1021"/>
          <w:tab w:val="right" w:pos="1020"/>
        </w:tabs>
      </w:pPr>
      <w:r>
        <w:tab/>
      </w:r>
      <w:r>
        <w:rPr>
          <w:rStyle w:val="EndnoteReference"/>
        </w:rPr>
        <w:endnoteRef/>
      </w:r>
      <w:r>
        <w:tab/>
      </w:r>
      <w:r w:rsidRPr="006E311C">
        <w:t>2012 (5) SA 476 (CC)</w:t>
      </w:r>
      <w:r>
        <w:t>.</w:t>
      </w:r>
    </w:p>
  </w:endnote>
  <w:endnote w:id="26">
    <w:p w:rsidR="006E311C" w:rsidRPr="00F401AE" w:rsidRDefault="006E311C" w:rsidP="006E311C">
      <w:pPr>
        <w:pStyle w:val="EndnoteText"/>
        <w:widowControl w:val="0"/>
        <w:tabs>
          <w:tab w:val="clear" w:pos="1021"/>
          <w:tab w:val="right" w:pos="1020"/>
        </w:tabs>
        <w:rPr>
          <w:lang w:val="es-ES"/>
        </w:rPr>
      </w:pPr>
      <w:r>
        <w:tab/>
      </w:r>
      <w:r>
        <w:rPr>
          <w:rStyle w:val="EndnoteReference"/>
        </w:rPr>
        <w:endnoteRef/>
      </w:r>
      <w:r w:rsidRPr="00F401AE">
        <w:rPr>
          <w:lang w:val="es-ES"/>
        </w:rPr>
        <w:tab/>
        <w:t>Paras. 67, 68.</w:t>
      </w:r>
    </w:p>
  </w:endnote>
  <w:endnote w:id="27">
    <w:p w:rsidR="006E311C" w:rsidRPr="00F401AE" w:rsidRDefault="006E311C" w:rsidP="006E311C">
      <w:pPr>
        <w:pStyle w:val="EndnoteText"/>
        <w:widowControl w:val="0"/>
        <w:tabs>
          <w:tab w:val="clear" w:pos="1021"/>
          <w:tab w:val="right" w:pos="1020"/>
        </w:tabs>
        <w:rPr>
          <w:lang w:val="es-ES"/>
        </w:rPr>
      </w:pPr>
      <w:r w:rsidRPr="00F401AE">
        <w:rPr>
          <w:lang w:val="es-ES"/>
        </w:rPr>
        <w:tab/>
      </w:r>
      <w:r>
        <w:rPr>
          <w:rStyle w:val="EndnoteReference"/>
        </w:rPr>
        <w:endnoteRef/>
      </w:r>
      <w:r w:rsidRPr="00F401AE">
        <w:rPr>
          <w:lang w:val="es-ES"/>
        </w:rPr>
        <w:tab/>
        <w:t>2012 (5) BCLR 537 (GSJ).</w:t>
      </w:r>
    </w:p>
  </w:endnote>
  <w:endnote w:id="28">
    <w:p w:rsidR="006E311C" w:rsidRPr="00F401AE" w:rsidRDefault="006E311C" w:rsidP="006E311C">
      <w:pPr>
        <w:pStyle w:val="EndnoteText"/>
        <w:widowControl w:val="0"/>
        <w:tabs>
          <w:tab w:val="clear" w:pos="1021"/>
          <w:tab w:val="right" w:pos="1020"/>
        </w:tabs>
        <w:rPr>
          <w:lang w:val="es-ES"/>
        </w:rPr>
      </w:pPr>
      <w:r w:rsidRPr="00F401AE">
        <w:rPr>
          <w:lang w:val="es-ES"/>
        </w:rPr>
        <w:tab/>
      </w:r>
      <w:r>
        <w:rPr>
          <w:rStyle w:val="EndnoteReference"/>
        </w:rPr>
        <w:endnoteRef/>
      </w:r>
      <w:r w:rsidRPr="00F401AE">
        <w:rPr>
          <w:lang w:val="es-ES"/>
        </w:rPr>
        <w:tab/>
        <w:t>2013 (9) BCLR 989 (CC).</w:t>
      </w:r>
    </w:p>
  </w:endnote>
  <w:endnote w:id="29">
    <w:p w:rsidR="006E311C" w:rsidRDefault="006E311C" w:rsidP="006E311C">
      <w:pPr>
        <w:pStyle w:val="EndnoteText"/>
        <w:widowControl w:val="0"/>
        <w:tabs>
          <w:tab w:val="clear" w:pos="1021"/>
          <w:tab w:val="right" w:pos="1020"/>
        </w:tabs>
      </w:pPr>
      <w:r w:rsidRPr="00F401AE">
        <w:rPr>
          <w:lang w:val="es-ES"/>
        </w:rPr>
        <w:tab/>
      </w:r>
      <w:r>
        <w:rPr>
          <w:rStyle w:val="EndnoteReference"/>
        </w:rPr>
        <w:endnoteRef/>
      </w:r>
      <w:r>
        <w:tab/>
      </w:r>
      <w:r w:rsidRPr="006E311C">
        <w:t>In this case, a 16-year old fell pregnant. In accordance with the school’s pregnancy policy, the learner would not be allowed to write her year-end examinations and would then have to repeat grade 11.</w:t>
      </w:r>
    </w:p>
  </w:endnote>
  <w:endnote w:id="30">
    <w:p w:rsidR="006E311C" w:rsidRDefault="006E311C" w:rsidP="006E311C">
      <w:pPr>
        <w:pStyle w:val="EndnoteText"/>
        <w:widowControl w:val="0"/>
        <w:tabs>
          <w:tab w:val="clear" w:pos="1021"/>
          <w:tab w:val="right" w:pos="1020"/>
        </w:tabs>
      </w:pPr>
      <w:r>
        <w:tab/>
      </w:r>
      <w:r>
        <w:rPr>
          <w:rStyle w:val="EndnoteReference"/>
        </w:rPr>
        <w:endnoteRef/>
      </w:r>
      <w:r>
        <w:tab/>
      </w:r>
      <w:r w:rsidRPr="006E311C">
        <w:t xml:space="preserve">See, for example, </w:t>
      </w:r>
      <w:r w:rsidRPr="006E311C">
        <w:rPr>
          <w:i/>
        </w:rPr>
        <w:t>Land Access Movement of South Africa v the Chairperson of the NCOP</w:t>
      </w:r>
      <w:r w:rsidRPr="006E311C">
        <w:t xml:space="preserve"> 2016 (5) SA 635 (CC).</w:t>
      </w:r>
    </w:p>
  </w:endnote>
  <w:endnote w:id="31">
    <w:p w:rsidR="006E311C" w:rsidRDefault="006E311C" w:rsidP="006E311C">
      <w:pPr>
        <w:pStyle w:val="EndnoteText"/>
        <w:widowControl w:val="0"/>
        <w:tabs>
          <w:tab w:val="clear" w:pos="1021"/>
          <w:tab w:val="right" w:pos="1020"/>
        </w:tabs>
      </w:pPr>
      <w:r>
        <w:tab/>
      </w:r>
      <w:r>
        <w:rPr>
          <w:rStyle w:val="EndnoteReference"/>
        </w:rPr>
        <w:endnoteRef/>
      </w:r>
      <w:r>
        <w:tab/>
      </w:r>
      <w:r w:rsidRPr="006E311C">
        <w:t xml:space="preserve">The International Convention on Civil and Political Rights (ICCPR) report was completed and submitted to the UN. In March 2016 the UN Committee on Human Rights reviewed the country report and dialogued with a high level South African delegation on the report. The 4th – 8th periodic reports on the International Convention on the Elimination of Racial Discrimination (ICERD) </w:t>
      </w:r>
      <w:proofErr w:type="gramStart"/>
      <w:r w:rsidRPr="006E311C">
        <w:t>was</w:t>
      </w:r>
      <w:proofErr w:type="gramEnd"/>
      <w:r w:rsidRPr="006E311C">
        <w:t xml:space="preserve"> submitted to the UN in 2012. The review of the reports by the CERD was held in August 2016. The next 9th-11th periodic reports are due in January 2020. The report on the African Charter on Human and Peoples Rights (ACHPR) was submitted to the AU in February 2016 and reviewed by July 2016. The Report on the International Convention </w:t>
      </w:r>
      <w:proofErr w:type="gramStart"/>
      <w:r w:rsidRPr="006E311C">
        <w:t>Against</w:t>
      </w:r>
      <w:proofErr w:type="gramEnd"/>
      <w:r w:rsidRPr="006E311C">
        <w:t xml:space="preserve"> Torture and Other Cruel, Inhuman or Degrading Treatment or Punishment (CAT) Report was submitted to the UN in 2015. The Initial Report on the African Charter on the Rights and Welfare of the Child was submitted in 2014 and reviewed in 2015 and a combined 2nd, 3rd and 4th Report on the UN Committee on the Rights of the Child was submitted to the UN in 2015 (together with an initial report on the Optional Protocol on the sale of children and child prostitution and child pornography) both of which were reviewed in 2016.</w:t>
      </w:r>
    </w:p>
  </w:endnote>
  <w:endnote w:id="32">
    <w:p w:rsidR="006E311C" w:rsidRDefault="006E311C" w:rsidP="006E311C">
      <w:pPr>
        <w:pStyle w:val="EndnoteText"/>
        <w:widowControl w:val="0"/>
        <w:tabs>
          <w:tab w:val="clear" w:pos="1021"/>
          <w:tab w:val="right" w:pos="1020"/>
        </w:tabs>
      </w:pPr>
      <w:r>
        <w:tab/>
      </w:r>
      <w:r>
        <w:rPr>
          <w:rStyle w:val="EndnoteReference"/>
        </w:rPr>
        <w:endnoteRef/>
      </w:r>
      <w:r>
        <w:tab/>
      </w:r>
      <w:r w:rsidRPr="006E311C">
        <w:t xml:space="preserve">South Africa’s commitment to stamping out discrimination against women is further reflected in its accession to the Convention on the Elimination of all Forms of Discrimination against Women without reservations. South Africa also ratified the Optional Protocol to the Convention on the Elimination of All Forms of Discrimination against Women without reservations. </w:t>
      </w:r>
      <w:r w:rsidR="000C409F">
        <w:t xml:space="preserve">The </w:t>
      </w:r>
      <w:r w:rsidRPr="006E311C">
        <w:t>Government has further committed itself through the SADC Protocol on Gender and Development and the Beijing Platform of Action to undertake activities to promote the human rights of women.</w:t>
      </w:r>
    </w:p>
  </w:endnote>
  <w:endnote w:id="33">
    <w:p w:rsidR="006E311C" w:rsidRDefault="006E311C" w:rsidP="006E311C">
      <w:pPr>
        <w:pStyle w:val="EndnoteText"/>
        <w:widowControl w:val="0"/>
        <w:tabs>
          <w:tab w:val="clear" w:pos="1021"/>
          <w:tab w:val="right" w:pos="1020"/>
        </w:tabs>
      </w:pPr>
      <w:r>
        <w:tab/>
      </w:r>
      <w:r>
        <w:rPr>
          <w:rStyle w:val="EndnoteReference"/>
        </w:rPr>
        <w:endnoteRef/>
      </w:r>
      <w:r>
        <w:tab/>
      </w:r>
      <w:r w:rsidRPr="006E311C">
        <w:t>SEJA has 6 focus areas, which include:</w:t>
      </w:r>
    </w:p>
    <w:p w:rsidR="006E311C" w:rsidRPr="00F46244" w:rsidRDefault="006E311C" w:rsidP="006E311C">
      <w:pPr>
        <w:pStyle w:val="Bullet1G"/>
        <w:tabs>
          <w:tab w:val="clear" w:pos="1701"/>
          <w:tab w:val="num" w:pos="1276"/>
        </w:tabs>
        <w:spacing w:after="0"/>
        <w:ind w:left="1276" w:hanging="142"/>
        <w:rPr>
          <w:sz w:val="18"/>
          <w:szCs w:val="18"/>
        </w:rPr>
      </w:pPr>
      <w:r w:rsidRPr="00F46244">
        <w:rPr>
          <w:sz w:val="18"/>
          <w:szCs w:val="18"/>
        </w:rPr>
        <w:t>Awareness of constitutional rights, with an emphasis on socio-economic rights and on vulnerable groups;</w:t>
      </w:r>
    </w:p>
    <w:p w:rsidR="006E311C" w:rsidRPr="00F46244" w:rsidRDefault="006E311C" w:rsidP="006E311C">
      <w:pPr>
        <w:pStyle w:val="Bullet1G"/>
        <w:tabs>
          <w:tab w:val="clear" w:pos="1701"/>
          <w:tab w:val="num" w:pos="1276"/>
        </w:tabs>
        <w:spacing w:after="0"/>
        <w:ind w:left="1276" w:hanging="142"/>
        <w:rPr>
          <w:sz w:val="18"/>
          <w:szCs w:val="18"/>
        </w:rPr>
      </w:pPr>
      <w:r w:rsidRPr="00F46244">
        <w:rPr>
          <w:sz w:val="18"/>
          <w:szCs w:val="18"/>
        </w:rPr>
        <w:t>Enhanced participatory democracy through public policy dialogues on constitutional rights;</w:t>
      </w:r>
    </w:p>
    <w:p w:rsidR="006E311C" w:rsidRPr="00F46244" w:rsidRDefault="006E311C" w:rsidP="006E311C">
      <w:pPr>
        <w:pStyle w:val="Bullet1G"/>
        <w:tabs>
          <w:tab w:val="clear" w:pos="1701"/>
          <w:tab w:val="num" w:pos="1276"/>
        </w:tabs>
        <w:spacing w:after="0"/>
        <w:ind w:left="1276" w:hanging="142"/>
        <w:rPr>
          <w:sz w:val="18"/>
          <w:szCs w:val="18"/>
        </w:rPr>
      </w:pPr>
      <w:r w:rsidRPr="00F46244">
        <w:rPr>
          <w:sz w:val="18"/>
          <w:szCs w:val="18"/>
        </w:rPr>
        <w:t>Sustained collaboration between Government, Chapter 9 institutions, civil society organisations and other stakeholders in justice service delivery and socio-economic rights (including support for community advice offices);</w:t>
      </w:r>
    </w:p>
    <w:p w:rsidR="006E311C" w:rsidRPr="00F46244" w:rsidRDefault="006E311C" w:rsidP="006E311C">
      <w:pPr>
        <w:pStyle w:val="Bullet1G"/>
        <w:tabs>
          <w:tab w:val="clear" w:pos="1701"/>
          <w:tab w:val="num" w:pos="1276"/>
        </w:tabs>
        <w:spacing w:after="0"/>
        <w:ind w:left="1276" w:hanging="142"/>
        <w:rPr>
          <w:sz w:val="18"/>
          <w:szCs w:val="18"/>
        </w:rPr>
      </w:pPr>
      <w:r w:rsidRPr="00F46244">
        <w:rPr>
          <w:sz w:val="18"/>
          <w:szCs w:val="18"/>
        </w:rPr>
        <w:t>Research on socio-economic rights and jurisprudence;</w:t>
      </w:r>
    </w:p>
    <w:p w:rsidR="006E311C" w:rsidRPr="00F46244" w:rsidRDefault="006E311C" w:rsidP="006E311C">
      <w:pPr>
        <w:pStyle w:val="Bullet1G"/>
        <w:tabs>
          <w:tab w:val="clear" w:pos="1701"/>
          <w:tab w:val="num" w:pos="1276"/>
        </w:tabs>
        <w:spacing w:after="0"/>
        <w:ind w:left="1276" w:hanging="142"/>
        <w:rPr>
          <w:sz w:val="18"/>
          <w:szCs w:val="18"/>
        </w:rPr>
      </w:pPr>
      <w:r w:rsidRPr="00F46244">
        <w:rPr>
          <w:sz w:val="18"/>
          <w:szCs w:val="18"/>
        </w:rPr>
        <w:t xml:space="preserve">Sector co-ordination and policy design on constitutional development, and </w:t>
      </w:r>
    </w:p>
    <w:p w:rsidR="006E311C" w:rsidRDefault="006E311C" w:rsidP="006E311C">
      <w:pPr>
        <w:pStyle w:val="Bullet1G"/>
        <w:tabs>
          <w:tab w:val="clear" w:pos="1701"/>
          <w:tab w:val="num" w:pos="1276"/>
        </w:tabs>
        <w:spacing w:after="0"/>
        <w:ind w:left="1276" w:hanging="142"/>
      </w:pPr>
      <w:r w:rsidRPr="00F46244">
        <w:rPr>
          <w:sz w:val="18"/>
          <w:szCs w:val="18"/>
        </w:rPr>
        <w:t>Strengthened capacity, engagement and participation of civil society organisations in the realisation of constitutional rights.</w:t>
      </w:r>
    </w:p>
  </w:endnote>
  <w:endnote w:id="34">
    <w:p w:rsidR="006E311C" w:rsidRDefault="006E311C" w:rsidP="006E311C">
      <w:pPr>
        <w:pStyle w:val="EndnoteText"/>
        <w:widowControl w:val="0"/>
        <w:tabs>
          <w:tab w:val="clear" w:pos="1021"/>
          <w:tab w:val="right" w:pos="1020"/>
        </w:tabs>
      </w:pPr>
      <w:r>
        <w:tab/>
      </w:r>
      <w:r>
        <w:rPr>
          <w:rStyle w:val="EndnoteReference"/>
        </w:rPr>
        <w:endnoteRef/>
      </w:r>
      <w:r>
        <w:tab/>
      </w:r>
      <w:r w:rsidRPr="006E311C">
        <w:t>Such as the Promotion of Equality and Prevention of Unfair Discrimination Act, the Promotion of Administrative Justice Act and the Promotion of Access to Information Act.</w:t>
      </w:r>
    </w:p>
  </w:endnote>
  <w:endnote w:id="35">
    <w:p w:rsidR="006E311C" w:rsidRDefault="006E311C" w:rsidP="006E311C">
      <w:pPr>
        <w:pStyle w:val="EndnoteText"/>
        <w:widowControl w:val="0"/>
        <w:tabs>
          <w:tab w:val="clear" w:pos="1021"/>
          <w:tab w:val="right" w:pos="1020"/>
        </w:tabs>
      </w:pPr>
      <w:r>
        <w:tab/>
      </w:r>
      <w:r>
        <w:rPr>
          <w:rStyle w:val="EndnoteReference"/>
        </w:rPr>
        <w:endnoteRef/>
      </w:r>
      <w:r>
        <w:tab/>
      </w:r>
      <w:r w:rsidRPr="006E311C">
        <w:t>For the sake of clarity it should be noted that the SALRC’s Project 107 does not use the terminology “sex work” as this pre-supposes the recognition of the sa</w:t>
      </w:r>
      <w:r>
        <w:t>le of sexual services as work.</w:t>
      </w:r>
      <w:r w:rsidRPr="006E311C">
        <w:t xml:space="preserve"> A policy choice has not been made in this regard. Option 1: Repeal the Sexual Offences Act, 1957 and amend the Criminal Law (Sexual Offences and Related Matters) Act, 2007 to criminalise prostitution and all prostitution related offences. This option is coupled to diversion as currently provided for low level crime to facilitate exit </w:t>
      </w:r>
      <w:proofErr w:type="spellStart"/>
      <w:r w:rsidRPr="006E311C">
        <w:t>i.e</w:t>
      </w:r>
      <w:proofErr w:type="spellEnd"/>
      <w:r w:rsidRPr="006E311C">
        <w:t xml:space="preserve"> total criminalisation. Option 2: Repeal the Sexual Offences Act, 1957 and amend the Criminal Law (Sexual Offences and Related Matters) Act, 2007 to criminalise prostitution and all prostitution related offences with the exception of the person selling sexual services i.e. partial criminalisation.</w:t>
      </w:r>
    </w:p>
  </w:endnote>
  <w:endnote w:id="36">
    <w:p w:rsidR="006E311C" w:rsidRDefault="006E311C" w:rsidP="006E311C">
      <w:pPr>
        <w:pStyle w:val="EndnoteText"/>
        <w:widowControl w:val="0"/>
        <w:tabs>
          <w:tab w:val="clear" w:pos="1021"/>
          <w:tab w:val="right" w:pos="1020"/>
        </w:tabs>
      </w:pPr>
      <w:r>
        <w:tab/>
      </w:r>
      <w:r>
        <w:rPr>
          <w:rStyle w:val="EndnoteReference"/>
        </w:rPr>
        <w:endnoteRef/>
      </w:r>
      <w:r>
        <w:tab/>
      </w:r>
      <w:r w:rsidRPr="006E311C">
        <w:t xml:space="preserve">The bulk of this funding is from </w:t>
      </w:r>
      <w:r w:rsidR="000C409F">
        <w:t xml:space="preserve">the </w:t>
      </w:r>
      <w:r w:rsidRPr="006E311C">
        <w:t xml:space="preserve">Government, with mining companies contributing approximately a third of the funding. The mandate of the IMC is to oversee the implementation of integrated and sustainable human settlements, improve living and working conditions of mine workers and determine the development path of mining towns and the historic labour sending areas. </w:t>
      </w:r>
      <w:r w:rsidR="000C409F">
        <w:t xml:space="preserve">The </w:t>
      </w:r>
      <w:r w:rsidRPr="006E311C">
        <w:t>Government has undertaken a socio-economic diagnostic study of the 15 prioritised mining towns and 12 prioritised labour sending areas to better understand the extent of the challenges in each town and to determine the most appropriate actions to address these.</w:t>
      </w:r>
    </w:p>
  </w:endnote>
  <w:endnote w:id="37">
    <w:p w:rsidR="006E311C" w:rsidRDefault="006E311C" w:rsidP="006E311C">
      <w:pPr>
        <w:pStyle w:val="EndnoteText"/>
        <w:widowControl w:val="0"/>
        <w:tabs>
          <w:tab w:val="clear" w:pos="1021"/>
          <w:tab w:val="right" w:pos="1020"/>
        </w:tabs>
      </w:pPr>
      <w:r>
        <w:tab/>
      </w:r>
      <w:r>
        <w:rPr>
          <w:rStyle w:val="EndnoteReference"/>
        </w:rPr>
        <w:endnoteRef/>
      </w:r>
      <w:r>
        <w:tab/>
      </w:r>
      <w:r w:rsidRPr="006E311C">
        <w:t>Millennium Development Goal 5: Improve maternal health 2015/ Statistics South Africa</w:t>
      </w:r>
      <w:r>
        <w:t>.</w:t>
      </w:r>
    </w:p>
  </w:endnote>
  <w:endnote w:id="38">
    <w:p w:rsidR="006E311C" w:rsidRDefault="006E311C" w:rsidP="006E311C">
      <w:pPr>
        <w:pStyle w:val="EndnoteText"/>
        <w:widowControl w:val="0"/>
        <w:tabs>
          <w:tab w:val="clear" w:pos="1021"/>
          <w:tab w:val="right" w:pos="1020"/>
        </w:tabs>
      </w:pPr>
      <w:r>
        <w:tab/>
      </w:r>
      <w:r>
        <w:rPr>
          <w:rStyle w:val="EndnoteReference"/>
        </w:rPr>
        <w:endnoteRef/>
      </w:r>
      <w:r>
        <w:tab/>
      </w:r>
      <w:proofErr w:type="gramStart"/>
      <w:r w:rsidRPr="006E311C">
        <w:t>The 1954 Convention Relating to the Status of Stateless Persons and the 1961 Convention on the Reduction of Statelessness.</w:t>
      </w:r>
      <w:proofErr w:type="gramEnd"/>
    </w:p>
  </w:endnote>
  <w:endnote w:id="39">
    <w:p w:rsidR="006E311C" w:rsidRDefault="006E311C" w:rsidP="006E311C">
      <w:pPr>
        <w:pStyle w:val="EndnoteText"/>
        <w:widowControl w:val="0"/>
        <w:tabs>
          <w:tab w:val="clear" w:pos="1021"/>
          <w:tab w:val="right" w:pos="1020"/>
        </w:tabs>
      </w:pPr>
      <w:r>
        <w:tab/>
      </w:r>
      <w:r>
        <w:rPr>
          <w:rStyle w:val="EndnoteReference"/>
        </w:rPr>
        <w:endnoteRef/>
      </w:r>
      <w:r>
        <w:tab/>
      </w:r>
      <w:proofErr w:type="gramStart"/>
      <w:r w:rsidRPr="006E311C">
        <w:t>The Citizenship Act of 1995 and the Immigration Act of 2002.</w:t>
      </w:r>
      <w:proofErr w:type="gramEnd"/>
    </w:p>
  </w:endnote>
  <w:endnote w:id="40">
    <w:p w:rsidR="006E311C" w:rsidRDefault="006E311C" w:rsidP="006E311C">
      <w:pPr>
        <w:pStyle w:val="EndnoteText"/>
        <w:widowControl w:val="0"/>
        <w:tabs>
          <w:tab w:val="clear" w:pos="1021"/>
          <w:tab w:val="right" w:pos="1020"/>
        </w:tabs>
      </w:pPr>
      <w:r>
        <w:tab/>
      </w:r>
      <w:r>
        <w:rPr>
          <w:rStyle w:val="EndnoteReference"/>
        </w:rPr>
        <w:endnoteRef/>
      </w:r>
      <w:r>
        <w:tab/>
        <w:t xml:space="preserve">The existence of </w:t>
      </w:r>
      <w:r w:rsidRPr="006E311C">
        <w:t xml:space="preserve">LRB poses </w:t>
      </w:r>
      <w:r>
        <w:t xml:space="preserve">serious security </w:t>
      </w:r>
      <w:r w:rsidRPr="006E311C">
        <w:t>risks for the country as it opens possibilities for fraudulent entries into the National Population Register.</w:t>
      </w:r>
    </w:p>
  </w:endnote>
  <w:endnote w:id="41">
    <w:p w:rsidR="006E311C" w:rsidRDefault="006E311C" w:rsidP="006E311C">
      <w:pPr>
        <w:pStyle w:val="EndnoteText"/>
        <w:widowControl w:val="0"/>
        <w:tabs>
          <w:tab w:val="clear" w:pos="1021"/>
          <w:tab w:val="right" w:pos="1020"/>
        </w:tabs>
      </w:pPr>
      <w:r>
        <w:tab/>
      </w:r>
      <w:r>
        <w:rPr>
          <w:rStyle w:val="EndnoteReference"/>
        </w:rPr>
        <w:endnoteRef/>
      </w:r>
      <w:r>
        <w:tab/>
      </w:r>
      <w:r w:rsidRPr="006E311C">
        <w:t>From registering 39% of all births within 30 days in 2010/11, we registered approximately 67% of all births within 30 days in 2015/16.</w:t>
      </w:r>
    </w:p>
  </w:endnote>
  <w:endnote w:id="42">
    <w:p w:rsidR="006E311C" w:rsidRDefault="006E311C" w:rsidP="006E311C">
      <w:pPr>
        <w:pStyle w:val="EndnoteText"/>
        <w:widowControl w:val="0"/>
        <w:tabs>
          <w:tab w:val="clear" w:pos="1021"/>
          <w:tab w:val="right" w:pos="1020"/>
        </w:tabs>
      </w:pPr>
      <w:r>
        <w:tab/>
      </w:r>
      <w:r>
        <w:rPr>
          <w:rStyle w:val="EndnoteReference"/>
        </w:rPr>
        <w:endnoteRef/>
      </w:r>
      <w:r>
        <w:tab/>
      </w:r>
      <w:proofErr w:type="gramStart"/>
      <w:r w:rsidRPr="006E311C">
        <w:t>Accessed on A_HTC_21_16Add.1_SouthAfrica_E_Annex</w:t>
      </w:r>
      <w:r>
        <w:t>.</w:t>
      </w:r>
      <w:proofErr w:type="gramEnd"/>
    </w:p>
  </w:endnote>
  <w:endnote w:id="43">
    <w:p w:rsidR="006E311C" w:rsidRDefault="006E311C" w:rsidP="006E311C">
      <w:pPr>
        <w:pStyle w:val="EndnoteText"/>
        <w:widowControl w:val="0"/>
        <w:tabs>
          <w:tab w:val="clear" w:pos="1021"/>
          <w:tab w:val="right" w:pos="1020"/>
        </w:tabs>
      </w:pPr>
      <w:r>
        <w:tab/>
      </w:r>
      <w:r>
        <w:rPr>
          <w:rStyle w:val="EndnoteReference"/>
        </w:rPr>
        <w:endnoteRef/>
      </w:r>
      <w:r>
        <w:tab/>
      </w:r>
      <w:proofErr w:type="gramStart"/>
      <w:r w:rsidRPr="006E311C">
        <w:t>The Justice, Crime Prevention and Security Cluster, International Cooperation, Trade and Security Cluster and Social Protection, Community and Human Development Clusters.</w:t>
      </w:r>
      <w:proofErr w:type="gramEnd"/>
    </w:p>
  </w:endnote>
  <w:endnote w:id="44">
    <w:p w:rsidR="006E311C" w:rsidRDefault="006E311C" w:rsidP="006E311C">
      <w:pPr>
        <w:pStyle w:val="EndnoteText"/>
        <w:widowControl w:val="0"/>
        <w:tabs>
          <w:tab w:val="clear" w:pos="1021"/>
          <w:tab w:val="right" w:pos="1020"/>
        </w:tabs>
      </w:pPr>
      <w:r>
        <w:tab/>
      </w:r>
      <w:r>
        <w:rPr>
          <w:rStyle w:val="EndnoteReference"/>
        </w:rPr>
        <w:endnoteRef/>
      </w:r>
      <w:r>
        <w:tab/>
      </w:r>
      <w:r w:rsidRPr="006E311C">
        <w:t>The Ministers of Justice and Correctional Services, International Relations and Cooperation and the Minister in the Presidency responsible for Performance, Monitoring and Evaluation play a political oversight role on compliance. An Inter-departmental Committee on Treaty Obligations (IDC), constituted by Government officials with technical knowledge on human rights, was established in 2013. The IDC is open-ended and chaired by the Departments of Justice and Constitutional Development and International Relations and Cooperation (DIRCO). The essence of the IDC is to deal with issues of compliance and to address the need for capacity. A Government training manual on treaty obligations has been developed and this will be complemented by other training programmes.</w:t>
      </w:r>
    </w:p>
    <w:p w:rsidR="006E311C" w:rsidRPr="006E311C" w:rsidRDefault="006E311C" w:rsidP="006E311C">
      <w:pPr>
        <w:pStyle w:val="EndnoteText"/>
        <w:tabs>
          <w:tab w:val="clear" w:pos="1021"/>
          <w:tab w:val="right" w:pos="1020"/>
        </w:tabs>
        <w:spacing w:before="240" w:line="240" w:lineRule="atLeast"/>
        <w:ind w:firstLine="0"/>
        <w:jc w:val="center"/>
        <w:rPr>
          <w:u w:val="single"/>
        </w:rPr>
      </w:pPr>
      <w:r>
        <w:rPr>
          <w:u w:val="single"/>
        </w:rPr>
        <w:tab/>
      </w:r>
      <w:r>
        <w:rPr>
          <w:u w:val="single"/>
        </w:rPr>
        <w:tab/>
      </w:r>
      <w:r>
        <w:rPr>
          <w:u w:val="single"/>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0C5" w:rsidRPr="007B5271" w:rsidRDefault="00E510C5" w:rsidP="007B5271">
    <w:pPr>
      <w:pStyle w:val="Footer"/>
      <w:tabs>
        <w:tab w:val="right" w:pos="9638"/>
      </w:tabs>
    </w:pPr>
    <w:r w:rsidRPr="007B5271">
      <w:rPr>
        <w:b/>
        <w:sz w:val="18"/>
      </w:rPr>
      <w:fldChar w:fldCharType="begin"/>
    </w:r>
    <w:r w:rsidRPr="007B5271">
      <w:rPr>
        <w:b/>
        <w:sz w:val="18"/>
      </w:rPr>
      <w:instrText xml:space="preserve"> PAGE  \* MERGEFORMAT </w:instrText>
    </w:r>
    <w:r w:rsidRPr="007B5271">
      <w:rPr>
        <w:b/>
        <w:sz w:val="18"/>
      </w:rPr>
      <w:fldChar w:fldCharType="separate"/>
    </w:r>
    <w:r w:rsidR="00B80BB6">
      <w:rPr>
        <w:b/>
        <w:noProof/>
        <w:sz w:val="18"/>
      </w:rPr>
      <w:t>24</w:t>
    </w:r>
    <w:r w:rsidRPr="007B5271">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0C5" w:rsidRPr="007B5271" w:rsidRDefault="00E510C5" w:rsidP="007B5271">
    <w:pPr>
      <w:pStyle w:val="Footer"/>
      <w:tabs>
        <w:tab w:val="right" w:pos="9638"/>
      </w:tabs>
      <w:rPr>
        <w:b/>
        <w:sz w:val="18"/>
      </w:rPr>
    </w:pPr>
    <w:r>
      <w:tab/>
    </w:r>
    <w:r w:rsidRPr="007B5271">
      <w:rPr>
        <w:b/>
        <w:sz w:val="18"/>
      </w:rPr>
      <w:fldChar w:fldCharType="begin"/>
    </w:r>
    <w:r w:rsidRPr="007B5271">
      <w:rPr>
        <w:b/>
        <w:sz w:val="18"/>
      </w:rPr>
      <w:instrText xml:space="preserve"> PAGE  \* MERGEFORMAT </w:instrText>
    </w:r>
    <w:r w:rsidRPr="007B5271">
      <w:rPr>
        <w:b/>
        <w:sz w:val="18"/>
      </w:rPr>
      <w:fldChar w:fldCharType="separate"/>
    </w:r>
    <w:r w:rsidR="00B80BB6">
      <w:rPr>
        <w:b/>
        <w:noProof/>
        <w:sz w:val="18"/>
      </w:rPr>
      <w:t>25</w:t>
    </w:r>
    <w:r w:rsidRPr="007B527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7B0" w:rsidRDefault="00FB47B0" w:rsidP="00FB47B0">
    <w:pPr>
      <w:pStyle w:val="Footer"/>
    </w:pPr>
    <w:r>
      <w:rPr>
        <w:rFonts w:ascii="C39T30Lfz" w:hAnsi="C39T30Lfz"/>
        <w:noProof/>
        <w:sz w:val="56"/>
        <w:lang w:eastAsia="ja-JP"/>
      </w:rPr>
      <w:drawing>
        <wp:anchor distT="0" distB="0" distL="114300" distR="114300" simplePos="0" relativeHeight="251660288" behindDoc="0" locked="0" layoutInCell="1" allowOverlap="1" wp14:anchorId="2613E92B" wp14:editId="64E4ED9C">
          <wp:simplePos x="0" y="0"/>
          <wp:positionH relativeFrom="margin">
            <wp:posOffset>5455829</wp:posOffset>
          </wp:positionH>
          <wp:positionV relativeFrom="margin">
            <wp:posOffset>7944485</wp:posOffset>
          </wp:positionV>
          <wp:extent cx="641985" cy="641985"/>
          <wp:effectExtent l="0" t="0" r="5715" b="5715"/>
          <wp:wrapNone/>
          <wp:docPr id="11" name="Picture 1" descr="http://undocs.org/m2/QRCode.ashx?DS=A/HRC/WG.6/27/ZAF/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A/HRC/WG.6/27/ZAF/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59264" behindDoc="0" locked="1" layoutInCell="1" allowOverlap="1" wp14:anchorId="6D97EC17" wp14:editId="784910BC">
          <wp:simplePos x="0" y="0"/>
          <wp:positionH relativeFrom="margin">
            <wp:posOffset>4404360</wp:posOffset>
          </wp:positionH>
          <wp:positionV relativeFrom="margin">
            <wp:posOffset>8348345</wp:posOffset>
          </wp:positionV>
          <wp:extent cx="933450" cy="228600"/>
          <wp:effectExtent l="0" t="0" r="0" b="0"/>
          <wp:wrapNone/>
          <wp:docPr id="10" name="Picture 10"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7B0" w:rsidRDefault="00FB47B0" w:rsidP="00FB47B0">
    <w:pPr>
      <w:pStyle w:val="Footer"/>
      <w:ind w:right="1134"/>
      <w:rPr>
        <w:sz w:val="20"/>
      </w:rPr>
    </w:pPr>
    <w:r>
      <w:rPr>
        <w:sz w:val="20"/>
      </w:rPr>
      <w:t>GE.17-01924(E)</w:t>
    </w:r>
  </w:p>
  <w:p w:rsidR="00FB47B0" w:rsidRPr="00FB47B0" w:rsidRDefault="00FB47B0" w:rsidP="00FB47B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0C5" w:rsidRPr="000B175B" w:rsidRDefault="00E510C5" w:rsidP="000B175B">
      <w:pPr>
        <w:tabs>
          <w:tab w:val="right" w:pos="2155"/>
        </w:tabs>
        <w:spacing w:after="80"/>
        <w:ind w:left="680"/>
        <w:rPr>
          <w:u w:val="single"/>
        </w:rPr>
      </w:pPr>
      <w:r>
        <w:rPr>
          <w:u w:val="single"/>
        </w:rPr>
        <w:tab/>
      </w:r>
    </w:p>
  </w:footnote>
  <w:footnote w:type="continuationSeparator" w:id="0">
    <w:p w:rsidR="00E510C5" w:rsidRPr="00FC68B7" w:rsidRDefault="00E510C5" w:rsidP="00FC68B7">
      <w:pPr>
        <w:tabs>
          <w:tab w:val="left" w:pos="2155"/>
        </w:tabs>
        <w:spacing w:after="80"/>
        <w:ind w:left="680"/>
        <w:rPr>
          <w:u w:val="single"/>
        </w:rPr>
      </w:pPr>
      <w:r>
        <w:rPr>
          <w:u w:val="single"/>
        </w:rPr>
        <w:tab/>
      </w:r>
    </w:p>
  </w:footnote>
  <w:footnote w:type="continuationNotice" w:id="1">
    <w:p w:rsidR="00E510C5" w:rsidRDefault="00E510C5"/>
  </w:footnote>
  <w:footnote w:id="2">
    <w:p w:rsidR="00E510C5" w:rsidRPr="00143C4B" w:rsidRDefault="00E510C5" w:rsidP="007B5271">
      <w:pPr>
        <w:pStyle w:val="FootnoteText"/>
        <w:rPr>
          <w:sz w:val="20"/>
        </w:rPr>
      </w:pPr>
      <w:r w:rsidRPr="00143C4B">
        <w:rPr>
          <w:rStyle w:val="FootnoteReference"/>
          <w:sz w:val="20"/>
        </w:rPr>
        <w:tab/>
      </w:r>
      <w:r w:rsidRPr="00A74126">
        <w:rPr>
          <w:rStyle w:val="FootnoteReference"/>
          <w:szCs w:val="18"/>
        </w:rPr>
        <w:t>*</w:t>
      </w:r>
      <w:r w:rsidRPr="00143C4B">
        <w:rPr>
          <w:rStyle w:val="FootnoteReference"/>
          <w:sz w:val="20"/>
        </w:rPr>
        <w:tab/>
      </w:r>
      <w:r w:rsidRPr="00A74126">
        <w:t>The present document has been reproduced as received. Its content does not imply the expression of any opinion whatsoever on the part of the Secretariat of the United Nations</w:t>
      </w:r>
      <w:r w:rsidRPr="00143C4B">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0C5" w:rsidRPr="007B5271" w:rsidRDefault="00E510C5">
    <w:pPr>
      <w:pStyle w:val="Header"/>
    </w:pPr>
    <w:r>
      <w:t>A/HRC/WG.6/27/ZAF/1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0C5" w:rsidRPr="007B5271" w:rsidRDefault="00E510C5" w:rsidP="007B5271">
    <w:pPr>
      <w:pStyle w:val="Header"/>
      <w:jc w:val="right"/>
    </w:pPr>
    <w:r>
      <w:t>A/HRC/WG.6/27/ZAF/1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C5246DC"/>
    <w:multiLevelType w:val="hybridMultilevel"/>
    <w:tmpl w:val="993CF6F0"/>
    <w:lvl w:ilvl="0" w:tplc="9F646888">
      <w:start w:val="16"/>
      <w:numFmt w:val="bullet"/>
      <w:lvlText w:val="-"/>
      <w:lvlJc w:val="left"/>
      <w:pPr>
        <w:ind w:left="6840" w:hanging="360"/>
      </w:pPr>
      <w:rPr>
        <w:rFonts w:ascii="Calibri" w:eastAsiaTheme="minorHAnsi" w:hAnsi="Calibri" w:cstheme="minorBidi"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39A3423"/>
    <w:multiLevelType w:val="hybridMultilevel"/>
    <w:tmpl w:val="B5FC25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7A2E0E"/>
    <w:multiLevelType w:val="hybridMultilevel"/>
    <w:tmpl w:val="EF82F568"/>
    <w:lvl w:ilvl="0" w:tplc="561E56E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E3F3AD5"/>
    <w:multiLevelType w:val="hybridMultilevel"/>
    <w:tmpl w:val="5562FE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7"/>
  </w:num>
  <w:num w:numId="2">
    <w:abstractNumId w:val="5"/>
  </w:num>
  <w:num w:numId="3">
    <w:abstractNumId w:val="10"/>
  </w:num>
  <w:num w:numId="4">
    <w:abstractNumId w:val="3"/>
  </w:num>
  <w:num w:numId="5">
    <w:abstractNumId w:val="0"/>
  </w:num>
  <w:num w:numId="6">
    <w:abstractNumId w:val="1"/>
  </w:num>
  <w:num w:numId="7">
    <w:abstractNumId w:val="9"/>
  </w:num>
  <w:num w:numId="8">
    <w:abstractNumId w:val="6"/>
  </w:num>
  <w:num w:numId="9">
    <w:abstractNumId w:val="2"/>
  </w:num>
  <w:num w:numId="10">
    <w:abstractNumId w:val="8"/>
  </w:num>
  <w:num w:numId="11">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rina Tabirta">
    <w15:presenceInfo w15:providerId="None" w15:userId="Irina Tabir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ZA"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71"/>
    <w:rsid w:val="00002A96"/>
    <w:rsid w:val="00007F7F"/>
    <w:rsid w:val="00022DB5"/>
    <w:rsid w:val="000403D1"/>
    <w:rsid w:val="000449AA"/>
    <w:rsid w:val="00050F6B"/>
    <w:rsid w:val="00072C8C"/>
    <w:rsid w:val="00073E70"/>
    <w:rsid w:val="0008063F"/>
    <w:rsid w:val="000876EB"/>
    <w:rsid w:val="00091419"/>
    <w:rsid w:val="000931C0"/>
    <w:rsid w:val="000B175B"/>
    <w:rsid w:val="000B245B"/>
    <w:rsid w:val="000B3A0F"/>
    <w:rsid w:val="000B4A3B"/>
    <w:rsid w:val="000C409F"/>
    <w:rsid w:val="000D1851"/>
    <w:rsid w:val="000E0415"/>
    <w:rsid w:val="000E6929"/>
    <w:rsid w:val="000F47B1"/>
    <w:rsid w:val="000F5357"/>
    <w:rsid w:val="00124486"/>
    <w:rsid w:val="00125E07"/>
    <w:rsid w:val="00146D32"/>
    <w:rsid w:val="001509BA"/>
    <w:rsid w:val="00163B1C"/>
    <w:rsid w:val="001A125D"/>
    <w:rsid w:val="001A2345"/>
    <w:rsid w:val="001B4B04"/>
    <w:rsid w:val="001C6663"/>
    <w:rsid w:val="001C7895"/>
    <w:rsid w:val="001D26DF"/>
    <w:rsid w:val="001E2790"/>
    <w:rsid w:val="0020048B"/>
    <w:rsid w:val="00211E0B"/>
    <w:rsid w:val="00211E72"/>
    <w:rsid w:val="00214047"/>
    <w:rsid w:val="002152F0"/>
    <w:rsid w:val="0022130F"/>
    <w:rsid w:val="00237785"/>
    <w:rsid w:val="002410DD"/>
    <w:rsid w:val="00241466"/>
    <w:rsid w:val="0025258B"/>
    <w:rsid w:val="00253D58"/>
    <w:rsid w:val="0027725F"/>
    <w:rsid w:val="002B33FF"/>
    <w:rsid w:val="002C21F0"/>
    <w:rsid w:val="002E0EF6"/>
    <w:rsid w:val="002E486F"/>
    <w:rsid w:val="00304D11"/>
    <w:rsid w:val="003107FA"/>
    <w:rsid w:val="00317977"/>
    <w:rsid w:val="003229D8"/>
    <w:rsid w:val="003314D1"/>
    <w:rsid w:val="00335A2F"/>
    <w:rsid w:val="003361FA"/>
    <w:rsid w:val="00341937"/>
    <w:rsid w:val="00346556"/>
    <w:rsid w:val="00381035"/>
    <w:rsid w:val="0039277A"/>
    <w:rsid w:val="003972E0"/>
    <w:rsid w:val="003975ED"/>
    <w:rsid w:val="003C07AD"/>
    <w:rsid w:val="003C2CC4"/>
    <w:rsid w:val="003D2FC0"/>
    <w:rsid w:val="003D4B23"/>
    <w:rsid w:val="003D57D1"/>
    <w:rsid w:val="00424C80"/>
    <w:rsid w:val="004325CB"/>
    <w:rsid w:val="00441957"/>
    <w:rsid w:val="0044503A"/>
    <w:rsid w:val="00446DE4"/>
    <w:rsid w:val="00447761"/>
    <w:rsid w:val="00451EC3"/>
    <w:rsid w:val="004721B1"/>
    <w:rsid w:val="004859EC"/>
    <w:rsid w:val="00496A15"/>
    <w:rsid w:val="004A4195"/>
    <w:rsid w:val="004B75D2"/>
    <w:rsid w:val="004C3723"/>
    <w:rsid w:val="004D1140"/>
    <w:rsid w:val="004F55ED"/>
    <w:rsid w:val="0052176C"/>
    <w:rsid w:val="005261E5"/>
    <w:rsid w:val="005420F2"/>
    <w:rsid w:val="00542574"/>
    <w:rsid w:val="005436AB"/>
    <w:rsid w:val="00546DBF"/>
    <w:rsid w:val="00553D76"/>
    <w:rsid w:val="005552B5"/>
    <w:rsid w:val="0056117B"/>
    <w:rsid w:val="00571365"/>
    <w:rsid w:val="00587965"/>
    <w:rsid w:val="005B3DB3"/>
    <w:rsid w:val="005B4449"/>
    <w:rsid w:val="005B6E48"/>
    <w:rsid w:val="005E1712"/>
    <w:rsid w:val="005E5663"/>
    <w:rsid w:val="00611FC4"/>
    <w:rsid w:val="006176FB"/>
    <w:rsid w:val="00640B26"/>
    <w:rsid w:val="00656CEC"/>
    <w:rsid w:val="00661BAB"/>
    <w:rsid w:val="00670741"/>
    <w:rsid w:val="00696BD6"/>
    <w:rsid w:val="006A6B9D"/>
    <w:rsid w:val="006A7392"/>
    <w:rsid w:val="006B3189"/>
    <w:rsid w:val="006B7D65"/>
    <w:rsid w:val="006D4222"/>
    <w:rsid w:val="006D6DA6"/>
    <w:rsid w:val="006E311C"/>
    <w:rsid w:val="006E564B"/>
    <w:rsid w:val="006F13F0"/>
    <w:rsid w:val="006F49DF"/>
    <w:rsid w:val="006F5035"/>
    <w:rsid w:val="007065EB"/>
    <w:rsid w:val="00710CC7"/>
    <w:rsid w:val="00717B6F"/>
    <w:rsid w:val="00720183"/>
    <w:rsid w:val="0072632A"/>
    <w:rsid w:val="0074200B"/>
    <w:rsid w:val="0077148A"/>
    <w:rsid w:val="007A6296"/>
    <w:rsid w:val="007B5271"/>
    <w:rsid w:val="007B6BA5"/>
    <w:rsid w:val="007C1B62"/>
    <w:rsid w:val="007C3390"/>
    <w:rsid w:val="007C4F4B"/>
    <w:rsid w:val="007D2CDC"/>
    <w:rsid w:val="007D5327"/>
    <w:rsid w:val="007D59DE"/>
    <w:rsid w:val="007E2690"/>
    <w:rsid w:val="007F6611"/>
    <w:rsid w:val="008155C3"/>
    <w:rsid w:val="008175E9"/>
    <w:rsid w:val="0082243E"/>
    <w:rsid w:val="008242D7"/>
    <w:rsid w:val="00835138"/>
    <w:rsid w:val="00854CC5"/>
    <w:rsid w:val="00856CD2"/>
    <w:rsid w:val="00861BC6"/>
    <w:rsid w:val="00871FD5"/>
    <w:rsid w:val="008979B1"/>
    <w:rsid w:val="008A6B25"/>
    <w:rsid w:val="008A6C4F"/>
    <w:rsid w:val="008C1E4D"/>
    <w:rsid w:val="008D2067"/>
    <w:rsid w:val="008E0E46"/>
    <w:rsid w:val="0090452C"/>
    <w:rsid w:val="00907C3F"/>
    <w:rsid w:val="009179CA"/>
    <w:rsid w:val="0092237C"/>
    <w:rsid w:val="0093707B"/>
    <w:rsid w:val="009400EB"/>
    <w:rsid w:val="0094129B"/>
    <w:rsid w:val="009427E3"/>
    <w:rsid w:val="00947F11"/>
    <w:rsid w:val="00956D9B"/>
    <w:rsid w:val="00963CBA"/>
    <w:rsid w:val="00964706"/>
    <w:rsid w:val="009654B7"/>
    <w:rsid w:val="00991261"/>
    <w:rsid w:val="009A0B83"/>
    <w:rsid w:val="009B3800"/>
    <w:rsid w:val="009C2520"/>
    <w:rsid w:val="009C5321"/>
    <w:rsid w:val="009D00A1"/>
    <w:rsid w:val="009D22AC"/>
    <w:rsid w:val="009D50DB"/>
    <w:rsid w:val="009E1C4E"/>
    <w:rsid w:val="00A05E0B"/>
    <w:rsid w:val="00A1427D"/>
    <w:rsid w:val="00A41AB0"/>
    <w:rsid w:val="00A4634F"/>
    <w:rsid w:val="00A51465"/>
    <w:rsid w:val="00A51CF3"/>
    <w:rsid w:val="00A72F22"/>
    <w:rsid w:val="00A748A6"/>
    <w:rsid w:val="00A85051"/>
    <w:rsid w:val="00A879A4"/>
    <w:rsid w:val="00A87E95"/>
    <w:rsid w:val="00A92E29"/>
    <w:rsid w:val="00A94858"/>
    <w:rsid w:val="00AA3866"/>
    <w:rsid w:val="00AD09E9"/>
    <w:rsid w:val="00AD0BF0"/>
    <w:rsid w:val="00AF0576"/>
    <w:rsid w:val="00AF3829"/>
    <w:rsid w:val="00AF4586"/>
    <w:rsid w:val="00B037F0"/>
    <w:rsid w:val="00B15E59"/>
    <w:rsid w:val="00B2327D"/>
    <w:rsid w:val="00B2718F"/>
    <w:rsid w:val="00B30179"/>
    <w:rsid w:val="00B3317B"/>
    <w:rsid w:val="00B334DC"/>
    <w:rsid w:val="00B3631A"/>
    <w:rsid w:val="00B53013"/>
    <w:rsid w:val="00B56952"/>
    <w:rsid w:val="00B67F5E"/>
    <w:rsid w:val="00B73E65"/>
    <w:rsid w:val="00B80BB6"/>
    <w:rsid w:val="00B80C95"/>
    <w:rsid w:val="00B81E12"/>
    <w:rsid w:val="00B87110"/>
    <w:rsid w:val="00B97FA8"/>
    <w:rsid w:val="00BA1DA0"/>
    <w:rsid w:val="00BC1385"/>
    <w:rsid w:val="00BC74E9"/>
    <w:rsid w:val="00BE4C38"/>
    <w:rsid w:val="00BE618E"/>
    <w:rsid w:val="00C24693"/>
    <w:rsid w:val="00C35F0B"/>
    <w:rsid w:val="00C463DD"/>
    <w:rsid w:val="00C64458"/>
    <w:rsid w:val="00C73C97"/>
    <w:rsid w:val="00C745C3"/>
    <w:rsid w:val="00C75EC3"/>
    <w:rsid w:val="00CA2A58"/>
    <w:rsid w:val="00CA7464"/>
    <w:rsid w:val="00CB63BB"/>
    <w:rsid w:val="00CC0B55"/>
    <w:rsid w:val="00CD6995"/>
    <w:rsid w:val="00CE4A8F"/>
    <w:rsid w:val="00CE4DFE"/>
    <w:rsid w:val="00CF0214"/>
    <w:rsid w:val="00CF586F"/>
    <w:rsid w:val="00CF7D43"/>
    <w:rsid w:val="00D11129"/>
    <w:rsid w:val="00D2031B"/>
    <w:rsid w:val="00D22332"/>
    <w:rsid w:val="00D226FD"/>
    <w:rsid w:val="00D25FE2"/>
    <w:rsid w:val="00D35B51"/>
    <w:rsid w:val="00D43252"/>
    <w:rsid w:val="00D550F9"/>
    <w:rsid w:val="00D572B0"/>
    <w:rsid w:val="00D62E90"/>
    <w:rsid w:val="00D76BE5"/>
    <w:rsid w:val="00D978C6"/>
    <w:rsid w:val="00DA67AD"/>
    <w:rsid w:val="00DB18CE"/>
    <w:rsid w:val="00DC331F"/>
    <w:rsid w:val="00DE3EC0"/>
    <w:rsid w:val="00E11593"/>
    <w:rsid w:val="00E12B6B"/>
    <w:rsid w:val="00E130AB"/>
    <w:rsid w:val="00E438D9"/>
    <w:rsid w:val="00E510C5"/>
    <w:rsid w:val="00E5644E"/>
    <w:rsid w:val="00E57201"/>
    <w:rsid w:val="00E7260F"/>
    <w:rsid w:val="00E806EE"/>
    <w:rsid w:val="00E96630"/>
    <w:rsid w:val="00E97F19"/>
    <w:rsid w:val="00EA10D0"/>
    <w:rsid w:val="00EB0FB9"/>
    <w:rsid w:val="00ED0CA9"/>
    <w:rsid w:val="00ED7A2A"/>
    <w:rsid w:val="00EF1D7F"/>
    <w:rsid w:val="00EF5BDB"/>
    <w:rsid w:val="00F07FD9"/>
    <w:rsid w:val="00F23933"/>
    <w:rsid w:val="00F24119"/>
    <w:rsid w:val="00F317AC"/>
    <w:rsid w:val="00F401AE"/>
    <w:rsid w:val="00F40729"/>
    <w:rsid w:val="00F40E75"/>
    <w:rsid w:val="00F42CD9"/>
    <w:rsid w:val="00F46244"/>
    <w:rsid w:val="00F52936"/>
    <w:rsid w:val="00F677CB"/>
    <w:rsid w:val="00F7073B"/>
    <w:rsid w:val="00F712F2"/>
    <w:rsid w:val="00F86729"/>
    <w:rsid w:val="00FA7DF3"/>
    <w:rsid w:val="00FB47B0"/>
    <w:rsid w:val="00FC68B7"/>
    <w:rsid w:val="00FC783D"/>
    <w:rsid w:val="00FD7C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SUPERS,Footnote symbol,BVI fnr,Appel note de bas de p,Nota,(NECG) Footnote Reference,Voetnootverwijzing,-E Fußnotenzeichen"/>
    <w:uiPriority w:val="99"/>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link w:val="FootnoteText"/>
    <w:uiPriority w:val="99"/>
    <w:rsid w:val="007B5271"/>
    <w:rPr>
      <w:sz w:val="18"/>
      <w:lang w:eastAsia="en-US"/>
    </w:rPr>
  </w:style>
  <w:style w:type="paragraph" w:styleId="ListParagraph">
    <w:name w:val="List Paragraph"/>
    <w:basedOn w:val="Normal"/>
    <w:uiPriority w:val="34"/>
    <w:qFormat/>
    <w:rsid w:val="00F86729"/>
    <w:pPr>
      <w:suppressAutoHyphens w:val="0"/>
      <w:spacing w:after="200" w:line="276" w:lineRule="auto"/>
      <w:ind w:left="720"/>
      <w:contextualSpacing/>
    </w:pPr>
    <w:rPr>
      <w:rFonts w:ascii="Calibri" w:eastAsia="Calibri" w:hAnsi="Calibri"/>
      <w:sz w:val="22"/>
      <w:szCs w:val="22"/>
      <w:lang w:val="en-ZA"/>
    </w:rPr>
  </w:style>
  <w:style w:type="paragraph" w:styleId="BalloonText">
    <w:name w:val="Balloon Text"/>
    <w:basedOn w:val="Normal"/>
    <w:link w:val="BalloonTextChar"/>
    <w:rsid w:val="00EA10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A10D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qFormat="1"/>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SUPERS,Footnote symbol,BVI fnr,Appel note de bas de p,Nota,(NECG) Footnote Reference,Voetnootverwijzing,-E Fußnotenzeichen"/>
    <w:uiPriority w:val="99"/>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Quote,Footnote Quote1,Footnote Quote2,Footnote Quote3,Footnote Quote4,Footnote Quote5,Footnote Quote6,Footnote Quote7,Footnote Quote8,Footnote Quote9,Footnote Quote10,Footnote Quote11,Footnote Quote12,Footnote Quote13,Footnote"/>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FootnoteTextChar">
    <w:name w:val="Footnote Text Char"/>
    <w:aliases w:val="5_G Char,Footnote Quote Char,Footnote Quote1 Char,Footnote Quote2 Char,Footnote Quote3 Char,Footnote Quote4 Char,Footnote Quote5 Char,Footnote Quote6 Char,Footnote Quote7 Char,Footnote Quote8 Char,Footnote Quote9 Char,Footnote Char"/>
    <w:link w:val="FootnoteText"/>
    <w:uiPriority w:val="99"/>
    <w:rsid w:val="007B5271"/>
    <w:rPr>
      <w:sz w:val="18"/>
      <w:lang w:eastAsia="en-US"/>
    </w:rPr>
  </w:style>
  <w:style w:type="paragraph" w:styleId="ListParagraph">
    <w:name w:val="List Paragraph"/>
    <w:basedOn w:val="Normal"/>
    <w:uiPriority w:val="34"/>
    <w:qFormat/>
    <w:rsid w:val="00F86729"/>
    <w:pPr>
      <w:suppressAutoHyphens w:val="0"/>
      <w:spacing w:after="200" w:line="276" w:lineRule="auto"/>
      <w:ind w:left="720"/>
      <w:contextualSpacing/>
    </w:pPr>
    <w:rPr>
      <w:rFonts w:ascii="Calibri" w:eastAsia="Calibri" w:hAnsi="Calibri"/>
      <w:sz w:val="22"/>
      <w:szCs w:val="22"/>
      <w:lang w:val="en-ZA"/>
    </w:rPr>
  </w:style>
  <w:style w:type="paragraph" w:styleId="BalloonText">
    <w:name w:val="Balloon Text"/>
    <w:basedOn w:val="Normal"/>
    <w:link w:val="BalloonTextChar"/>
    <w:rsid w:val="00EA10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A10D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2.xml"/><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28"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 Id="rId27" Type="http://schemas.openxmlformats.org/officeDocument/2006/relationships/customXml" Target="../customXml/item1.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E.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en-US"/>
              <a:t>Number of Learners</a:t>
            </a:r>
          </a:p>
        </c:rich>
      </c:tx>
      <c:overlay val="0"/>
    </c:title>
    <c:autoTitleDeleted val="0"/>
    <c:plotArea>
      <c:layout/>
      <c:lineChart>
        <c:grouping val="standard"/>
        <c:varyColors val="1"/>
        <c:ser>
          <c:idx val="0"/>
          <c:order val="0"/>
          <c:tx>
            <c:strRef>
              <c:f>Sheet1!$C$1</c:f>
              <c:strCache>
                <c:ptCount val="1"/>
                <c:pt idx="0">
                  <c:v>Learners</c:v>
                </c:pt>
              </c:strCache>
            </c:strRef>
          </c:tx>
          <c:dPt>
            <c:idx val="0"/>
            <c:bubble3D val="0"/>
          </c:dPt>
          <c:dPt>
            <c:idx val="1"/>
            <c:bubble3D val="0"/>
          </c:dPt>
          <c:dPt>
            <c:idx val="2"/>
            <c:bubble3D val="0"/>
          </c:dPt>
          <c:dPt>
            <c:idx val="3"/>
            <c:bubble3D val="0"/>
          </c:dPt>
          <c:dLbls>
            <c:spPr>
              <a:noFill/>
              <a:ln w="18999">
                <a:noFill/>
              </a:ln>
            </c:spPr>
            <c:showLegendKey val="0"/>
            <c:showVal val="1"/>
            <c:showCatName val="0"/>
            <c:showSerName val="0"/>
            <c:showPercent val="0"/>
            <c:showBubbleSize val="0"/>
            <c:showLeaderLines val="0"/>
          </c:dLbls>
          <c:cat>
            <c:strRef>
              <c:f>Sheet1!$B$2:$B$5</c:f>
              <c:strCache>
                <c:ptCount val="4"/>
                <c:pt idx="0">
                  <c:v>2012/13</c:v>
                </c:pt>
                <c:pt idx="1">
                  <c:v>2013/14</c:v>
                </c:pt>
                <c:pt idx="2">
                  <c:v>2014/15</c:v>
                </c:pt>
                <c:pt idx="3">
                  <c:v>2015/16</c:v>
                </c:pt>
              </c:strCache>
            </c:strRef>
          </c:cat>
          <c:val>
            <c:numRef>
              <c:f>Sheet1!$C$2:$C$5</c:f>
              <c:numCache>
                <c:formatCode>General</c:formatCode>
                <c:ptCount val="4"/>
                <c:pt idx="0">
                  <c:v>9159773</c:v>
                </c:pt>
                <c:pt idx="1">
                  <c:v>9131836</c:v>
                </c:pt>
                <c:pt idx="2">
                  <c:v>9290049</c:v>
                </c:pt>
                <c:pt idx="3">
                  <c:v>9520074</c:v>
                </c:pt>
              </c:numCache>
            </c:numRef>
          </c:val>
          <c:smooth val="0"/>
        </c:ser>
        <c:dLbls>
          <c:showLegendKey val="0"/>
          <c:showVal val="0"/>
          <c:showCatName val="0"/>
          <c:showSerName val="0"/>
          <c:showPercent val="0"/>
          <c:showBubbleSize val="0"/>
        </c:dLbls>
        <c:marker val="1"/>
        <c:smooth val="0"/>
        <c:axId val="158927488"/>
        <c:axId val="158974336"/>
      </c:lineChart>
      <c:catAx>
        <c:axId val="158927488"/>
        <c:scaling>
          <c:orientation val="minMax"/>
        </c:scaling>
        <c:delete val="0"/>
        <c:axPos val="b"/>
        <c:numFmt formatCode="General" sourceLinked="0"/>
        <c:majorTickMark val="none"/>
        <c:minorTickMark val="none"/>
        <c:tickLblPos val="nextTo"/>
        <c:crossAx val="158974336"/>
        <c:crosses val="autoZero"/>
        <c:auto val="1"/>
        <c:lblAlgn val="ctr"/>
        <c:lblOffset val="100"/>
        <c:noMultiLvlLbl val="0"/>
      </c:catAx>
      <c:valAx>
        <c:axId val="158974336"/>
        <c:scaling>
          <c:orientation val="minMax"/>
        </c:scaling>
        <c:delete val="0"/>
        <c:axPos val="l"/>
        <c:majorGridlines/>
        <c:numFmt formatCode="General" sourceLinked="1"/>
        <c:majorTickMark val="none"/>
        <c:minorTickMark val="none"/>
        <c:tickLblPos val="nextTo"/>
        <c:crossAx val="1589274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AF93D8D-FFFF-477D-9552-F694C098653F}"/>
</file>

<file path=customXml/itemProps2.xml><?xml version="1.0" encoding="utf-8"?>
<ds:datastoreItem xmlns:ds="http://schemas.openxmlformats.org/officeDocument/2006/customXml" ds:itemID="{D86E8485-60A4-4075-A847-08471B848886}"/>
</file>

<file path=customXml/itemProps3.xml><?xml version="1.0" encoding="utf-8"?>
<ds:datastoreItem xmlns:ds="http://schemas.openxmlformats.org/officeDocument/2006/customXml" ds:itemID="{508DC057-3A0C-42F4-A738-47370BCFE2F9}"/>
</file>

<file path=docProps/app.xml><?xml version="1.0" encoding="utf-8"?>
<Properties xmlns="http://schemas.openxmlformats.org/officeDocument/2006/extended-properties" xmlns:vt="http://schemas.openxmlformats.org/officeDocument/2006/docPropsVTypes">
  <Template>A_E.dotm</Template>
  <TotalTime>0</TotalTime>
  <Pages>25</Pages>
  <Words>10540</Words>
  <Characters>60078</Characters>
  <Application>Microsoft Office Word</Application>
  <DocSecurity>0</DocSecurity>
  <Lines>500</Lines>
  <Paragraphs>140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1701924</vt:lpstr>
      <vt:lpstr/>
    </vt:vector>
  </TitlesOfParts>
  <Company>CSD</Company>
  <LinksUpToDate>false</LinksUpToDate>
  <CharactersWithSpaces>70478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A/HRC/WG.6/27/ZAF/1</dc:subject>
  <dc:creator>Sumiko IHARA</dc:creator>
  <cp:lastModifiedBy>Sumiko IHARA</cp:lastModifiedBy>
  <cp:revision>2</cp:revision>
  <cp:lastPrinted>2017-03-29T13:56:00Z</cp:lastPrinted>
  <dcterms:created xsi:type="dcterms:W3CDTF">2017-05-10T09:09:00Z</dcterms:created>
  <dcterms:modified xsi:type="dcterms:W3CDTF">2017-05-10T09:09:00Z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1337800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