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245" w:rsidRPr="007B6150" w:rsidRDefault="007B6150" w:rsidP="007B6150">
      <w:pPr>
        <w:pStyle w:val="SingleTxtG"/>
        <w:ind w:left="1701"/>
        <w:jc w:val="center"/>
        <w:rPr>
          <w:rFonts w:ascii="Calibri" w:hAnsi="Calibri"/>
          <w:b/>
          <w:sz w:val="22"/>
          <w:szCs w:val="22"/>
          <w:lang w:val="en-GB"/>
        </w:rPr>
      </w:pPr>
      <w:bookmarkStart w:id="0" w:name="_GoBack"/>
      <w:bookmarkEnd w:id="0"/>
      <w:r w:rsidRPr="007B6150">
        <w:rPr>
          <w:rFonts w:ascii="Calibri" w:hAnsi="Calibri"/>
          <w:b/>
          <w:sz w:val="22"/>
          <w:szCs w:val="22"/>
          <w:lang w:val="en-GB"/>
        </w:rPr>
        <w:t>ANNEX</w:t>
      </w:r>
    </w:p>
    <w:p w:rsidR="00904245" w:rsidRDefault="00904245" w:rsidP="00904245">
      <w:pPr>
        <w:pStyle w:val="SingleTxtG"/>
        <w:ind w:left="1701"/>
        <w:rPr>
          <w:rFonts w:ascii="Calibri" w:hAnsi="Calibri"/>
          <w:sz w:val="22"/>
          <w:szCs w:val="22"/>
          <w:lang w:val="en-GB"/>
        </w:rPr>
      </w:pPr>
      <w:r>
        <w:rPr>
          <w:rFonts w:ascii="Calibri" w:hAnsi="Calibri"/>
          <w:sz w:val="22"/>
          <w:szCs w:val="22"/>
          <w:lang w:val="en-GB"/>
        </w:rPr>
        <w:t xml:space="preserve">120.7.           </w:t>
      </w:r>
      <w:r w:rsidRPr="00DD3E30">
        <w:rPr>
          <w:rFonts w:ascii="Calibri" w:hAnsi="Calibri"/>
          <w:sz w:val="22"/>
          <w:szCs w:val="22"/>
          <w:u w:val="single"/>
          <w:lang w:val="en-GB"/>
        </w:rPr>
        <w:t>Intensify its measures and initiatives to support the persons with disabilities</w:t>
      </w:r>
      <w:r w:rsidRPr="00CD2554">
        <w:rPr>
          <w:rFonts w:ascii="Calibri" w:hAnsi="Calibri"/>
          <w:sz w:val="22"/>
          <w:szCs w:val="22"/>
          <w:lang w:val="en-GB"/>
        </w:rPr>
        <w:t xml:space="preserve"> </w:t>
      </w:r>
      <w:r>
        <w:rPr>
          <w:rFonts w:ascii="Calibri" w:hAnsi="Calibri"/>
          <w:sz w:val="22"/>
          <w:szCs w:val="22"/>
          <w:lang w:val="en-GB"/>
        </w:rPr>
        <w:t>and to ratify the Optional Protocol to the Convention on the Rights of the Child on a communications procedure, which was signed in 2013 (Mongolia);</w:t>
      </w:r>
    </w:p>
    <w:p w:rsidR="00904245" w:rsidRDefault="00904245" w:rsidP="00904245">
      <w:pPr>
        <w:rPr>
          <w:rFonts w:ascii="Calibri" w:hAnsi="Calibri"/>
          <w:sz w:val="22"/>
          <w:szCs w:val="22"/>
          <w:lang w:val="en-GB"/>
        </w:rPr>
      </w:pPr>
    </w:p>
    <w:p w:rsidR="00904245" w:rsidRDefault="00904245" w:rsidP="009E412B">
      <w:pPr>
        <w:ind w:left="1701" w:right="992"/>
        <w:jc w:val="both"/>
        <w:rPr>
          <w:rFonts w:ascii="Calibri" w:hAnsi="Calibri"/>
          <w:i/>
          <w:iCs/>
          <w:sz w:val="22"/>
          <w:szCs w:val="22"/>
          <w:lang w:val="en-US"/>
        </w:rPr>
      </w:pPr>
      <w:r>
        <w:rPr>
          <w:rFonts w:ascii="Calibri" w:hAnsi="Calibri"/>
          <w:b/>
          <w:bCs/>
          <w:color w:val="1F497D"/>
          <w:sz w:val="22"/>
          <w:szCs w:val="22"/>
          <w:lang w:val="en-US"/>
        </w:rPr>
        <w:t>Comment</w:t>
      </w:r>
      <w:r>
        <w:rPr>
          <w:rFonts w:ascii="Calibri" w:hAnsi="Calibri"/>
          <w:sz w:val="22"/>
          <w:szCs w:val="22"/>
          <w:lang w:val="en-US"/>
        </w:rPr>
        <w:t xml:space="preserve">: </w:t>
      </w:r>
      <w:r>
        <w:rPr>
          <w:rFonts w:ascii="Calibri" w:hAnsi="Calibri"/>
          <w:color w:val="1F497D"/>
          <w:sz w:val="22"/>
          <w:szCs w:val="22"/>
          <w:lang w:val="en-US"/>
        </w:rPr>
        <w:t xml:space="preserve">there are two recommendations included and we accept the first part. Second one (ratification of the Optional Protocol) is not accepted </w:t>
      </w:r>
      <w:proofErr w:type="gramStart"/>
      <w:r>
        <w:rPr>
          <w:rFonts w:ascii="Calibri" w:hAnsi="Calibri"/>
          <w:color w:val="1F497D"/>
          <w:sz w:val="22"/>
          <w:szCs w:val="22"/>
          <w:lang w:val="en-US"/>
        </w:rPr>
        <w:t>(</w:t>
      </w:r>
      <w:r w:rsidR="00CD2554">
        <w:rPr>
          <w:rFonts w:ascii="Calibri" w:hAnsi="Calibri"/>
          <w:color w:val="1F497D"/>
          <w:sz w:val="22"/>
          <w:szCs w:val="22"/>
          <w:lang w:val="en-US"/>
        </w:rPr>
        <w:t xml:space="preserve"> see</w:t>
      </w:r>
      <w:proofErr w:type="gramEnd"/>
      <w:r w:rsidR="00CD2554">
        <w:rPr>
          <w:rFonts w:ascii="Calibri" w:hAnsi="Calibri"/>
          <w:color w:val="1F497D"/>
          <w:sz w:val="22"/>
          <w:szCs w:val="22"/>
          <w:lang w:val="en-US"/>
        </w:rPr>
        <w:t xml:space="preserve"> </w:t>
      </w:r>
      <w:r>
        <w:rPr>
          <w:rFonts w:ascii="Calibri" w:hAnsi="Calibri"/>
          <w:color w:val="1F497D"/>
          <w:sz w:val="22"/>
          <w:szCs w:val="22"/>
          <w:lang w:val="en-US"/>
        </w:rPr>
        <w:t>recommendation 120.6.)</w:t>
      </w:r>
    </w:p>
    <w:p w:rsidR="00904245" w:rsidRDefault="00904245" w:rsidP="00904245">
      <w:pPr>
        <w:rPr>
          <w:rFonts w:ascii="Calibri" w:hAnsi="Calibri"/>
          <w:i/>
          <w:iCs/>
          <w:sz w:val="22"/>
          <w:szCs w:val="22"/>
          <w:lang w:val="en-US"/>
        </w:rPr>
      </w:pPr>
    </w:p>
    <w:p w:rsidR="00904245" w:rsidRDefault="00904245" w:rsidP="00904245">
      <w:pPr>
        <w:rPr>
          <w:rFonts w:ascii="Calibri" w:hAnsi="Calibri"/>
          <w:i/>
          <w:iCs/>
          <w:sz w:val="22"/>
          <w:szCs w:val="22"/>
          <w:lang w:val="en-US"/>
        </w:rPr>
      </w:pPr>
    </w:p>
    <w:p w:rsidR="00904245" w:rsidRDefault="00904245" w:rsidP="00904245">
      <w:pPr>
        <w:pStyle w:val="SingleTxtG"/>
        <w:ind w:left="1701"/>
        <w:rPr>
          <w:rFonts w:ascii="Calibri" w:hAnsi="Calibri"/>
          <w:sz w:val="22"/>
          <w:szCs w:val="22"/>
          <w:lang w:val="en-GB"/>
        </w:rPr>
      </w:pPr>
      <w:r>
        <w:rPr>
          <w:rFonts w:ascii="Calibri" w:hAnsi="Calibri"/>
          <w:sz w:val="22"/>
          <w:szCs w:val="22"/>
          <w:lang w:val="en-GB"/>
        </w:rPr>
        <w:t xml:space="preserve">120.49.         Amend the Act on Equal Treatment </w:t>
      </w:r>
      <w:r w:rsidRPr="00DD3E30">
        <w:rPr>
          <w:rFonts w:ascii="Calibri" w:hAnsi="Calibri"/>
          <w:sz w:val="22"/>
          <w:szCs w:val="22"/>
          <w:lang w:val="en-GB"/>
        </w:rPr>
        <w:t xml:space="preserve">in order </w:t>
      </w:r>
      <w:r w:rsidRPr="009E412B">
        <w:rPr>
          <w:rFonts w:ascii="Calibri" w:hAnsi="Calibri"/>
          <w:sz w:val="22"/>
          <w:szCs w:val="22"/>
          <w:lang w:val="en-GB"/>
        </w:rPr>
        <w:t xml:space="preserve">to </w:t>
      </w:r>
      <w:r w:rsidRPr="00DD3E30">
        <w:rPr>
          <w:rFonts w:ascii="Calibri" w:hAnsi="Calibri"/>
          <w:sz w:val="22"/>
          <w:szCs w:val="22"/>
          <w:u w:val="single"/>
          <w:lang w:val="en-GB"/>
        </w:rPr>
        <w:t xml:space="preserve">prohibit discrimination, in a comprehensive manner, including on the basis of sexual orientation and gender identity, in all areas and sectors, in particular, taking into account access to education, health, social protection and housing </w:t>
      </w:r>
      <w:r w:rsidRPr="00DD3E30">
        <w:rPr>
          <w:rFonts w:ascii="Calibri" w:hAnsi="Calibri"/>
          <w:sz w:val="22"/>
          <w:szCs w:val="22"/>
          <w:lang w:val="en-GB"/>
        </w:rPr>
        <w:t>(Mexico);</w:t>
      </w:r>
    </w:p>
    <w:p w:rsidR="00904245" w:rsidRDefault="00904245" w:rsidP="00904245">
      <w:pPr>
        <w:pStyle w:val="SingleTxtG"/>
        <w:ind w:left="1701"/>
        <w:rPr>
          <w:rFonts w:ascii="Calibri" w:hAnsi="Calibri"/>
          <w:sz w:val="22"/>
          <w:szCs w:val="22"/>
          <w:lang w:val="en-GB"/>
        </w:rPr>
      </w:pPr>
      <w:r>
        <w:rPr>
          <w:rFonts w:ascii="Calibri" w:hAnsi="Calibri"/>
          <w:sz w:val="22"/>
          <w:szCs w:val="22"/>
          <w:lang w:val="en-GB"/>
        </w:rPr>
        <w:t xml:space="preserve">120.50.         Extend its anti-discrimination laws and hate crime legislation, </w:t>
      </w:r>
      <w:r w:rsidRPr="009E412B">
        <w:rPr>
          <w:rFonts w:ascii="Calibri" w:hAnsi="Calibri"/>
          <w:sz w:val="22"/>
          <w:szCs w:val="22"/>
          <w:lang w:val="en-GB"/>
        </w:rPr>
        <w:t xml:space="preserve">to </w:t>
      </w:r>
      <w:r w:rsidRPr="00DD3E30">
        <w:rPr>
          <w:rFonts w:ascii="Calibri" w:hAnsi="Calibri"/>
          <w:sz w:val="22"/>
          <w:szCs w:val="22"/>
          <w:u w:val="single"/>
          <w:lang w:val="en-GB"/>
        </w:rPr>
        <w:t xml:space="preserve">ensure equal treatment and broad protection for all from discrimination, regardless of sexual orientation and gender identity </w:t>
      </w:r>
      <w:r>
        <w:rPr>
          <w:rFonts w:ascii="Calibri" w:hAnsi="Calibri"/>
          <w:sz w:val="22"/>
          <w:szCs w:val="22"/>
          <w:lang w:val="en-GB"/>
        </w:rPr>
        <w:t>(United Kingdom of Great Britain and Northern Ireland);</w:t>
      </w:r>
    </w:p>
    <w:p w:rsidR="00904245" w:rsidRDefault="00904245" w:rsidP="00904245">
      <w:pPr>
        <w:pStyle w:val="SingleTxtG"/>
        <w:ind w:left="1701"/>
        <w:rPr>
          <w:rFonts w:ascii="Calibri" w:hAnsi="Calibri"/>
          <w:sz w:val="22"/>
          <w:szCs w:val="22"/>
          <w:lang w:val="en-GB"/>
        </w:rPr>
      </w:pPr>
    </w:p>
    <w:p w:rsidR="00904245" w:rsidRDefault="00904245" w:rsidP="00904245">
      <w:pPr>
        <w:pStyle w:val="SingleTxtG"/>
        <w:ind w:left="1701"/>
        <w:rPr>
          <w:rFonts w:ascii="Calibri" w:hAnsi="Calibri"/>
          <w:sz w:val="22"/>
          <w:szCs w:val="22"/>
          <w:lang w:val="en-US"/>
        </w:rPr>
      </w:pPr>
      <w:r>
        <w:rPr>
          <w:rFonts w:ascii="Calibri" w:hAnsi="Calibri"/>
          <w:b/>
          <w:bCs/>
          <w:color w:val="1F497D"/>
          <w:sz w:val="22"/>
          <w:szCs w:val="22"/>
          <w:lang w:val="en-US"/>
        </w:rPr>
        <w:t>Comment</w:t>
      </w:r>
      <w:r>
        <w:rPr>
          <w:rFonts w:ascii="Calibri" w:hAnsi="Calibri"/>
          <w:sz w:val="22"/>
          <w:szCs w:val="22"/>
          <w:lang w:val="en-US"/>
        </w:rPr>
        <w:t xml:space="preserve">: </w:t>
      </w:r>
      <w:r>
        <w:rPr>
          <w:rFonts w:ascii="Calibri" w:hAnsi="Calibri"/>
          <w:color w:val="1F497D"/>
          <w:sz w:val="22"/>
          <w:szCs w:val="22"/>
          <w:lang w:val="en-US"/>
        </w:rPr>
        <w:t xml:space="preserve">we accept recommendations to prohibit discrimination and to ensure equal treatment but we do not see need to amend law. </w:t>
      </w:r>
    </w:p>
    <w:p w:rsidR="00904245" w:rsidRDefault="00904245" w:rsidP="00904245">
      <w:pPr>
        <w:pStyle w:val="SingleTxtG"/>
        <w:ind w:left="1701"/>
        <w:rPr>
          <w:rFonts w:ascii="Calibri" w:hAnsi="Calibri"/>
          <w:sz w:val="22"/>
          <w:szCs w:val="22"/>
          <w:lang w:val="en-US"/>
        </w:rPr>
      </w:pPr>
    </w:p>
    <w:p w:rsidR="00904245" w:rsidRDefault="00904245" w:rsidP="00904245">
      <w:pPr>
        <w:pStyle w:val="SingleTxtG"/>
        <w:ind w:left="1701"/>
        <w:rPr>
          <w:rFonts w:ascii="Calibri" w:hAnsi="Calibri"/>
          <w:sz w:val="22"/>
          <w:szCs w:val="22"/>
          <w:lang w:val="en-GB"/>
        </w:rPr>
      </w:pPr>
      <w:r>
        <w:rPr>
          <w:rFonts w:ascii="Calibri" w:hAnsi="Calibri"/>
          <w:sz w:val="22"/>
          <w:szCs w:val="22"/>
          <w:lang w:val="en-GB"/>
        </w:rPr>
        <w:t xml:space="preserve">120.76.         </w:t>
      </w:r>
      <w:r w:rsidRPr="00DD3E30">
        <w:rPr>
          <w:rFonts w:ascii="Calibri" w:hAnsi="Calibri"/>
          <w:sz w:val="22"/>
          <w:szCs w:val="22"/>
          <w:u w:val="single"/>
          <w:lang w:val="en-GB"/>
        </w:rPr>
        <w:t>Strengthen protection of individuals against discrimination, including based on sexual orientation or gender identity</w:t>
      </w:r>
      <w:r w:rsidRPr="00DD3E30">
        <w:rPr>
          <w:rFonts w:ascii="Calibri" w:hAnsi="Calibri"/>
          <w:sz w:val="22"/>
          <w:szCs w:val="22"/>
          <w:lang w:val="en-GB"/>
        </w:rPr>
        <w:t>,</w:t>
      </w:r>
      <w:r>
        <w:rPr>
          <w:rFonts w:ascii="Calibri" w:hAnsi="Calibri"/>
          <w:sz w:val="22"/>
          <w:szCs w:val="22"/>
          <w:lang w:val="en-GB"/>
        </w:rPr>
        <w:t xml:space="preserve"> </w:t>
      </w:r>
      <w:r>
        <w:rPr>
          <w:rFonts w:ascii="Calibri" w:hAnsi="Calibri"/>
          <w:i/>
          <w:iCs/>
          <w:sz w:val="22"/>
          <w:szCs w:val="22"/>
          <w:lang w:val="en-GB"/>
        </w:rPr>
        <w:t>inter alia</w:t>
      </w:r>
      <w:r>
        <w:rPr>
          <w:rFonts w:ascii="Calibri" w:hAnsi="Calibri"/>
          <w:sz w:val="22"/>
          <w:szCs w:val="22"/>
          <w:lang w:val="en-GB"/>
        </w:rPr>
        <w:t>, through allowing the legal status of same-sex couples and, in this regard, pass a law on civil union or registered partnership (</w:t>
      </w:r>
      <w:proofErr w:type="spellStart"/>
      <w:r>
        <w:rPr>
          <w:rFonts w:ascii="Calibri" w:hAnsi="Calibri"/>
          <w:sz w:val="22"/>
          <w:szCs w:val="22"/>
          <w:lang w:val="en-GB"/>
        </w:rPr>
        <w:t>Czechia</w:t>
      </w:r>
      <w:proofErr w:type="spellEnd"/>
      <w:r>
        <w:rPr>
          <w:rFonts w:ascii="Calibri" w:hAnsi="Calibri"/>
          <w:sz w:val="22"/>
          <w:szCs w:val="22"/>
          <w:lang w:val="en-GB"/>
        </w:rPr>
        <w:t>);</w:t>
      </w:r>
    </w:p>
    <w:p w:rsidR="00904245" w:rsidRDefault="00904245" w:rsidP="00904245">
      <w:pPr>
        <w:pStyle w:val="SingleTxtG"/>
        <w:ind w:left="1701"/>
        <w:rPr>
          <w:rFonts w:ascii="Calibri" w:hAnsi="Calibri"/>
          <w:sz w:val="22"/>
          <w:szCs w:val="22"/>
          <w:lang w:val="en-GB"/>
        </w:rPr>
      </w:pPr>
      <w:r>
        <w:rPr>
          <w:rFonts w:ascii="Calibri" w:hAnsi="Calibri"/>
          <w:sz w:val="22"/>
          <w:szCs w:val="22"/>
          <w:lang w:val="en-GB"/>
        </w:rPr>
        <w:t xml:space="preserve">120.77.         </w:t>
      </w:r>
      <w:r w:rsidRPr="003B4B6A">
        <w:rPr>
          <w:rFonts w:ascii="Calibri" w:hAnsi="Calibri"/>
          <w:sz w:val="22"/>
          <w:szCs w:val="22"/>
          <w:u w:val="single"/>
          <w:lang w:val="en-GB"/>
        </w:rPr>
        <w:t>Strengthen efforts to protect LGBTI persons against violence and discrimination</w:t>
      </w:r>
      <w:r w:rsidRPr="003B4B6A">
        <w:rPr>
          <w:rFonts w:ascii="Calibri" w:hAnsi="Calibri"/>
          <w:sz w:val="22"/>
          <w:szCs w:val="22"/>
          <w:lang w:val="en-GB"/>
        </w:rPr>
        <w:t>, including through the inclusion of sexual orientation and gender identity in hate speech provisions</w:t>
      </w:r>
      <w:r>
        <w:rPr>
          <w:rFonts w:ascii="Calibri" w:hAnsi="Calibri"/>
          <w:sz w:val="22"/>
          <w:szCs w:val="22"/>
          <w:lang w:val="en-GB"/>
        </w:rPr>
        <w:t>, making provision in law for same-sex civil partnership or marriage; and further making arrangements for provision to Polish citizens wishing to marry or otherwise register a same-sex relationship abroad of all necessary documentation by the relevant Polish authorities (Ireland);</w:t>
      </w:r>
    </w:p>
    <w:p w:rsidR="00904245" w:rsidRDefault="00904245" w:rsidP="00904245">
      <w:pPr>
        <w:pStyle w:val="SingleTxtG"/>
        <w:ind w:left="1701"/>
        <w:rPr>
          <w:rFonts w:ascii="Calibri" w:hAnsi="Calibri"/>
          <w:sz w:val="22"/>
          <w:szCs w:val="22"/>
          <w:lang w:val="en-GB"/>
        </w:rPr>
      </w:pPr>
    </w:p>
    <w:p w:rsidR="00904245" w:rsidRDefault="00904245" w:rsidP="00904245">
      <w:pPr>
        <w:pStyle w:val="SingleTxtG"/>
        <w:ind w:left="1701"/>
        <w:rPr>
          <w:rFonts w:ascii="Calibri" w:hAnsi="Calibri"/>
          <w:sz w:val="22"/>
          <w:szCs w:val="22"/>
          <w:lang w:val="en-US"/>
        </w:rPr>
      </w:pPr>
      <w:r>
        <w:rPr>
          <w:rFonts w:ascii="Calibri" w:hAnsi="Calibri"/>
          <w:b/>
          <w:bCs/>
          <w:color w:val="1F497D"/>
          <w:sz w:val="22"/>
          <w:szCs w:val="22"/>
          <w:lang w:val="en-US"/>
        </w:rPr>
        <w:t>Comment</w:t>
      </w:r>
      <w:r>
        <w:rPr>
          <w:rFonts w:ascii="Calibri" w:hAnsi="Calibri"/>
          <w:sz w:val="22"/>
          <w:szCs w:val="22"/>
          <w:lang w:val="en-US"/>
        </w:rPr>
        <w:t xml:space="preserve">: </w:t>
      </w:r>
      <w:r>
        <w:rPr>
          <w:rFonts w:ascii="Calibri" w:hAnsi="Calibri"/>
          <w:color w:val="1F497D"/>
          <w:sz w:val="22"/>
          <w:szCs w:val="22"/>
          <w:lang w:val="en-US"/>
        </w:rPr>
        <w:t xml:space="preserve">There </w:t>
      </w:r>
      <w:proofErr w:type="gramStart"/>
      <w:r>
        <w:rPr>
          <w:rFonts w:ascii="Calibri" w:hAnsi="Calibri"/>
          <w:color w:val="1F497D"/>
          <w:sz w:val="22"/>
          <w:szCs w:val="22"/>
          <w:lang w:val="en-US"/>
        </w:rPr>
        <w:t>are</w:t>
      </w:r>
      <w:proofErr w:type="gramEnd"/>
      <w:r>
        <w:rPr>
          <w:rFonts w:ascii="Calibri" w:hAnsi="Calibri"/>
          <w:color w:val="1F497D"/>
          <w:sz w:val="22"/>
          <w:szCs w:val="22"/>
          <w:lang w:val="en-US"/>
        </w:rPr>
        <w:t xml:space="preserve"> more than one recommendati</w:t>
      </w:r>
      <w:r w:rsidR="003B4B6A">
        <w:rPr>
          <w:rFonts w:ascii="Calibri" w:hAnsi="Calibri"/>
          <w:color w:val="1F497D"/>
          <w:sz w:val="22"/>
          <w:szCs w:val="22"/>
          <w:lang w:val="en-US"/>
        </w:rPr>
        <w:t>on in 120</w:t>
      </w:r>
      <w:r>
        <w:rPr>
          <w:rFonts w:ascii="Calibri" w:hAnsi="Calibri"/>
          <w:color w:val="1F497D"/>
          <w:sz w:val="22"/>
          <w:szCs w:val="22"/>
          <w:lang w:val="en-US"/>
        </w:rPr>
        <w:t>.76 as well as 120.77. Within these recommendations, we do not accept point on same-sex relationship. The issue of recognition of civil unions between same-sex persons was not accepted in recommendation 120.75.</w:t>
      </w:r>
    </w:p>
    <w:p w:rsidR="00904245" w:rsidRDefault="00904245" w:rsidP="00904245">
      <w:pPr>
        <w:pStyle w:val="SingleTxtG"/>
        <w:ind w:left="1701"/>
        <w:rPr>
          <w:rFonts w:ascii="Calibri" w:hAnsi="Calibri"/>
          <w:sz w:val="22"/>
          <w:szCs w:val="22"/>
          <w:lang w:val="en-US"/>
        </w:rPr>
      </w:pPr>
    </w:p>
    <w:p w:rsidR="00904245" w:rsidRDefault="00904245" w:rsidP="00904245">
      <w:pPr>
        <w:pStyle w:val="SingleTxtG"/>
        <w:ind w:left="1701"/>
        <w:rPr>
          <w:rFonts w:ascii="Calibri" w:hAnsi="Calibri"/>
          <w:sz w:val="22"/>
          <w:szCs w:val="22"/>
          <w:lang w:val="en-US"/>
        </w:rPr>
      </w:pPr>
    </w:p>
    <w:p w:rsidR="00904245" w:rsidRDefault="00904245" w:rsidP="00904245">
      <w:pPr>
        <w:pStyle w:val="SingleTxtG"/>
        <w:ind w:left="1701"/>
        <w:rPr>
          <w:rFonts w:ascii="Calibri" w:hAnsi="Calibri"/>
          <w:sz w:val="22"/>
          <w:szCs w:val="22"/>
          <w:lang w:val="en-US"/>
        </w:rPr>
      </w:pPr>
    </w:p>
    <w:p w:rsidR="00904245" w:rsidRDefault="00904245" w:rsidP="00904245">
      <w:pPr>
        <w:pStyle w:val="SingleTxtG"/>
        <w:ind w:left="1701"/>
        <w:rPr>
          <w:rFonts w:ascii="Calibri" w:hAnsi="Calibri"/>
          <w:sz w:val="22"/>
          <w:szCs w:val="22"/>
          <w:lang w:val="en-GB"/>
        </w:rPr>
      </w:pPr>
      <w:r>
        <w:rPr>
          <w:rFonts w:ascii="Calibri" w:hAnsi="Calibri"/>
          <w:sz w:val="22"/>
          <w:szCs w:val="22"/>
          <w:lang w:val="en-GB"/>
        </w:rPr>
        <w:lastRenderedPageBreak/>
        <w:t xml:space="preserve">120.80.         Review the counter-terrorism legislation and </w:t>
      </w:r>
      <w:r w:rsidRPr="009E412B">
        <w:rPr>
          <w:rFonts w:ascii="Calibri" w:hAnsi="Calibri"/>
          <w:sz w:val="22"/>
          <w:szCs w:val="22"/>
          <w:u w:val="single"/>
          <w:lang w:val="en-GB"/>
        </w:rPr>
        <w:t>ensure that any interference with the right to privacy therein complied with the principles of legality, necessity and proportionality</w:t>
      </w:r>
      <w:r>
        <w:rPr>
          <w:rFonts w:ascii="Calibri" w:hAnsi="Calibri"/>
          <w:sz w:val="22"/>
          <w:szCs w:val="22"/>
          <w:lang w:val="en-GB"/>
        </w:rPr>
        <w:t xml:space="preserve"> (Greece); </w:t>
      </w:r>
    </w:p>
    <w:p w:rsidR="00904245" w:rsidRDefault="00904245" w:rsidP="00904245">
      <w:pPr>
        <w:pStyle w:val="SingleTxtG"/>
        <w:ind w:left="1701"/>
        <w:rPr>
          <w:rFonts w:ascii="Calibri" w:hAnsi="Calibri"/>
          <w:color w:val="FF0000"/>
          <w:sz w:val="22"/>
          <w:szCs w:val="22"/>
          <w:lang w:val="en-GB"/>
        </w:rPr>
      </w:pPr>
    </w:p>
    <w:p w:rsidR="00904245" w:rsidRDefault="00904245" w:rsidP="00904245">
      <w:pPr>
        <w:pStyle w:val="SingleTxtG"/>
        <w:ind w:left="1701"/>
        <w:rPr>
          <w:rFonts w:ascii="Calibri" w:hAnsi="Calibri"/>
          <w:sz w:val="22"/>
          <w:szCs w:val="22"/>
          <w:lang w:val="en-GB"/>
        </w:rPr>
      </w:pPr>
      <w:r>
        <w:rPr>
          <w:rFonts w:ascii="Calibri" w:hAnsi="Calibri"/>
          <w:sz w:val="22"/>
          <w:szCs w:val="22"/>
          <w:lang w:val="en-GB"/>
        </w:rPr>
        <w:t xml:space="preserve">120.122.      </w:t>
      </w:r>
      <w:r w:rsidRPr="00DD3E30">
        <w:rPr>
          <w:rFonts w:ascii="Calibri" w:hAnsi="Calibri"/>
          <w:sz w:val="22"/>
          <w:szCs w:val="22"/>
          <w:u w:val="single"/>
          <w:lang w:val="en-GB"/>
        </w:rPr>
        <w:t>Ensure that regulations pertaining to the right to privacy are in line with the principles of legality, necessity and proportionality</w:t>
      </w:r>
      <w:r>
        <w:rPr>
          <w:rFonts w:ascii="Calibri" w:hAnsi="Calibri"/>
          <w:sz w:val="22"/>
          <w:szCs w:val="22"/>
          <w:lang w:val="en-GB"/>
        </w:rPr>
        <w:t>. Establish an independent and effective oversight mechanism (Germany);</w:t>
      </w:r>
    </w:p>
    <w:p w:rsidR="00904245" w:rsidRDefault="00904245" w:rsidP="00904245">
      <w:pPr>
        <w:pStyle w:val="SingleTxtG"/>
        <w:ind w:left="1701"/>
        <w:rPr>
          <w:rFonts w:ascii="Calibri" w:hAnsi="Calibri"/>
          <w:sz w:val="22"/>
          <w:szCs w:val="22"/>
          <w:lang w:val="en-GB"/>
        </w:rPr>
      </w:pPr>
    </w:p>
    <w:p w:rsidR="00904245" w:rsidRDefault="00904245" w:rsidP="00904245">
      <w:pPr>
        <w:pStyle w:val="SingleTxtG"/>
        <w:ind w:left="1701"/>
        <w:rPr>
          <w:rFonts w:ascii="Calibri" w:hAnsi="Calibri"/>
          <w:sz w:val="22"/>
          <w:szCs w:val="22"/>
          <w:lang w:val="en-GB"/>
        </w:rPr>
      </w:pPr>
      <w:r>
        <w:rPr>
          <w:rFonts w:ascii="Calibri" w:hAnsi="Calibri"/>
          <w:sz w:val="22"/>
          <w:szCs w:val="22"/>
          <w:lang w:val="en-GB"/>
        </w:rPr>
        <w:t xml:space="preserve">120.123.      Review its procedures, practices and legislation to </w:t>
      </w:r>
      <w:r w:rsidRPr="009E412B">
        <w:rPr>
          <w:rFonts w:ascii="Calibri" w:hAnsi="Calibri"/>
          <w:sz w:val="22"/>
          <w:szCs w:val="22"/>
          <w:u w:val="single"/>
          <w:lang w:val="en-GB"/>
        </w:rPr>
        <w:t>ensure that any interference with the right to privacy is consistent with international human rights standards, especially with the principles of legality, necessity and proportionality</w:t>
      </w:r>
      <w:r>
        <w:rPr>
          <w:rFonts w:ascii="Calibri" w:hAnsi="Calibri"/>
          <w:sz w:val="22"/>
          <w:szCs w:val="22"/>
          <w:lang w:val="en-GB"/>
        </w:rPr>
        <w:t xml:space="preserve"> (Brazil); </w:t>
      </w:r>
    </w:p>
    <w:p w:rsidR="00904245" w:rsidRDefault="00904245" w:rsidP="00904245">
      <w:pPr>
        <w:pStyle w:val="SingleTxtG"/>
        <w:ind w:left="1701"/>
        <w:rPr>
          <w:rFonts w:ascii="Calibri" w:hAnsi="Calibri"/>
          <w:sz w:val="22"/>
          <w:szCs w:val="22"/>
          <w:lang w:val="en-GB"/>
        </w:rPr>
      </w:pPr>
    </w:p>
    <w:p w:rsidR="00904245" w:rsidRDefault="00904245" w:rsidP="00904245">
      <w:pPr>
        <w:pStyle w:val="SingleTxtG"/>
        <w:ind w:left="1701"/>
        <w:rPr>
          <w:rFonts w:ascii="Calibri" w:hAnsi="Calibri"/>
          <w:sz w:val="22"/>
          <w:szCs w:val="22"/>
          <w:lang w:val="en-US"/>
        </w:rPr>
      </w:pPr>
      <w:r>
        <w:rPr>
          <w:rFonts w:ascii="Calibri" w:hAnsi="Calibri"/>
          <w:b/>
          <w:bCs/>
          <w:color w:val="1F497D"/>
          <w:sz w:val="22"/>
          <w:szCs w:val="22"/>
          <w:lang w:val="en-US"/>
        </w:rPr>
        <w:t>Comment</w:t>
      </w:r>
      <w:r>
        <w:rPr>
          <w:rFonts w:ascii="Calibri" w:hAnsi="Calibri"/>
          <w:sz w:val="22"/>
          <w:szCs w:val="22"/>
          <w:lang w:val="en-US"/>
        </w:rPr>
        <w:t xml:space="preserve">: </w:t>
      </w:r>
      <w:r>
        <w:rPr>
          <w:rFonts w:ascii="Calibri" w:hAnsi="Calibri"/>
          <w:color w:val="1F497D"/>
          <w:sz w:val="22"/>
          <w:szCs w:val="22"/>
          <w:lang w:val="en-US"/>
        </w:rPr>
        <w:t>our exist</w:t>
      </w:r>
      <w:r w:rsidR="009E412B">
        <w:rPr>
          <w:rFonts w:ascii="Calibri" w:hAnsi="Calibri"/>
          <w:color w:val="1F497D"/>
          <w:sz w:val="22"/>
          <w:szCs w:val="22"/>
          <w:lang w:val="en-US"/>
        </w:rPr>
        <w:t xml:space="preserve">ing law on issues mentioned in 120.80, 120.122, </w:t>
      </w:r>
      <w:proofErr w:type="gramStart"/>
      <w:r w:rsidR="009E412B">
        <w:rPr>
          <w:rFonts w:ascii="Calibri" w:hAnsi="Calibri"/>
          <w:color w:val="1F497D"/>
          <w:sz w:val="22"/>
          <w:szCs w:val="22"/>
          <w:lang w:val="en-US"/>
        </w:rPr>
        <w:t>120</w:t>
      </w:r>
      <w:r>
        <w:rPr>
          <w:rFonts w:ascii="Calibri" w:hAnsi="Calibri"/>
          <w:color w:val="1F497D"/>
          <w:sz w:val="22"/>
          <w:szCs w:val="22"/>
          <w:lang w:val="en-US"/>
        </w:rPr>
        <w:t>.123</w:t>
      </w:r>
      <w:proofErr w:type="gramEnd"/>
      <w:r>
        <w:rPr>
          <w:rFonts w:ascii="Calibri" w:hAnsi="Calibri"/>
          <w:color w:val="1F497D"/>
          <w:sz w:val="22"/>
          <w:szCs w:val="22"/>
          <w:lang w:val="en-US"/>
        </w:rPr>
        <w:t xml:space="preserve"> is compliant with the principles of legality, necessity and proportionality and there is no need for its review</w:t>
      </w:r>
      <w:r>
        <w:rPr>
          <w:rFonts w:ascii="Calibri" w:hAnsi="Calibri"/>
          <w:sz w:val="22"/>
          <w:szCs w:val="22"/>
          <w:lang w:val="en-US"/>
        </w:rPr>
        <w:t>.</w:t>
      </w:r>
    </w:p>
    <w:p w:rsidR="00904245" w:rsidRDefault="00904245" w:rsidP="00904245">
      <w:pPr>
        <w:pStyle w:val="SingleTxtG"/>
        <w:ind w:left="1701"/>
        <w:rPr>
          <w:rFonts w:ascii="Calibri" w:hAnsi="Calibri"/>
          <w:sz w:val="22"/>
          <w:szCs w:val="22"/>
          <w:lang w:val="en-US"/>
        </w:rPr>
      </w:pPr>
    </w:p>
    <w:p w:rsidR="00904245" w:rsidRDefault="00904245" w:rsidP="00904245">
      <w:pPr>
        <w:pStyle w:val="SingleTxtG"/>
        <w:ind w:left="1701"/>
        <w:rPr>
          <w:rFonts w:ascii="Calibri" w:hAnsi="Calibri"/>
          <w:sz w:val="22"/>
          <w:szCs w:val="22"/>
          <w:lang w:val="en-GB"/>
        </w:rPr>
      </w:pPr>
      <w:r>
        <w:rPr>
          <w:rFonts w:ascii="Calibri" w:hAnsi="Calibri"/>
          <w:sz w:val="22"/>
          <w:szCs w:val="22"/>
          <w:lang w:val="en-GB"/>
        </w:rPr>
        <w:t xml:space="preserve">120.108.      </w:t>
      </w:r>
      <w:r w:rsidRPr="00DD3E30">
        <w:rPr>
          <w:rFonts w:ascii="Calibri" w:hAnsi="Calibri"/>
          <w:sz w:val="22"/>
          <w:szCs w:val="22"/>
          <w:u w:val="single"/>
          <w:lang w:val="en-GB"/>
        </w:rPr>
        <w:t xml:space="preserve">Guarantee the full right to freedom of expression, </w:t>
      </w:r>
      <w:r w:rsidRPr="009E412B">
        <w:rPr>
          <w:rFonts w:ascii="Calibri" w:hAnsi="Calibri"/>
          <w:sz w:val="22"/>
          <w:szCs w:val="22"/>
          <w:lang w:val="en-GB"/>
        </w:rPr>
        <w:t xml:space="preserve">through amendments to laws adopted from 2015 that limit the independence of the media, undermine trust on its impartiality </w:t>
      </w:r>
      <w:r w:rsidRPr="00DD3E30">
        <w:rPr>
          <w:rFonts w:ascii="Calibri" w:hAnsi="Calibri"/>
          <w:sz w:val="22"/>
          <w:szCs w:val="22"/>
          <w:lang w:val="en-GB"/>
        </w:rPr>
        <w:t>and,</w:t>
      </w:r>
      <w:r>
        <w:rPr>
          <w:rFonts w:ascii="Calibri" w:hAnsi="Calibri"/>
          <w:sz w:val="22"/>
          <w:szCs w:val="22"/>
          <w:lang w:val="en-GB"/>
        </w:rPr>
        <w:t xml:space="preserve"> in anti-terrorism cases, could violate privacy (Mexico);</w:t>
      </w:r>
    </w:p>
    <w:p w:rsidR="00904245" w:rsidRPr="00CD2554" w:rsidRDefault="00904245" w:rsidP="00904245">
      <w:pPr>
        <w:pStyle w:val="SingleTxtG"/>
        <w:ind w:left="1701"/>
        <w:rPr>
          <w:rFonts w:ascii="Calibri" w:hAnsi="Calibri"/>
          <w:color w:val="FF0000"/>
          <w:sz w:val="22"/>
          <w:szCs w:val="22"/>
          <w:u w:val="single"/>
          <w:lang w:val="en-US" w:eastAsia="pl-PL"/>
        </w:rPr>
      </w:pPr>
      <w:r w:rsidRPr="00CD2554">
        <w:rPr>
          <w:rFonts w:ascii="Calibri" w:hAnsi="Calibri"/>
          <w:b/>
          <w:bCs/>
          <w:color w:val="1F497D"/>
          <w:sz w:val="22"/>
          <w:szCs w:val="22"/>
          <w:lang w:val="en-US"/>
        </w:rPr>
        <w:t>Comment</w:t>
      </w:r>
      <w:r w:rsidRPr="00CD2554">
        <w:rPr>
          <w:rFonts w:ascii="Calibri" w:hAnsi="Calibri"/>
          <w:sz w:val="22"/>
          <w:szCs w:val="22"/>
          <w:lang w:val="en-US"/>
        </w:rPr>
        <w:t xml:space="preserve">: </w:t>
      </w:r>
      <w:r w:rsidRPr="00CD2554">
        <w:rPr>
          <w:rFonts w:ascii="Calibri" w:hAnsi="Calibri"/>
          <w:color w:val="1F497D"/>
          <w:sz w:val="22"/>
          <w:szCs w:val="22"/>
          <w:lang w:val="en-US"/>
        </w:rPr>
        <w:t>The legal provisions adopted in 2015 do not restrict media freedom and pluralism.</w:t>
      </w:r>
      <w:r w:rsidRPr="00CD2554">
        <w:rPr>
          <w:sz w:val="22"/>
          <w:szCs w:val="22"/>
          <w:lang w:val="en-US" w:eastAsia="pl-PL"/>
        </w:rPr>
        <w:t xml:space="preserve"> </w:t>
      </w:r>
      <w:r w:rsidRPr="00CD2554">
        <w:rPr>
          <w:rFonts w:ascii="Calibri" w:hAnsi="Calibri"/>
          <w:color w:val="1F497D"/>
          <w:sz w:val="22"/>
          <w:szCs w:val="22"/>
          <w:lang w:val="en-US"/>
        </w:rPr>
        <w:t xml:space="preserve">With regard to the protection of privacy it should be noted that the use of the judicial oversight mechanism as set out in the Amendment to the Act on the Internal Security Agency and the Foreign Intelligence Agency is consistent with constitutional standards and it ensures a supervisory instrument by an independent body. </w:t>
      </w:r>
    </w:p>
    <w:p w:rsidR="00904245" w:rsidRPr="00CD2554" w:rsidRDefault="00904245" w:rsidP="00904245">
      <w:pPr>
        <w:pStyle w:val="SingleTxtG"/>
        <w:ind w:left="1701"/>
        <w:rPr>
          <w:rFonts w:ascii="Calibri" w:hAnsi="Calibri"/>
          <w:sz w:val="22"/>
          <w:szCs w:val="22"/>
          <w:lang w:val="en-US"/>
        </w:rPr>
      </w:pPr>
    </w:p>
    <w:p w:rsidR="00904245" w:rsidRPr="00CD2554" w:rsidRDefault="00904245" w:rsidP="00904245">
      <w:pPr>
        <w:pStyle w:val="SingleTxtG"/>
        <w:ind w:left="1701"/>
        <w:rPr>
          <w:rFonts w:ascii="Calibri" w:hAnsi="Calibri"/>
          <w:sz w:val="22"/>
          <w:szCs w:val="22"/>
          <w:lang w:val="en-GB"/>
        </w:rPr>
      </w:pPr>
      <w:r w:rsidRPr="00CD2554">
        <w:rPr>
          <w:rFonts w:ascii="Calibri" w:hAnsi="Calibri"/>
          <w:sz w:val="22"/>
          <w:szCs w:val="22"/>
          <w:lang w:val="en-GB"/>
        </w:rPr>
        <w:t xml:space="preserve">120.181.      Prepare a draft amendment to the Foreigners Act </w:t>
      </w:r>
      <w:r w:rsidRPr="00CD2554">
        <w:rPr>
          <w:rFonts w:ascii="Calibri" w:hAnsi="Calibri"/>
          <w:sz w:val="22"/>
          <w:szCs w:val="22"/>
          <w:u w:val="single"/>
          <w:lang w:val="en-GB"/>
        </w:rPr>
        <w:t>prohibiting detention of</w:t>
      </w:r>
      <w:r w:rsidRPr="00CD2554">
        <w:rPr>
          <w:rFonts w:ascii="Calibri" w:hAnsi="Calibri"/>
          <w:sz w:val="22"/>
          <w:szCs w:val="22"/>
          <w:lang w:val="en-GB"/>
        </w:rPr>
        <w:t xml:space="preserve"> families with minors and </w:t>
      </w:r>
      <w:r w:rsidRPr="00CD2554">
        <w:rPr>
          <w:rFonts w:ascii="Calibri" w:hAnsi="Calibri"/>
          <w:sz w:val="22"/>
          <w:szCs w:val="22"/>
          <w:u w:val="single"/>
          <w:lang w:val="en-GB"/>
        </w:rPr>
        <w:t>unaccompanied minors for the purposes of both return and asylum proceedings</w:t>
      </w:r>
      <w:r w:rsidRPr="00CD2554">
        <w:rPr>
          <w:rFonts w:ascii="Calibri" w:hAnsi="Calibri"/>
          <w:sz w:val="22"/>
          <w:szCs w:val="22"/>
          <w:lang w:val="en-GB"/>
        </w:rPr>
        <w:t xml:space="preserve"> (Kyrgyzstan);</w:t>
      </w:r>
    </w:p>
    <w:p w:rsidR="00904245" w:rsidRPr="00CD2554" w:rsidRDefault="00904245" w:rsidP="00904245">
      <w:pPr>
        <w:pStyle w:val="SingleTxtG"/>
        <w:ind w:left="1701"/>
        <w:rPr>
          <w:rFonts w:ascii="Calibri" w:hAnsi="Calibri"/>
          <w:color w:val="1F497D"/>
          <w:sz w:val="22"/>
          <w:szCs w:val="22"/>
          <w:lang w:val="en-GB"/>
        </w:rPr>
      </w:pPr>
    </w:p>
    <w:p w:rsidR="00904245" w:rsidRPr="00CD2554" w:rsidRDefault="009E412B" w:rsidP="009E412B">
      <w:pPr>
        <w:ind w:left="1701" w:right="1134"/>
        <w:jc w:val="both"/>
        <w:rPr>
          <w:sz w:val="22"/>
          <w:szCs w:val="22"/>
          <w:lang w:val="en-US"/>
        </w:rPr>
      </w:pPr>
      <w:r w:rsidRPr="00CD2554">
        <w:rPr>
          <w:rFonts w:ascii="Calibri" w:hAnsi="Calibri"/>
          <w:b/>
          <w:bCs/>
          <w:color w:val="004080"/>
          <w:sz w:val="22"/>
          <w:szCs w:val="22"/>
          <w:lang w:val="en-US"/>
        </w:rPr>
        <w:t>Comment:</w:t>
      </w:r>
      <w:r w:rsidRPr="00CD2554">
        <w:rPr>
          <w:rFonts w:ascii="Calibri" w:hAnsi="Calibri"/>
          <w:sz w:val="22"/>
          <w:szCs w:val="22"/>
          <w:lang w:val="en-US"/>
        </w:rPr>
        <w:t xml:space="preserve"> </w:t>
      </w:r>
      <w:r w:rsidRPr="00CD2554">
        <w:rPr>
          <w:rFonts w:ascii="Calibri" w:hAnsi="Calibri"/>
          <w:color w:val="004080"/>
          <w:sz w:val="22"/>
          <w:szCs w:val="22"/>
          <w:lang w:val="en-US"/>
        </w:rPr>
        <w:t xml:space="preserve">Minors without guardians who seek international protection cannot be placed in a guarded </w:t>
      </w:r>
      <w:proofErr w:type="spellStart"/>
      <w:r w:rsidRPr="00CD2554">
        <w:rPr>
          <w:rFonts w:ascii="Calibri" w:hAnsi="Calibri"/>
          <w:color w:val="004080"/>
          <w:sz w:val="22"/>
          <w:szCs w:val="22"/>
          <w:lang w:val="en-US"/>
        </w:rPr>
        <w:t>centre</w:t>
      </w:r>
      <w:proofErr w:type="spellEnd"/>
      <w:r w:rsidRPr="00CD2554">
        <w:rPr>
          <w:rFonts w:ascii="Calibri" w:hAnsi="Calibri"/>
          <w:color w:val="004080"/>
          <w:sz w:val="22"/>
          <w:szCs w:val="22"/>
          <w:lang w:val="en-US"/>
        </w:rPr>
        <w:t>, but should be put in foster care. However, no plans exist to prohibit placing families with children in guarded centers.</w:t>
      </w:r>
    </w:p>
    <w:p w:rsidR="00904245" w:rsidRPr="00567E2A" w:rsidRDefault="00904245" w:rsidP="00904245">
      <w:pPr>
        <w:rPr>
          <w:lang w:val="en-US"/>
        </w:rPr>
      </w:pPr>
    </w:p>
    <w:p w:rsidR="006324F5" w:rsidRPr="00904245" w:rsidRDefault="003025CE">
      <w:pPr>
        <w:rPr>
          <w:lang w:val="en-US"/>
        </w:rPr>
      </w:pPr>
    </w:p>
    <w:sectPr w:rsidR="006324F5" w:rsidRPr="009042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245"/>
    <w:rsid w:val="00113F15"/>
    <w:rsid w:val="002E7844"/>
    <w:rsid w:val="003025CE"/>
    <w:rsid w:val="003B4B6A"/>
    <w:rsid w:val="007B6150"/>
    <w:rsid w:val="00904245"/>
    <w:rsid w:val="009E412B"/>
    <w:rsid w:val="00CD2554"/>
    <w:rsid w:val="00CE27BA"/>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245"/>
    <w:pPr>
      <w:spacing w:after="0" w:line="240" w:lineRule="auto"/>
    </w:pPr>
    <w:rPr>
      <w:rFonts w:ascii="Times New Roman" w:hAnsi="Times New Roman" w:cs="Times New Roman"/>
      <w:sz w:val="24"/>
      <w:szCs w:val="24"/>
      <w:lang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04245"/>
  </w:style>
  <w:style w:type="paragraph" w:styleId="CommentText">
    <w:name w:val="annotation text"/>
    <w:basedOn w:val="Normal"/>
    <w:link w:val="CommentTextChar"/>
    <w:uiPriority w:val="99"/>
    <w:semiHidden/>
    <w:unhideWhenUsed/>
    <w:rsid w:val="00904245"/>
    <w:rPr>
      <w:sz w:val="20"/>
      <w:szCs w:val="20"/>
    </w:rPr>
  </w:style>
  <w:style w:type="character" w:customStyle="1" w:styleId="CommentTextChar">
    <w:name w:val="Comment Text Char"/>
    <w:basedOn w:val="DefaultParagraphFont"/>
    <w:link w:val="CommentText"/>
    <w:uiPriority w:val="99"/>
    <w:semiHidden/>
    <w:rsid w:val="00904245"/>
    <w:rPr>
      <w:rFonts w:ascii="Times New Roman" w:hAnsi="Times New Roman" w:cs="Times New Roman"/>
      <w:sz w:val="20"/>
      <w:szCs w:val="20"/>
      <w:lang w:eastAsia="pl-PL"/>
    </w:rPr>
  </w:style>
  <w:style w:type="paragraph" w:customStyle="1" w:styleId="SingleTxtG">
    <w:name w:val="_ Single Txt_G"/>
    <w:basedOn w:val="Normal"/>
    <w:uiPriority w:val="99"/>
    <w:rsid w:val="00904245"/>
    <w:pPr>
      <w:spacing w:after="120" w:line="240" w:lineRule="atLeast"/>
      <w:ind w:left="1134" w:right="1134"/>
      <w:jc w:val="both"/>
    </w:pPr>
    <w:rPr>
      <w:sz w:val="20"/>
      <w:szCs w:val="20"/>
      <w:lang w:eastAsia="en-US"/>
    </w:rPr>
  </w:style>
  <w:style w:type="paragraph" w:styleId="BalloonText">
    <w:name w:val="Balloon Text"/>
    <w:basedOn w:val="Normal"/>
    <w:link w:val="BalloonTextChar"/>
    <w:uiPriority w:val="99"/>
    <w:semiHidden/>
    <w:unhideWhenUsed/>
    <w:rsid w:val="00904245"/>
    <w:rPr>
      <w:rFonts w:ascii="Tahoma" w:hAnsi="Tahoma" w:cs="Tahoma"/>
      <w:sz w:val="16"/>
      <w:szCs w:val="16"/>
    </w:rPr>
  </w:style>
  <w:style w:type="character" w:customStyle="1" w:styleId="BalloonTextChar">
    <w:name w:val="Balloon Text Char"/>
    <w:basedOn w:val="DefaultParagraphFont"/>
    <w:link w:val="BalloonText"/>
    <w:uiPriority w:val="99"/>
    <w:semiHidden/>
    <w:rsid w:val="00904245"/>
    <w:rPr>
      <w:rFonts w:ascii="Tahoma" w:hAnsi="Tahoma" w:cs="Tahoma"/>
      <w:sz w:val="16"/>
      <w:szCs w:val="16"/>
      <w:lang w:eastAsia="pl-PL"/>
    </w:rPr>
  </w:style>
  <w:style w:type="paragraph" w:styleId="CommentSubject">
    <w:name w:val="annotation subject"/>
    <w:basedOn w:val="CommentText"/>
    <w:next w:val="CommentText"/>
    <w:link w:val="CommentSubjectChar"/>
    <w:uiPriority w:val="99"/>
    <w:semiHidden/>
    <w:unhideWhenUsed/>
    <w:rsid w:val="003B4B6A"/>
    <w:rPr>
      <w:b/>
      <w:bCs/>
    </w:rPr>
  </w:style>
  <w:style w:type="character" w:customStyle="1" w:styleId="CommentSubjectChar">
    <w:name w:val="Comment Subject Char"/>
    <w:basedOn w:val="CommentTextChar"/>
    <w:link w:val="CommentSubject"/>
    <w:uiPriority w:val="99"/>
    <w:semiHidden/>
    <w:rsid w:val="003B4B6A"/>
    <w:rPr>
      <w:rFonts w:ascii="Times New Roman" w:hAnsi="Times New Roman" w:cs="Times New Roman"/>
      <w:b/>
      <w:bCs/>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245"/>
    <w:pPr>
      <w:spacing w:after="0" w:line="240" w:lineRule="auto"/>
    </w:pPr>
    <w:rPr>
      <w:rFonts w:ascii="Times New Roman" w:hAnsi="Times New Roman" w:cs="Times New Roman"/>
      <w:sz w:val="24"/>
      <w:szCs w:val="24"/>
      <w:lang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04245"/>
  </w:style>
  <w:style w:type="paragraph" w:styleId="CommentText">
    <w:name w:val="annotation text"/>
    <w:basedOn w:val="Normal"/>
    <w:link w:val="CommentTextChar"/>
    <w:uiPriority w:val="99"/>
    <w:semiHidden/>
    <w:unhideWhenUsed/>
    <w:rsid w:val="00904245"/>
    <w:rPr>
      <w:sz w:val="20"/>
      <w:szCs w:val="20"/>
    </w:rPr>
  </w:style>
  <w:style w:type="character" w:customStyle="1" w:styleId="CommentTextChar">
    <w:name w:val="Comment Text Char"/>
    <w:basedOn w:val="DefaultParagraphFont"/>
    <w:link w:val="CommentText"/>
    <w:uiPriority w:val="99"/>
    <w:semiHidden/>
    <w:rsid w:val="00904245"/>
    <w:rPr>
      <w:rFonts w:ascii="Times New Roman" w:hAnsi="Times New Roman" w:cs="Times New Roman"/>
      <w:sz w:val="20"/>
      <w:szCs w:val="20"/>
      <w:lang w:eastAsia="pl-PL"/>
    </w:rPr>
  </w:style>
  <w:style w:type="paragraph" w:customStyle="1" w:styleId="SingleTxtG">
    <w:name w:val="_ Single Txt_G"/>
    <w:basedOn w:val="Normal"/>
    <w:uiPriority w:val="99"/>
    <w:rsid w:val="00904245"/>
    <w:pPr>
      <w:spacing w:after="120" w:line="240" w:lineRule="atLeast"/>
      <w:ind w:left="1134" w:right="1134"/>
      <w:jc w:val="both"/>
    </w:pPr>
    <w:rPr>
      <w:sz w:val="20"/>
      <w:szCs w:val="20"/>
      <w:lang w:eastAsia="en-US"/>
    </w:rPr>
  </w:style>
  <w:style w:type="paragraph" w:styleId="BalloonText">
    <w:name w:val="Balloon Text"/>
    <w:basedOn w:val="Normal"/>
    <w:link w:val="BalloonTextChar"/>
    <w:uiPriority w:val="99"/>
    <w:semiHidden/>
    <w:unhideWhenUsed/>
    <w:rsid w:val="00904245"/>
    <w:rPr>
      <w:rFonts w:ascii="Tahoma" w:hAnsi="Tahoma" w:cs="Tahoma"/>
      <w:sz w:val="16"/>
      <w:szCs w:val="16"/>
    </w:rPr>
  </w:style>
  <w:style w:type="character" w:customStyle="1" w:styleId="BalloonTextChar">
    <w:name w:val="Balloon Text Char"/>
    <w:basedOn w:val="DefaultParagraphFont"/>
    <w:link w:val="BalloonText"/>
    <w:uiPriority w:val="99"/>
    <w:semiHidden/>
    <w:rsid w:val="00904245"/>
    <w:rPr>
      <w:rFonts w:ascii="Tahoma" w:hAnsi="Tahoma" w:cs="Tahoma"/>
      <w:sz w:val="16"/>
      <w:szCs w:val="16"/>
      <w:lang w:eastAsia="pl-PL"/>
    </w:rPr>
  </w:style>
  <w:style w:type="paragraph" w:styleId="CommentSubject">
    <w:name w:val="annotation subject"/>
    <w:basedOn w:val="CommentText"/>
    <w:next w:val="CommentText"/>
    <w:link w:val="CommentSubjectChar"/>
    <w:uiPriority w:val="99"/>
    <w:semiHidden/>
    <w:unhideWhenUsed/>
    <w:rsid w:val="003B4B6A"/>
    <w:rPr>
      <w:b/>
      <w:bCs/>
    </w:rPr>
  </w:style>
  <w:style w:type="character" w:customStyle="1" w:styleId="CommentSubjectChar">
    <w:name w:val="Comment Subject Char"/>
    <w:basedOn w:val="CommentTextChar"/>
    <w:link w:val="CommentSubject"/>
    <w:uiPriority w:val="99"/>
    <w:semiHidden/>
    <w:rsid w:val="003B4B6A"/>
    <w:rPr>
      <w:rFonts w:ascii="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5494FED-4522-4A17-9BA0-A42CB21EF2D8}"/>
</file>

<file path=customXml/itemProps2.xml><?xml version="1.0" encoding="utf-8"?>
<ds:datastoreItem xmlns:ds="http://schemas.openxmlformats.org/officeDocument/2006/customXml" ds:itemID="{ECD85A9B-AEB1-461E-BAF2-9015A0F272F9}"/>
</file>

<file path=customXml/itemProps3.xml><?xml version="1.0" encoding="utf-8"?>
<ds:datastoreItem xmlns:ds="http://schemas.openxmlformats.org/officeDocument/2006/customXml" ds:itemID="{C09D9B89-C042-449C-8D91-ABB485DBE315}"/>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3528</Characters>
  <Application>Microsoft Office Word</Application>
  <DocSecurity>0</DocSecurity>
  <Lines>29</Lines>
  <Paragraphs>8</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OHCHR</Company>
  <LinksUpToDate>false</LinksUpToDate>
  <CharactersWithSpaces>4138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A_HRC_36_14_Add.1_Poland_Annex_E</dc:title>
  <dc:creator>Kraińska Maria</dc:creator>
  <cp:lastModifiedBy>Sumiko IHARA</cp:lastModifiedBy>
  <cp:revision>2</cp:revision>
  <dcterms:created xsi:type="dcterms:W3CDTF">2017-09-12T12:16:00Z</dcterms:created>
  <dcterms:modified xsi:type="dcterms:W3CDTF">2017-09-12T12:16:00Z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1343300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