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AE7606" w:rsidTr="0036295C">
        <w:trPr>
          <w:trHeight w:hRule="exact" w:val="851"/>
        </w:trPr>
        <w:tc>
          <w:tcPr>
            <w:tcW w:w="1276" w:type="dxa"/>
            <w:tcBorders>
              <w:bottom w:val="single" w:sz="4" w:space="0" w:color="auto"/>
            </w:tcBorders>
          </w:tcPr>
          <w:p w:rsidR="00057BC0" w:rsidRPr="00AE7606" w:rsidRDefault="00057BC0" w:rsidP="00C717E0">
            <w:pPr>
              <w:rPr>
                <w:lang w:val="fr-FR"/>
              </w:rPr>
            </w:pPr>
            <w:bookmarkStart w:id="0" w:name="_GoBack"/>
            <w:bookmarkEnd w:id="0"/>
          </w:p>
        </w:tc>
        <w:tc>
          <w:tcPr>
            <w:tcW w:w="2268" w:type="dxa"/>
            <w:tcBorders>
              <w:bottom w:val="single" w:sz="4" w:space="0" w:color="auto"/>
            </w:tcBorders>
            <w:vAlign w:val="bottom"/>
          </w:tcPr>
          <w:p w:rsidR="00057BC0" w:rsidRPr="00AE7606" w:rsidRDefault="00057BC0" w:rsidP="00C717E0">
            <w:pPr>
              <w:spacing w:after="80" w:line="300" w:lineRule="exact"/>
              <w:rPr>
                <w:sz w:val="28"/>
                <w:lang w:val="fr-FR"/>
              </w:rPr>
            </w:pPr>
          </w:p>
        </w:tc>
        <w:tc>
          <w:tcPr>
            <w:tcW w:w="6095" w:type="dxa"/>
            <w:gridSpan w:val="2"/>
            <w:tcBorders>
              <w:bottom w:val="single" w:sz="4" w:space="0" w:color="auto"/>
            </w:tcBorders>
            <w:vAlign w:val="bottom"/>
          </w:tcPr>
          <w:p w:rsidR="00057BC0" w:rsidRPr="00AE7606" w:rsidRDefault="0036295C" w:rsidP="0036295C">
            <w:pPr>
              <w:jc w:val="right"/>
              <w:rPr>
                <w:lang w:val="fr-FR"/>
              </w:rPr>
            </w:pPr>
            <w:r w:rsidRPr="00AE7606">
              <w:rPr>
                <w:sz w:val="40"/>
                <w:lang w:val="fr-FR"/>
              </w:rPr>
              <w:t>A</w:t>
            </w:r>
            <w:r w:rsidRPr="00AE7606">
              <w:rPr>
                <w:lang w:val="fr-FR"/>
              </w:rPr>
              <w:t>/HRC/34/4/Add.1</w:t>
            </w:r>
          </w:p>
        </w:tc>
      </w:tr>
      <w:tr w:rsidR="00057BC0" w:rsidRPr="00AE7606" w:rsidTr="00C717E0">
        <w:trPr>
          <w:trHeight w:hRule="exact" w:val="2835"/>
        </w:trPr>
        <w:tc>
          <w:tcPr>
            <w:tcW w:w="1276" w:type="dxa"/>
            <w:tcBorders>
              <w:top w:val="single" w:sz="4" w:space="0" w:color="auto"/>
              <w:bottom w:val="single" w:sz="12" w:space="0" w:color="auto"/>
            </w:tcBorders>
          </w:tcPr>
          <w:p w:rsidR="00057BC0" w:rsidRPr="00AE7606" w:rsidRDefault="00057BC0" w:rsidP="00C717E0">
            <w:pPr>
              <w:spacing w:before="120"/>
              <w:jc w:val="center"/>
              <w:rPr>
                <w:lang w:val="fr-FR"/>
              </w:rPr>
            </w:pPr>
          </w:p>
        </w:tc>
        <w:tc>
          <w:tcPr>
            <w:tcW w:w="5528" w:type="dxa"/>
            <w:gridSpan w:val="2"/>
            <w:tcBorders>
              <w:top w:val="single" w:sz="4" w:space="0" w:color="auto"/>
              <w:bottom w:val="single" w:sz="12" w:space="0" w:color="auto"/>
            </w:tcBorders>
          </w:tcPr>
          <w:p w:rsidR="00057BC0" w:rsidRPr="00AE7606" w:rsidRDefault="00971338" w:rsidP="00C717E0">
            <w:pPr>
              <w:spacing w:before="120" w:line="420" w:lineRule="exact"/>
              <w:rPr>
                <w:b/>
                <w:sz w:val="40"/>
                <w:szCs w:val="40"/>
                <w:lang w:val="fr-FR"/>
              </w:rPr>
            </w:pPr>
            <w:r>
              <w:rPr>
                <w:b/>
                <w:sz w:val="40"/>
                <w:szCs w:val="40"/>
                <w:lang w:val="fr-FR"/>
              </w:rPr>
              <w:t>Advance version</w:t>
            </w:r>
          </w:p>
        </w:tc>
        <w:tc>
          <w:tcPr>
            <w:tcW w:w="2835" w:type="dxa"/>
            <w:tcBorders>
              <w:top w:val="single" w:sz="4" w:space="0" w:color="auto"/>
              <w:bottom w:val="single" w:sz="12" w:space="0" w:color="auto"/>
            </w:tcBorders>
          </w:tcPr>
          <w:p w:rsidR="00057BC0" w:rsidRPr="00AE7606" w:rsidRDefault="0036295C" w:rsidP="00C717E0">
            <w:pPr>
              <w:spacing w:before="240"/>
              <w:rPr>
                <w:lang w:val="fr-FR"/>
              </w:rPr>
            </w:pPr>
            <w:r w:rsidRPr="00AE7606">
              <w:rPr>
                <w:lang w:val="fr-FR"/>
              </w:rPr>
              <w:t>Distr. générale</w:t>
            </w:r>
          </w:p>
          <w:p w:rsidR="0036295C" w:rsidRPr="00AE7606" w:rsidRDefault="00051973" w:rsidP="0036295C">
            <w:pPr>
              <w:spacing w:line="240" w:lineRule="exact"/>
              <w:rPr>
                <w:lang w:val="fr-FR"/>
              </w:rPr>
            </w:pPr>
            <w:r>
              <w:rPr>
                <w:lang w:val="fr-FR"/>
              </w:rPr>
              <w:t>1</w:t>
            </w:r>
            <w:r w:rsidR="008822BF" w:rsidRPr="00AE7606">
              <w:rPr>
                <w:lang w:val="fr-FR"/>
              </w:rPr>
              <w:t xml:space="preserve"> mars</w:t>
            </w:r>
            <w:r w:rsidR="0036295C" w:rsidRPr="00AE7606">
              <w:rPr>
                <w:lang w:val="fr-FR"/>
              </w:rPr>
              <w:t xml:space="preserve"> 2017</w:t>
            </w:r>
          </w:p>
          <w:p w:rsidR="0036295C" w:rsidRPr="00AE7606" w:rsidRDefault="0036295C" w:rsidP="0036295C">
            <w:pPr>
              <w:spacing w:line="240" w:lineRule="exact"/>
              <w:rPr>
                <w:lang w:val="fr-FR"/>
              </w:rPr>
            </w:pPr>
          </w:p>
          <w:p w:rsidR="0036295C" w:rsidRPr="00AE7606" w:rsidRDefault="0036295C" w:rsidP="0036295C">
            <w:pPr>
              <w:spacing w:line="240" w:lineRule="exact"/>
              <w:rPr>
                <w:lang w:val="fr-FR"/>
              </w:rPr>
            </w:pPr>
            <w:r w:rsidRPr="00AE7606">
              <w:rPr>
                <w:lang w:val="fr-FR"/>
              </w:rPr>
              <w:t xml:space="preserve">Original: français </w:t>
            </w:r>
          </w:p>
        </w:tc>
      </w:tr>
    </w:tbl>
    <w:p w:rsidR="0036295C" w:rsidRPr="00AE7606" w:rsidRDefault="0036295C" w:rsidP="0036295C">
      <w:pPr>
        <w:kinsoku w:val="0"/>
        <w:overflowPunct w:val="0"/>
        <w:autoSpaceDE w:val="0"/>
        <w:autoSpaceDN w:val="0"/>
        <w:adjustRightInd w:val="0"/>
        <w:snapToGrid w:val="0"/>
        <w:spacing w:before="120"/>
        <w:rPr>
          <w:b/>
          <w:sz w:val="24"/>
          <w:szCs w:val="24"/>
          <w:lang w:val="fr-FR"/>
        </w:rPr>
      </w:pPr>
      <w:r w:rsidRPr="00AE7606">
        <w:rPr>
          <w:b/>
          <w:sz w:val="24"/>
          <w:szCs w:val="24"/>
          <w:lang w:val="fr-FR"/>
        </w:rPr>
        <w:t>Conseil des droits de l’homme</w:t>
      </w:r>
    </w:p>
    <w:p w:rsidR="0036295C" w:rsidRDefault="0036295C" w:rsidP="0036295C">
      <w:pPr>
        <w:kinsoku w:val="0"/>
        <w:overflowPunct w:val="0"/>
        <w:autoSpaceDE w:val="0"/>
        <w:autoSpaceDN w:val="0"/>
        <w:adjustRightInd w:val="0"/>
        <w:snapToGrid w:val="0"/>
        <w:rPr>
          <w:b/>
          <w:lang w:val="fr-FR"/>
        </w:rPr>
      </w:pPr>
      <w:r w:rsidRPr="00AE7606">
        <w:rPr>
          <w:b/>
          <w:szCs w:val="24"/>
          <w:lang w:val="fr-FR"/>
        </w:rPr>
        <w:t xml:space="preserve">Trente-quatrième </w:t>
      </w:r>
      <w:r w:rsidRPr="00AE7606">
        <w:rPr>
          <w:b/>
          <w:lang w:val="fr-FR"/>
        </w:rPr>
        <w:t>session</w:t>
      </w:r>
    </w:p>
    <w:p w:rsidR="00051973" w:rsidRDefault="00051973" w:rsidP="00051973">
      <w:pPr>
        <w:tabs>
          <w:tab w:val="right" w:pos="850"/>
          <w:tab w:val="left" w:pos="1134"/>
          <w:tab w:val="left" w:pos="1559"/>
          <w:tab w:val="left" w:pos="1984"/>
        </w:tabs>
        <w:rPr>
          <w:lang w:val="fr-FR"/>
        </w:rPr>
      </w:pPr>
      <w:r>
        <w:rPr>
          <w:lang w:val="fr-FR"/>
        </w:rPr>
        <w:t>27 février-24 mars 2017</w:t>
      </w:r>
    </w:p>
    <w:p w:rsidR="0036295C" w:rsidRPr="00AE7606" w:rsidRDefault="0036295C" w:rsidP="0036295C">
      <w:pPr>
        <w:kinsoku w:val="0"/>
        <w:overflowPunct w:val="0"/>
        <w:autoSpaceDE w:val="0"/>
        <w:autoSpaceDN w:val="0"/>
        <w:adjustRightInd w:val="0"/>
        <w:snapToGrid w:val="0"/>
        <w:rPr>
          <w:lang w:val="fr-FR"/>
        </w:rPr>
      </w:pPr>
      <w:r w:rsidRPr="00AE7606">
        <w:rPr>
          <w:lang w:val="fr-FR"/>
        </w:rPr>
        <w:t>Point 6 de l’ordre du jour</w:t>
      </w:r>
    </w:p>
    <w:p w:rsidR="0036295C" w:rsidRPr="00AE7606" w:rsidRDefault="0036295C" w:rsidP="0036295C">
      <w:pPr>
        <w:kinsoku w:val="0"/>
        <w:overflowPunct w:val="0"/>
        <w:autoSpaceDE w:val="0"/>
        <w:autoSpaceDN w:val="0"/>
        <w:adjustRightInd w:val="0"/>
        <w:snapToGrid w:val="0"/>
        <w:rPr>
          <w:lang w:val="fr-FR"/>
        </w:rPr>
      </w:pPr>
      <w:r w:rsidRPr="00AE7606">
        <w:rPr>
          <w:b/>
          <w:lang w:val="fr-FR"/>
        </w:rPr>
        <w:t>Examen périodique universel</w:t>
      </w:r>
    </w:p>
    <w:p w:rsidR="0036295C" w:rsidRPr="00AE7606" w:rsidRDefault="0036295C" w:rsidP="0036295C">
      <w:pPr>
        <w:keepNext/>
        <w:keepLines/>
        <w:tabs>
          <w:tab w:val="right" w:pos="851"/>
        </w:tabs>
        <w:spacing w:before="360" w:after="240" w:line="300" w:lineRule="exact"/>
        <w:ind w:left="1134" w:right="1134" w:hanging="1134"/>
        <w:rPr>
          <w:b/>
          <w:sz w:val="28"/>
          <w:lang w:val="fr-FR"/>
        </w:rPr>
      </w:pPr>
      <w:r w:rsidRPr="00AE7606">
        <w:rPr>
          <w:b/>
          <w:sz w:val="34"/>
          <w:lang w:val="fr-FR"/>
        </w:rPr>
        <w:tab/>
      </w:r>
      <w:r w:rsidRPr="00AE7606">
        <w:rPr>
          <w:b/>
          <w:sz w:val="34"/>
          <w:lang w:val="fr-FR"/>
        </w:rPr>
        <w:tab/>
      </w:r>
      <w:r w:rsidRPr="00AE7606">
        <w:rPr>
          <w:b/>
          <w:sz w:val="28"/>
          <w:lang w:val="fr-FR"/>
        </w:rPr>
        <w:t xml:space="preserve">Rapport du Groupe de travail </w:t>
      </w:r>
      <w:r w:rsidRPr="00AE7606">
        <w:rPr>
          <w:b/>
          <w:sz w:val="28"/>
          <w:lang w:val="fr-FR"/>
        </w:rPr>
        <w:br/>
        <w:t>sur l’Examen périodique universel</w:t>
      </w:r>
      <w:r w:rsidRPr="00051973">
        <w:rPr>
          <w:b/>
          <w:lang w:val="fr-FR"/>
        </w:rPr>
        <w:footnoteReference w:customMarkFollows="1" w:id="2"/>
        <w:t>*</w:t>
      </w:r>
    </w:p>
    <w:p w:rsidR="0036295C" w:rsidRPr="00051973" w:rsidRDefault="0036295C" w:rsidP="0036295C">
      <w:pPr>
        <w:keepNext/>
        <w:keepLines/>
        <w:tabs>
          <w:tab w:val="right" w:pos="851"/>
        </w:tabs>
        <w:spacing w:before="360" w:after="240" w:line="270" w:lineRule="exact"/>
        <w:ind w:left="1134" w:right="1134" w:hanging="1134"/>
        <w:rPr>
          <w:b/>
          <w:sz w:val="28"/>
          <w:szCs w:val="28"/>
          <w:lang w:val="fr-FR"/>
        </w:rPr>
      </w:pPr>
      <w:r w:rsidRPr="00051973">
        <w:rPr>
          <w:b/>
          <w:sz w:val="28"/>
          <w:szCs w:val="28"/>
          <w:lang w:val="fr-FR"/>
        </w:rPr>
        <w:tab/>
      </w:r>
      <w:r w:rsidRPr="00051973">
        <w:rPr>
          <w:b/>
          <w:sz w:val="28"/>
          <w:szCs w:val="28"/>
          <w:lang w:val="fr-FR"/>
        </w:rPr>
        <w:tab/>
        <w:t>Togo</w:t>
      </w:r>
    </w:p>
    <w:p w:rsidR="0036295C" w:rsidRPr="00051973" w:rsidRDefault="0036295C" w:rsidP="0036295C">
      <w:pPr>
        <w:keepNext/>
        <w:keepLines/>
        <w:tabs>
          <w:tab w:val="right" w:pos="851"/>
        </w:tabs>
        <w:spacing w:before="240" w:after="120" w:line="240" w:lineRule="exact"/>
        <w:ind w:left="1134" w:right="1134" w:hanging="1134"/>
        <w:rPr>
          <w:b/>
          <w:sz w:val="24"/>
          <w:szCs w:val="24"/>
          <w:lang w:val="fr-FR"/>
        </w:rPr>
      </w:pPr>
      <w:r w:rsidRPr="00051973">
        <w:rPr>
          <w:b/>
          <w:sz w:val="24"/>
          <w:szCs w:val="24"/>
          <w:lang w:val="fr-FR"/>
        </w:rPr>
        <w:tab/>
      </w:r>
      <w:r w:rsidRPr="00051973">
        <w:rPr>
          <w:b/>
          <w:sz w:val="24"/>
          <w:szCs w:val="24"/>
          <w:lang w:val="fr-FR"/>
        </w:rPr>
        <w:tab/>
        <w:t>Additif</w:t>
      </w:r>
    </w:p>
    <w:p w:rsidR="0036295C" w:rsidRPr="00AE7606" w:rsidRDefault="0036295C" w:rsidP="0036295C">
      <w:pPr>
        <w:keepNext/>
        <w:keepLines/>
        <w:tabs>
          <w:tab w:val="right" w:pos="851"/>
        </w:tabs>
        <w:spacing w:before="360" w:after="240" w:line="270" w:lineRule="exact"/>
        <w:ind w:left="1134" w:right="1134" w:hanging="1134"/>
        <w:rPr>
          <w:b/>
          <w:sz w:val="24"/>
          <w:lang w:val="fr-FR"/>
        </w:rPr>
      </w:pPr>
      <w:r w:rsidRPr="00AE7606">
        <w:rPr>
          <w:b/>
          <w:sz w:val="24"/>
          <w:lang w:val="fr-FR"/>
        </w:rPr>
        <w:tab/>
      </w:r>
      <w:r w:rsidRPr="00AE7606">
        <w:rPr>
          <w:b/>
          <w:sz w:val="24"/>
          <w:lang w:val="fr-FR"/>
        </w:rPr>
        <w:tab/>
        <w:t>Observations sur les conclusions et/ou recommandations,</w:t>
      </w:r>
      <w:r w:rsidRPr="00AE7606">
        <w:rPr>
          <w:b/>
          <w:sz w:val="24"/>
          <w:lang w:val="fr-FR"/>
        </w:rPr>
        <w:br/>
        <w:t>engagements et réponses de l’État examiné</w:t>
      </w:r>
    </w:p>
    <w:p w:rsidR="0036295C" w:rsidRPr="00AE7606" w:rsidRDefault="0036295C" w:rsidP="0036295C">
      <w:pPr>
        <w:pStyle w:val="SingleTxtG"/>
        <w:rPr>
          <w:lang w:val="fr-FR"/>
        </w:rPr>
      </w:pPr>
      <w:r w:rsidRPr="00AE7606">
        <w:rPr>
          <w:lang w:val="fr-FR"/>
        </w:rPr>
        <w:br w:type="page"/>
      </w:r>
      <w:r w:rsidRPr="00AE7606">
        <w:rPr>
          <w:lang w:val="fr-FR"/>
        </w:rPr>
        <w:lastRenderedPageBreak/>
        <w:t>1.</w:t>
      </w:r>
      <w:r w:rsidRPr="00AE7606">
        <w:rPr>
          <w:lang w:val="fr-FR"/>
        </w:rPr>
        <w:tab/>
        <w:t xml:space="preserve">Le Togo a été examiné dans le cadre du deuxième cycle de l’Examen </w:t>
      </w:r>
      <w:r w:rsidR="00744298" w:rsidRPr="00AE7606">
        <w:rPr>
          <w:lang w:val="fr-FR"/>
        </w:rPr>
        <w:t>p</w:t>
      </w:r>
      <w:r w:rsidRPr="00AE7606">
        <w:rPr>
          <w:lang w:val="fr-FR"/>
        </w:rPr>
        <w:t xml:space="preserve">ériodique </w:t>
      </w:r>
      <w:r w:rsidR="00744298" w:rsidRPr="00AE7606">
        <w:rPr>
          <w:lang w:val="fr-FR"/>
        </w:rPr>
        <w:t>u</w:t>
      </w:r>
      <w:r w:rsidRPr="00AE7606">
        <w:rPr>
          <w:lang w:val="fr-FR"/>
        </w:rPr>
        <w:t xml:space="preserve">niversel le 31 octobre 2016, conformément à la résolution 16/21 du 25 mars 2011 et à la décision 17/119 du 17 juin 2011 du </w:t>
      </w:r>
      <w:r w:rsidR="00744298" w:rsidRPr="00AE7606">
        <w:rPr>
          <w:lang w:val="fr-FR"/>
        </w:rPr>
        <w:t>C</w:t>
      </w:r>
      <w:r w:rsidRPr="00AE7606">
        <w:rPr>
          <w:lang w:val="fr-FR"/>
        </w:rPr>
        <w:t>onseil des droits de l’homme.</w:t>
      </w:r>
    </w:p>
    <w:p w:rsidR="0036295C" w:rsidRPr="00AE7606" w:rsidRDefault="0036295C" w:rsidP="0036295C">
      <w:pPr>
        <w:pStyle w:val="SingleTxtG"/>
        <w:rPr>
          <w:lang w:val="fr-FR"/>
        </w:rPr>
      </w:pPr>
      <w:r w:rsidRPr="00AE7606">
        <w:rPr>
          <w:lang w:val="fr-FR"/>
        </w:rPr>
        <w:t>2.</w:t>
      </w:r>
      <w:r w:rsidRPr="00AE7606">
        <w:rPr>
          <w:lang w:val="fr-FR"/>
        </w:rPr>
        <w:tab/>
        <w:t xml:space="preserve">La délégation conduite par </w:t>
      </w:r>
      <w:r w:rsidRPr="00AE7606">
        <w:rPr>
          <w:b/>
          <w:lang w:val="fr-FR"/>
        </w:rPr>
        <w:t>monsieur Kokouvi AGBETOMEY</w:t>
      </w:r>
      <w:r w:rsidRPr="00AE7606">
        <w:rPr>
          <w:lang w:val="fr-FR"/>
        </w:rPr>
        <w:t>, garde des sceaux, ministre de la justice et des relations avec les institutions de la République, a présenté un rapport centré sur les progrès enregistrés en matière de promotion et de protection des droits de l’homme depuis le premier passage, la mise en œuvre concrète des recommandations acceptées, les défis qui persistent, les perspectives et les attentes du Togo dans le domaine de l’assistance technique.</w:t>
      </w:r>
    </w:p>
    <w:p w:rsidR="0036295C" w:rsidRPr="00AE7606" w:rsidRDefault="0036295C" w:rsidP="0036295C">
      <w:pPr>
        <w:pStyle w:val="SingleTxtG"/>
        <w:rPr>
          <w:lang w:val="fr-FR"/>
        </w:rPr>
      </w:pPr>
      <w:r w:rsidRPr="00AE7606">
        <w:rPr>
          <w:lang w:val="fr-FR"/>
        </w:rPr>
        <w:t>3.</w:t>
      </w:r>
      <w:r w:rsidRPr="00AE7606">
        <w:rPr>
          <w:lang w:val="fr-FR"/>
        </w:rPr>
        <w:tab/>
        <w:t>A l’issue de cet examen, cent quatre</w:t>
      </w:r>
      <w:r w:rsidR="0075754C" w:rsidRPr="00AE7606">
        <w:rPr>
          <w:lang w:val="fr-FR"/>
        </w:rPr>
        <w:t>-vingt-quinze</w:t>
      </w:r>
      <w:r w:rsidRPr="00AE7606">
        <w:rPr>
          <w:lang w:val="fr-FR"/>
        </w:rPr>
        <w:t xml:space="preserve"> (195) recommandations ont été formulées par 79 Etats à l’endroit du Togo. La délégation togolaise en a accepté cent </w:t>
      </w:r>
      <w:r w:rsidR="0075754C" w:rsidRPr="00AE7606">
        <w:rPr>
          <w:lang w:val="fr-FR"/>
        </w:rPr>
        <w:t>soixante-deux</w:t>
      </w:r>
      <w:r w:rsidRPr="00AE7606">
        <w:rPr>
          <w:lang w:val="fr-FR"/>
        </w:rPr>
        <w:t xml:space="preserve"> (162); dont vingt</w:t>
      </w:r>
      <w:r w:rsidR="00744298" w:rsidRPr="00AE7606">
        <w:rPr>
          <w:lang w:val="fr-FR"/>
        </w:rPr>
        <w:t>-</w:t>
      </w:r>
      <w:r w:rsidRPr="00AE7606">
        <w:rPr>
          <w:lang w:val="fr-FR"/>
        </w:rPr>
        <w:t>six (26) déjà mises en œuvre; noté vingt</w:t>
      </w:r>
      <w:r w:rsidR="00744298" w:rsidRPr="00AE7606">
        <w:rPr>
          <w:lang w:val="fr-FR"/>
        </w:rPr>
        <w:t>-</w:t>
      </w:r>
      <w:r w:rsidRPr="00AE7606">
        <w:rPr>
          <w:lang w:val="fr-FR"/>
        </w:rPr>
        <w:t>deux (22) et différé la réponse pour onze (11) d’entre elles.</w:t>
      </w:r>
    </w:p>
    <w:p w:rsidR="0036295C" w:rsidRPr="00AE7606" w:rsidRDefault="0036295C" w:rsidP="0036295C">
      <w:pPr>
        <w:pStyle w:val="SingleTxtG"/>
        <w:rPr>
          <w:lang w:val="fr-FR"/>
        </w:rPr>
      </w:pPr>
      <w:r w:rsidRPr="00AE7606">
        <w:rPr>
          <w:lang w:val="fr-FR"/>
        </w:rPr>
        <w:t>4.</w:t>
      </w:r>
      <w:r w:rsidRPr="00AE7606">
        <w:rPr>
          <w:lang w:val="fr-FR"/>
        </w:rPr>
        <w:tab/>
        <w:t>Le présent rapport additif fournit des informations sur la position du Togo à l’égard des recommandations ayant fait l’objet d’un report pour la 34</w:t>
      </w:r>
      <w:r w:rsidRPr="00AE7606">
        <w:rPr>
          <w:vertAlign w:val="superscript"/>
          <w:lang w:val="fr-FR"/>
        </w:rPr>
        <w:t>ème</w:t>
      </w:r>
      <w:r w:rsidRPr="00AE7606">
        <w:rPr>
          <w:lang w:val="fr-FR"/>
        </w:rPr>
        <w:t xml:space="preserve"> session du Conseil des </w:t>
      </w:r>
      <w:r w:rsidR="00B50FC3" w:rsidRPr="00AE7606">
        <w:rPr>
          <w:lang w:val="fr-FR"/>
        </w:rPr>
        <w:t>d</w:t>
      </w:r>
      <w:r w:rsidRPr="00AE7606">
        <w:rPr>
          <w:lang w:val="fr-FR"/>
        </w:rPr>
        <w:t>roits de l’</w:t>
      </w:r>
      <w:r w:rsidR="00B50FC3" w:rsidRPr="00AE7606">
        <w:rPr>
          <w:lang w:val="fr-FR"/>
        </w:rPr>
        <w:t>h</w:t>
      </w:r>
      <w:r w:rsidRPr="00AE7606">
        <w:rPr>
          <w:lang w:val="fr-FR"/>
        </w:rPr>
        <w:t>omme. Ces recommandations peuvent être classées sous les rubriques ci-après:</w:t>
      </w:r>
    </w:p>
    <w:p w:rsidR="0036295C" w:rsidRPr="00AE7606" w:rsidRDefault="0036295C" w:rsidP="0036295C">
      <w:pPr>
        <w:pStyle w:val="Bullet1G"/>
        <w:rPr>
          <w:lang w:val="fr-FR"/>
        </w:rPr>
      </w:pPr>
      <w:r w:rsidRPr="00AE7606">
        <w:rPr>
          <w:lang w:val="fr-FR"/>
        </w:rPr>
        <w:t>traite des personnes;</w:t>
      </w:r>
    </w:p>
    <w:p w:rsidR="0036295C" w:rsidRPr="00AE7606" w:rsidRDefault="0036295C" w:rsidP="0036295C">
      <w:pPr>
        <w:pStyle w:val="Bullet1G"/>
        <w:rPr>
          <w:lang w:val="fr-FR"/>
        </w:rPr>
      </w:pPr>
      <w:r w:rsidRPr="00AE7606">
        <w:rPr>
          <w:lang w:val="fr-FR"/>
        </w:rPr>
        <w:t>violences à l’égard des femmes;</w:t>
      </w:r>
    </w:p>
    <w:p w:rsidR="0036295C" w:rsidRPr="00AE7606" w:rsidRDefault="0036295C" w:rsidP="0036295C">
      <w:pPr>
        <w:pStyle w:val="Bullet1G"/>
        <w:rPr>
          <w:lang w:val="fr-FR"/>
        </w:rPr>
      </w:pPr>
      <w:r w:rsidRPr="00AE7606">
        <w:rPr>
          <w:lang w:val="fr-FR"/>
        </w:rPr>
        <w:t>droits de l’enfant;</w:t>
      </w:r>
    </w:p>
    <w:p w:rsidR="0036295C" w:rsidRPr="00AE7606" w:rsidRDefault="0036295C" w:rsidP="0036295C">
      <w:pPr>
        <w:pStyle w:val="Bullet1G"/>
        <w:rPr>
          <w:lang w:val="fr-FR"/>
        </w:rPr>
      </w:pPr>
      <w:r w:rsidRPr="00AE7606">
        <w:rPr>
          <w:lang w:val="fr-FR"/>
        </w:rPr>
        <w:t>invitation permanente aux titulaires de mandat et procédures spéciales;</w:t>
      </w:r>
    </w:p>
    <w:p w:rsidR="0036295C" w:rsidRPr="00AE7606" w:rsidRDefault="0036295C" w:rsidP="0036295C">
      <w:pPr>
        <w:pStyle w:val="Bullet1G"/>
        <w:rPr>
          <w:lang w:val="fr-FR"/>
        </w:rPr>
      </w:pPr>
      <w:r w:rsidRPr="00AE7606">
        <w:rPr>
          <w:lang w:val="fr-FR"/>
        </w:rPr>
        <w:t>quotas pour les femmes aux postes électifs et administratifs;</w:t>
      </w:r>
    </w:p>
    <w:p w:rsidR="0036295C" w:rsidRPr="00AE7606" w:rsidRDefault="0036295C" w:rsidP="0036295C">
      <w:pPr>
        <w:pStyle w:val="Bullet1G"/>
        <w:rPr>
          <w:lang w:val="fr-FR"/>
        </w:rPr>
      </w:pPr>
      <w:r w:rsidRPr="00AE7606">
        <w:rPr>
          <w:lang w:val="fr-FR"/>
        </w:rPr>
        <w:t>référendum populaire sur la limitation du mandat présidentiel et fixation d’une date pour l’organisation des élections locales;</w:t>
      </w:r>
    </w:p>
    <w:p w:rsidR="0036295C" w:rsidRPr="00AE7606" w:rsidRDefault="0036295C" w:rsidP="0036295C">
      <w:pPr>
        <w:pStyle w:val="Bullet1G"/>
        <w:rPr>
          <w:lang w:val="fr-FR"/>
        </w:rPr>
      </w:pPr>
      <w:r w:rsidRPr="00AE7606">
        <w:rPr>
          <w:lang w:val="fr-FR"/>
        </w:rPr>
        <w:t>quotas sur l’emploi des personnes handicapées.</w:t>
      </w:r>
    </w:p>
    <w:p w:rsidR="0036295C" w:rsidRPr="00AE7606" w:rsidRDefault="0036295C" w:rsidP="0036295C">
      <w:pPr>
        <w:pStyle w:val="HChG"/>
        <w:rPr>
          <w:lang w:val="fr-FR"/>
        </w:rPr>
      </w:pPr>
      <w:r w:rsidRPr="00AE7606">
        <w:rPr>
          <w:lang w:val="fr-FR"/>
        </w:rPr>
        <w:tab/>
        <w:t>I.</w:t>
      </w:r>
      <w:r w:rsidRPr="00AE7606">
        <w:rPr>
          <w:lang w:val="fr-FR"/>
        </w:rPr>
        <w:tab/>
        <w:t>Les recommandations acceptées</w:t>
      </w:r>
    </w:p>
    <w:p w:rsidR="0036295C" w:rsidRPr="00AE7606" w:rsidRDefault="0036295C" w:rsidP="0036295C">
      <w:pPr>
        <w:pStyle w:val="H1G"/>
        <w:rPr>
          <w:lang w:val="fr-FR"/>
        </w:rPr>
      </w:pPr>
      <w:r w:rsidRPr="00AE7606">
        <w:rPr>
          <w:lang w:val="fr-FR"/>
        </w:rPr>
        <w:tab/>
        <w:t>A.</w:t>
      </w:r>
      <w:r w:rsidRPr="00AE7606">
        <w:rPr>
          <w:lang w:val="fr-FR"/>
        </w:rPr>
        <w:tab/>
        <w:t>Traite des personnes</w:t>
      </w:r>
    </w:p>
    <w:p w:rsidR="0036295C" w:rsidRPr="00AE7606" w:rsidRDefault="0036295C" w:rsidP="0036295C">
      <w:pPr>
        <w:pStyle w:val="SingleTxtG"/>
        <w:rPr>
          <w:lang w:val="fr-FR"/>
        </w:rPr>
      </w:pPr>
      <w:r w:rsidRPr="00AE7606">
        <w:rPr>
          <w:lang w:val="fr-FR"/>
        </w:rPr>
        <w:t>Recommandation 130.2 (Timor</w:t>
      </w:r>
      <w:r w:rsidR="00AE7606" w:rsidRPr="00AE7606">
        <w:rPr>
          <w:lang w:val="fr-FR"/>
        </w:rPr>
        <w:t>-</w:t>
      </w:r>
      <w:r w:rsidRPr="00AE7606">
        <w:rPr>
          <w:lang w:val="fr-FR"/>
        </w:rPr>
        <w:t>Leste);</w:t>
      </w:r>
    </w:p>
    <w:p w:rsidR="0036295C" w:rsidRPr="00AE7606" w:rsidRDefault="0036295C" w:rsidP="0036295C">
      <w:pPr>
        <w:pStyle w:val="SingleTxtG"/>
        <w:rPr>
          <w:lang w:val="fr-FR"/>
        </w:rPr>
      </w:pPr>
      <w:r w:rsidRPr="00AE7606">
        <w:rPr>
          <w:lang w:val="fr-FR"/>
        </w:rPr>
        <w:t>Recommandation 130.6 (Botswana).</w:t>
      </w:r>
    </w:p>
    <w:p w:rsidR="0036295C" w:rsidRPr="00AE7606" w:rsidRDefault="0036295C" w:rsidP="0036295C">
      <w:pPr>
        <w:pStyle w:val="H1G"/>
        <w:rPr>
          <w:lang w:val="fr-FR"/>
        </w:rPr>
      </w:pPr>
      <w:r w:rsidRPr="00AE7606">
        <w:rPr>
          <w:lang w:val="fr-FR"/>
        </w:rPr>
        <w:tab/>
        <w:t>B.</w:t>
      </w:r>
      <w:r w:rsidRPr="00AE7606">
        <w:rPr>
          <w:lang w:val="fr-FR"/>
        </w:rPr>
        <w:tab/>
        <w:t>Violences à l’égard des femmes</w:t>
      </w:r>
    </w:p>
    <w:p w:rsidR="0036295C" w:rsidRPr="00AE7606" w:rsidRDefault="0036295C" w:rsidP="0036295C">
      <w:pPr>
        <w:pStyle w:val="SingleTxtG"/>
        <w:rPr>
          <w:lang w:val="fr-FR"/>
        </w:rPr>
      </w:pPr>
      <w:r w:rsidRPr="00AE7606">
        <w:rPr>
          <w:lang w:val="fr-FR"/>
        </w:rPr>
        <w:t>Recommandation 130.3 (Turquie);</w:t>
      </w:r>
    </w:p>
    <w:p w:rsidR="0036295C" w:rsidRPr="00AE7606" w:rsidRDefault="0036295C" w:rsidP="0036295C">
      <w:pPr>
        <w:pStyle w:val="SingleTxtG"/>
        <w:rPr>
          <w:lang w:val="fr-FR"/>
        </w:rPr>
      </w:pPr>
      <w:r w:rsidRPr="00AE7606">
        <w:rPr>
          <w:lang w:val="fr-FR"/>
        </w:rPr>
        <w:t>Recommandation 130.4 (Algérie);</w:t>
      </w:r>
    </w:p>
    <w:p w:rsidR="0036295C" w:rsidRPr="00AE7606" w:rsidRDefault="0036295C" w:rsidP="0036295C">
      <w:pPr>
        <w:pStyle w:val="SingleTxtG"/>
        <w:rPr>
          <w:lang w:val="fr-FR"/>
        </w:rPr>
      </w:pPr>
      <w:r w:rsidRPr="00AE7606">
        <w:rPr>
          <w:lang w:val="fr-FR"/>
        </w:rPr>
        <w:t>Recommandation 130.5 (Belgique).</w:t>
      </w:r>
    </w:p>
    <w:p w:rsidR="0036295C" w:rsidRPr="00AE7606" w:rsidRDefault="0036295C" w:rsidP="0036295C">
      <w:pPr>
        <w:pStyle w:val="HChG"/>
        <w:rPr>
          <w:lang w:val="fr-FR"/>
        </w:rPr>
      </w:pPr>
      <w:r w:rsidRPr="00AE7606">
        <w:rPr>
          <w:lang w:val="fr-FR"/>
        </w:rPr>
        <w:tab/>
        <w:t>II.</w:t>
      </w:r>
      <w:r w:rsidRPr="00AE7606">
        <w:rPr>
          <w:lang w:val="fr-FR"/>
        </w:rPr>
        <w:tab/>
        <w:t>Les recommandations notées</w:t>
      </w:r>
    </w:p>
    <w:p w:rsidR="0036295C" w:rsidRPr="00AE7606" w:rsidRDefault="0036295C" w:rsidP="0036295C">
      <w:pPr>
        <w:pStyle w:val="H1G"/>
        <w:rPr>
          <w:lang w:val="fr-FR"/>
        </w:rPr>
      </w:pPr>
      <w:r w:rsidRPr="00AE7606">
        <w:rPr>
          <w:lang w:val="fr-FR"/>
        </w:rPr>
        <w:tab/>
        <w:t>A.</w:t>
      </w:r>
      <w:r w:rsidRPr="00AE7606">
        <w:rPr>
          <w:lang w:val="fr-FR"/>
        </w:rPr>
        <w:tab/>
        <w:t>Droits de l’enfant</w:t>
      </w:r>
    </w:p>
    <w:p w:rsidR="0036295C" w:rsidRPr="00AE7606" w:rsidRDefault="0036295C" w:rsidP="0036295C">
      <w:pPr>
        <w:pStyle w:val="SingleTxtG"/>
        <w:rPr>
          <w:lang w:val="fr-FR"/>
        </w:rPr>
      </w:pPr>
      <w:r w:rsidRPr="00AE7606">
        <w:rPr>
          <w:lang w:val="fr-FR"/>
        </w:rPr>
        <w:t>Recommandation 130.1 (Monténégro), (Portugal).</w:t>
      </w:r>
    </w:p>
    <w:p w:rsidR="0036295C" w:rsidRPr="00AE7606" w:rsidRDefault="0036295C" w:rsidP="0036295C">
      <w:pPr>
        <w:pStyle w:val="H1G"/>
        <w:rPr>
          <w:lang w:val="fr-FR"/>
        </w:rPr>
      </w:pPr>
      <w:r w:rsidRPr="00AE7606">
        <w:rPr>
          <w:lang w:val="fr-FR"/>
        </w:rPr>
        <w:lastRenderedPageBreak/>
        <w:tab/>
        <w:t>B.</w:t>
      </w:r>
      <w:r w:rsidRPr="00AE7606">
        <w:rPr>
          <w:lang w:val="fr-FR"/>
        </w:rPr>
        <w:tab/>
        <w:t>Invitation permanente aux titulaires de mandat</w:t>
      </w:r>
    </w:p>
    <w:p w:rsidR="0036295C" w:rsidRPr="00AE7606" w:rsidRDefault="0036295C" w:rsidP="0036295C">
      <w:pPr>
        <w:pStyle w:val="SingleTxtG"/>
        <w:rPr>
          <w:lang w:val="fr-FR"/>
        </w:rPr>
      </w:pPr>
      <w:r w:rsidRPr="00AE7606">
        <w:rPr>
          <w:lang w:val="fr-FR"/>
        </w:rPr>
        <w:t>Recommandation 130.7 (Rwanda), (Azerbaïdjan);</w:t>
      </w:r>
    </w:p>
    <w:p w:rsidR="0036295C" w:rsidRPr="00AE7606" w:rsidRDefault="0036295C" w:rsidP="0036295C">
      <w:pPr>
        <w:pStyle w:val="SingleTxtG"/>
        <w:rPr>
          <w:lang w:val="fr-FR"/>
        </w:rPr>
      </w:pPr>
      <w:r w:rsidRPr="00AE7606">
        <w:rPr>
          <w:lang w:val="fr-FR"/>
        </w:rPr>
        <w:t>Recommandation 130.8 (Mexique), (Ghana), (Guatemala), (Monténégro).</w:t>
      </w:r>
    </w:p>
    <w:p w:rsidR="0036295C" w:rsidRPr="00AE7606" w:rsidRDefault="0036295C" w:rsidP="0036295C">
      <w:pPr>
        <w:pStyle w:val="H1G"/>
        <w:rPr>
          <w:lang w:val="fr-FR"/>
        </w:rPr>
      </w:pPr>
      <w:r w:rsidRPr="00AE7606">
        <w:rPr>
          <w:lang w:val="fr-FR"/>
        </w:rPr>
        <w:tab/>
        <w:t>C.</w:t>
      </w:r>
      <w:r w:rsidRPr="00AE7606">
        <w:rPr>
          <w:lang w:val="fr-FR"/>
        </w:rPr>
        <w:tab/>
        <w:t>Quotas pour les femmes aux postes électifs et administratifs</w:t>
      </w:r>
    </w:p>
    <w:p w:rsidR="0036295C" w:rsidRPr="00AE7606" w:rsidRDefault="0036295C" w:rsidP="0036295C">
      <w:pPr>
        <w:pStyle w:val="SingleTxtG"/>
        <w:rPr>
          <w:lang w:val="fr-FR"/>
        </w:rPr>
      </w:pPr>
      <w:r w:rsidRPr="00AE7606">
        <w:rPr>
          <w:lang w:val="fr-FR"/>
        </w:rPr>
        <w:t>Recommandation 130.9 (Namibie).</w:t>
      </w:r>
    </w:p>
    <w:p w:rsidR="0036295C" w:rsidRPr="00AE7606" w:rsidRDefault="0036295C" w:rsidP="0036295C">
      <w:pPr>
        <w:pStyle w:val="H1G"/>
        <w:rPr>
          <w:lang w:val="fr-FR"/>
        </w:rPr>
      </w:pPr>
      <w:r w:rsidRPr="00AE7606">
        <w:rPr>
          <w:lang w:val="fr-FR"/>
        </w:rPr>
        <w:tab/>
        <w:t>D.</w:t>
      </w:r>
      <w:r w:rsidRPr="00AE7606">
        <w:rPr>
          <w:lang w:val="fr-FR"/>
        </w:rPr>
        <w:tab/>
        <w:t>Référendum populaire sur la limitation du mandat présidentiel et fixation d’une date pour l’organisation des élections locales</w:t>
      </w:r>
    </w:p>
    <w:p w:rsidR="0036295C" w:rsidRPr="00AE7606" w:rsidRDefault="0036295C" w:rsidP="0036295C">
      <w:pPr>
        <w:pStyle w:val="SingleTxtG"/>
        <w:rPr>
          <w:lang w:val="fr-FR"/>
        </w:rPr>
      </w:pPr>
      <w:r w:rsidRPr="00AE7606">
        <w:rPr>
          <w:lang w:val="fr-FR"/>
        </w:rPr>
        <w:t>Recommandation 130.10 (Etats-Unis d’Amérique).</w:t>
      </w:r>
    </w:p>
    <w:p w:rsidR="0036295C" w:rsidRPr="00AE7606" w:rsidRDefault="0036295C" w:rsidP="0036295C">
      <w:pPr>
        <w:pStyle w:val="H1G"/>
        <w:rPr>
          <w:lang w:val="fr-FR"/>
        </w:rPr>
      </w:pPr>
      <w:r w:rsidRPr="00AE7606">
        <w:rPr>
          <w:lang w:val="fr-FR"/>
        </w:rPr>
        <w:tab/>
        <w:t>E.</w:t>
      </w:r>
      <w:r w:rsidRPr="00AE7606">
        <w:rPr>
          <w:lang w:val="fr-FR"/>
        </w:rPr>
        <w:tab/>
        <w:t>Quotas sur l’emploi des personnes handicapées</w:t>
      </w:r>
    </w:p>
    <w:p w:rsidR="0036295C" w:rsidRPr="00AE7606" w:rsidRDefault="0036295C" w:rsidP="0036295C">
      <w:pPr>
        <w:pStyle w:val="SingleTxtG"/>
        <w:rPr>
          <w:lang w:val="fr-FR"/>
        </w:rPr>
      </w:pPr>
      <w:r w:rsidRPr="00AE7606">
        <w:rPr>
          <w:lang w:val="fr-FR"/>
        </w:rPr>
        <w:t>Recommandation 130.11 (Fédération de Russie).</w:t>
      </w:r>
    </w:p>
    <w:p w:rsidR="0008167F" w:rsidRPr="00AE7606" w:rsidRDefault="0036295C" w:rsidP="0036295C">
      <w:pPr>
        <w:spacing w:before="240"/>
        <w:ind w:left="1134" w:right="1134"/>
        <w:jc w:val="center"/>
        <w:rPr>
          <w:u w:val="single"/>
          <w:lang w:val="fr-FR"/>
        </w:rPr>
      </w:pPr>
      <w:r w:rsidRPr="00AE7606">
        <w:rPr>
          <w:u w:val="single"/>
          <w:lang w:val="fr-FR"/>
        </w:rPr>
        <w:tab/>
      </w:r>
      <w:r w:rsidRPr="00AE7606">
        <w:rPr>
          <w:u w:val="single"/>
          <w:lang w:val="fr-FR"/>
        </w:rPr>
        <w:tab/>
      </w:r>
      <w:r w:rsidRPr="00AE7606">
        <w:rPr>
          <w:u w:val="single"/>
          <w:lang w:val="fr-FR"/>
        </w:rPr>
        <w:tab/>
      </w:r>
    </w:p>
    <w:sectPr w:rsidR="0008167F" w:rsidRPr="00AE7606" w:rsidSect="0036295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5C" w:rsidRDefault="0036295C"/>
  </w:endnote>
  <w:endnote w:type="continuationSeparator" w:id="0">
    <w:p w:rsidR="0036295C" w:rsidRDefault="0036295C"/>
  </w:endnote>
  <w:endnote w:type="continuationNotice" w:id="1">
    <w:p w:rsidR="0036295C" w:rsidRDefault="00362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5C" w:rsidRPr="0036295C" w:rsidRDefault="0036295C" w:rsidP="0036295C">
    <w:pPr>
      <w:pStyle w:val="Footer"/>
      <w:tabs>
        <w:tab w:val="right" w:pos="9638"/>
      </w:tabs>
    </w:pPr>
    <w:r w:rsidRPr="0036295C">
      <w:rPr>
        <w:b/>
        <w:sz w:val="18"/>
      </w:rPr>
      <w:fldChar w:fldCharType="begin"/>
    </w:r>
    <w:r w:rsidRPr="0036295C">
      <w:rPr>
        <w:b/>
        <w:sz w:val="18"/>
      </w:rPr>
      <w:instrText xml:space="preserve"> PAGE  \* MERGEFORMAT </w:instrText>
    </w:r>
    <w:r w:rsidRPr="0036295C">
      <w:rPr>
        <w:b/>
        <w:sz w:val="18"/>
      </w:rPr>
      <w:fldChar w:fldCharType="separate"/>
    </w:r>
    <w:r w:rsidR="004E32C7">
      <w:rPr>
        <w:b/>
        <w:noProof/>
        <w:sz w:val="18"/>
      </w:rPr>
      <w:t>2</w:t>
    </w:r>
    <w:r w:rsidRPr="0036295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5C" w:rsidRPr="0036295C" w:rsidRDefault="0036295C" w:rsidP="0036295C">
    <w:pPr>
      <w:pStyle w:val="Footer"/>
      <w:tabs>
        <w:tab w:val="right" w:pos="9638"/>
      </w:tabs>
      <w:rPr>
        <w:b/>
        <w:sz w:val="18"/>
      </w:rPr>
    </w:pPr>
    <w:r>
      <w:tab/>
    </w:r>
    <w:r w:rsidRPr="0036295C">
      <w:rPr>
        <w:b/>
        <w:sz w:val="18"/>
      </w:rPr>
      <w:fldChar w:fldCharType="begin"/>
    </w:r>
    <w:r w:rsidRPr="0036295C">
      <w:rPr>
        <w:b/>
        <w:sz w:val="18"/>
      </w:rPr>
      <w:instrText xml:space="preserve"> PAGE  \* MERGEFORMAT </w:instrText>
    </w:r>
    <w:r w:rsidRPr="0036295C">
      <w:rPr>
        <w:b/>
        <w:sz w:val="18"/>
      </w:rPr>
      <w:fldChar w:fldCharType="separate"/>
    </w:r>
    <w:r w:rsidR="004E32C7">
      <w:rPr>
        <w:b/>
        <w:noProof/>
        <w:sz w:val="18"/>
      </w:rPr>
      <w:t>3</w:t>
    </w:r>
    <w:r w:rsidRPr="0036295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5C" w:rsidRPr="00D27D5E" w:rsidRDefault="0036295C" w:rsidP="00D27D5E">
      <w:pPr>
        <w:tabs>
          <w:tab w:val="right" w:pos="2155"/>
        </w:tabs>
        <w:spacing w:after="80"/>
        <w:ind w:left="680"/>
        <w:rPr>
          <w:u w:val="single"/>
        </w:rPr>
      </w:pPr>
      <w:r>
        <w:rPr>
          <w:u w:val="single"/>
        </w:rPr>
        <w:tab/>
      </w:r>
    </w:p>
  </w:footnote>
  <w:footnote w:type="continuationSeparator" w:id="0">
    <w:p w:rsidR="0036295C" w:rsidRPr="00D72E7E" w:rsidRDefault="0036295C" w:rsidP="00D72E7E">
      <w:pPr>
        <w:tabs>
          <w:tab w:val="right" w:pos="2155"/>
        </w:tabs>
        <w:spacing w:after="80"/>
        <w:ind w:left="680"/>
        <w:rPr>
          <w:u w:val="single"/>
        </w:rPr>
      </w:pPr>
      <w:r w:rsidRPr="00D72E7E">
        <w:rPr>
          <w:u w:val="single"/>
        </w:rPr>
        <w:tab/>
      </w:r>
    </w:p>
  </w:footnote>
  <w:footnote w:type="continuationNotice" w:id="1">
    <w:p w:rsidR="0036295C" w:rsidRDefault="0036295C"/>
  </w:footnote>
  <w:footnote w:id="2">
    <w:p w:rsidR="0036295C" w:rsidRPr="005A0E69" w:rsidRDefault="0036295C" w:rsidP="0036295C">
      <w:pPr>
        <w:pStyle w:val="FootnoteText"/>
        <w:rPr>
          <w:lang w:val="fr-FR"/>
        </w:rPr>
      </w:pPr>
      <w:r>
        <w:tab/>
      </w:r>
      <w:r w:rsidRPr="00051973">
        <w:rPr>
          <w:rStyle w:val="FootnoteReference"/>
          <w:sz w:val="20"/>
          <w:vertAlign w:val="baseline"/>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5C" w:rsidRPr="0036295C" w:rsidRDefault="0036295C">
    <w:pPr>
      <w:pStyle w:val="Header"/>
    </w:pPr>
    <w:r>
      <w:t>A/HRC/34/4/Add.1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5C" w:rsidRPr="0036295C" w:rsidRDefault="0036295C" w:rsidP="0036295C">
    <w:pPr>
      <w:pStyle w:val="Header"/>
      <w:jc w:val="right"/>
    </w:pPr>
    <w:r>
      <w:t>A/HRC/34/4/Add.1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36578FF"/>
    <w:multiLevelType w:val="hybridMultilevel"/>
    <w:tmpl w:val="195C1CD2"/>
    <w:lvl w:ilvl="0" w:tplc="585E97F4">
      <w:numFmt w:val="bullet"/>
      <w:lvlText w:val="-"/>
      <w:lvlJc w:val="left"/>
      <w:pPr>
        <w:ind w:left="720" w:hanging="360"/>
      </w:pPr>
      <w:rPr>
        <w:rFonts w:ascii="Arial Narrow" w:eastAsiaTheme="minorHAnsi" w:hAnsi="Arial Narrow"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3587390B"/>
    <w:multiLevelType w:val="hybridMultilevel"/>
    <w:tmpl w:val="47202992"/>
    <w:lvl w:ilvl="0" w:tplc="D7DA7754">
      <w:start w:val="1"/>
      <w:numFmt w:val="upperRoman"/>
      <w:lvlText w:val="%1."/>
      <w:lvlJc w:val="left"/>
      <w:pPr>
        <w:ind w:left="1080" w:hanging="720"/>
      </w:pPr>
      <w:rPr>
        <w:rFonts w:eastAsiaTheme="minorHAnsi" w:cs="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0"/>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2"/>
  </w:num>
  <w:num w:numId="14">
    <w:abstractNumId w:val="19"/>
  </w:num>
  <w:num w:numId="15">
    <w:abstractNumId w:val="18"/>
  </w:num>
  <w:num w:numId="16">
    <w:abstractNumId w:val="17"/>
  </w:num>
  <w:num w:numId="17">
    <w:abstractNumId w:val="15"/>
  </w:num>
  <w:num w:numId="18">
    <w:abstractNumId w:val="17"/>
  </w:num>
  <w:num w:numId="19">
    <w:abstractNumId w:val="15"/>
  </w:num>
  <w:num w:numId="20">
    <w:abstractNumId w:val="17"/>
  </w:num>
  <w:num w:numId="21">
    <w:abstractNumId w:val="15"/>
  </w:num>
  <w:num w:numId="22">
    <w:abstractNumId w:val="10"/>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5C"/>
    <w:rsid w:val="00016AC5"/>
    <w:rsid w:val="00025771"/>
    <w:rsid w:val="00051973"/>
    <w:rsid w:val="00057BC0"/>
    <w:rsid w:val="0008047D"/>
    <w:rsid w:val="0008167F"/>
    <w:rsid w:val="000E03D2"/>
    <w:rsid w:val="000F41F2"/>
    <w:rsid w:val="0011219D"/>
    <w:rsid w:val="00133B7A"/>
    <w:rsid w:val="001370FA"/>
    <w:rsid w:val="00153B2E"/>
    <w:rsid w:val="00160540"/>
    <w:rsid w:val="00170BBF"/>
    <w:rsid w:val="00172B99"/>
    <w:rsid w:val="00192EEB"/>
    <w:rsid w:val="001A20FB"/>
    <w:rsid w:val="001C6647"/>
    <w:rsid w:val="001E3FEB"/>
    <w:rsid w:val="001E4A02"/>
    <w:rsid w:val="00252386"/>
    <w:rsid w:val="002659F1"/>
    <w:rsid w:val="00287E79"/>
    <w:rsid w:val="002928F9"/>
    <w:rsid w:val="002A5D07"/>
    <w:rsid w:val="003016B7"/>
    <w:rsid w:val="003515AA"/>
    <w:rsid w:val="0036295C"/>
    <w:rsid w:val="00374106"/>
    <w:rsid w:val="0037787B"/>
    <w:rsid w:val="003800E1"/>
    <w:rsid w:val="003976D5"/>
    <w:rsid w:val="003D5D72"/>
    <w:rsid w:val="003D6C68"/>
    <w:rsid w:val="003E6ACD"/>
    <w:rsid w:val="004159D0"/>
    <w:rsid w:val="00453816"/>
    <w:rsid w:val="00481744"/>
    <w:rsid w:val="004B2F4D"/>
    <w:rsid w:val="004E32C7"/>
    <w:rsid w:val="00515E4C"/>
    <w:rsid w:val="00571F41"/>
    <w:rsid w:val="00594033"/>
    <w:rsid w:val="005E5D1F"/>
    <w:rsid w:val="005F3C2D"/>
    <w:rsid w:val="00605A46"/>
    <w:rsid w:val="00612D48"/>
    <w:rsid w:val="00616B45"/>
    <w:rsid w:val="006402CD"/>
    <w:rsid w:val="006439EC"/>
    <w:rsid w:val="0066166E"/>
    <w:rsid w:val="006739B9"/>
    <w:rsid w:val="006A4BB1"/>
    <w:rsid w:val="006B4590"/>
    <w:rsid w:val="006C1EA8"/>
    <w:rsid w:val="006C340C"/>
    <w:rsid w:val="0070347C"/>
    <w:rsid w:val="00744298"/>
    <w:rsid w:val="00757464"/>
    <w:rsid w:val="0075754C"/>
    <w:rsid w:val="00757B26"/>
    <w:rsid w:val="007602DF"/>
    <w:rsid w:val="007B4AD1"/>
    <w:rsid w:val="007D30F7"/>
    <w:rsid w:val="0081197C"/>
    <w:rsid w:val="00830B11"/>
    <w:rsid w:val="00844750"/>
    <w:rsid w:val="008822BF"/>
    <w:rsid w:val="008921DD"/>
    <w:rsid w:val="0089595B"/>
    <w:rsid w:val="008A68F5"/>
    <w:rsid w:val="008E7FAE"/>
    <w:rsid w:val="00911BF7"/>
    <w:rsid w:val="0096714A"/>
    <w:rsid w:val="00971338"/>
    <w:rsid w:val="00977EC8"/>
    <w:rsid w:val="009D3A8C"/>
    <w:rsid w:val="009E7956"/>
    <w:rsid w:val="00A2492E"/>
    <w:rsid w:val="00A271DD"/>
    <w:rsid w:val="00A41FCA"/>
    <w:rsid w:val="00A63BBD"/>
    <w:rsid w:val="00A8374C"/>
    <w:rsid w:val="00A954DF"/>
    <w:rsid w:val="00AC47AD"/>
    <w:rsid w:val="00AC7977"/>
    <w:rsid w:val="00AE352C"/>
    <w:rsid w:val="00AE7606"/>
    <w:rsid w:val="00B32AA5"/>
    <w:rsid w:val="00B32E2D"/>
    <w:rsid w:val="00B50FC3"/>
    <w:rsid w:val="00B61990"/>
    <w:rsid w:val="00BE28D3"/>
    <w:rsid w:val="00BF0556"/>
    <w:rsid w:val="00C261F8"/>
    <w:rsid w:val="00C717E0"/>
    <w:rsid w:val="00CD1A71"/>
    <w:rsid w:val="00CD1FBB"/>
    <w:rsid w:val="00CE5AFE"/>
    <w:rsid w:val="00D016B5"/>
    <w:rsid w:val="00D034F1"/>
    <w:rsid w:val="00D27D5E"/>
    <w:rsid w:val="00D42E42"/>
    <w:rsid w:val="00D72E7E"/>
    <w:rsid w:val="00DE2AF1"/>
    <w:rsid w:val="00DE6D90"/>
    <w:rsid w:val="00DF002F"/>
    <w:rsid w:val="00E0244D"/>
    <w:rsid w:val="00E53A1D"/>
    <w:rsid w:val="00E81E94"/>
    <w:rsid w:val="00E82607"/>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22"/>
      </w:numPr>
      <w:spacing w:after="120"/>
      <w:ind w:right="1134"/>
      <w:jc w:val="both"/>
    </w:pPr>
    <w:rPr>
      <w:lang w:val="en-GB"/>
    </w:rPr>
  </w:style>
  <w:style w:type="paragraph" w:customStyle="1" w:styleId="Bullet2G">
    <w:name w:val="_Bullet 2_G"/>
    <w:basedOn w:val="Normal"/>
    <w:rsid w:val="0008167F"/>
    <w:pPr>
      <w:numPr>
        <w:numId w:val="23"/>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basedOn w:val="FootnoteReference"/>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36295C"/>
    <w:rPr>
      <w:sz w:val="18"/>
      <w:lang w:eastAsia="en-US"/>
    </w:rPr>
  </w:style>
  <w:style w:type="paragraph" w:styleId="BalloonText">
    <w:name w:val="Balloon Text"/>
    <w:basedOn w:val="Normal"/>
    <w:link w:val="BalloonTextChar"/>
    <w:rsid w:val="008822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22BF"/>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22"/>
      </w:numPr>
      <w:spacing w:after="120"/>
      <w:ind w:right="1134"/>
      <w:jc w:val="both"/>
    </w:pPr>
    <w:rPr>
      <w:lang w:val="en-GB"/>
    </w:rPr>
  </w:style>
  <w:style w:type="paragraph" w:customStyle="1" w:styleId="Bullet2G">
    <w:name w:val="_Bullet 2_G"/>
    <w:basedOn w:val="Normal"/>
    <w:rsid w:val="0008167F"/>
    <w:pPr>
      <w:numPr>
        <w:numId w:val="23"/>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basedOn w:val="FootnoteReference"/>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36295C"/>
    <w:rPr>
      <w:sz w:val="18"/>
      <w:lang w:eastAsia="en-US"/>
    </w:rPr>
  </w:style>
  <w:style w:type="paragraph" w:styleId="BalloonText">
    <w:name w:val="Balloon Text"/>
    <w:basedOn w:val="Normal"/>
    <w:link w:val="BalloonTextChar"/>
    <w:rsid w:val="008822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22BF"/>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33E95B-2D26-46CF-A43D-FCD972BCF548}"/>
</file>

<file path=customXml/itemProps2.xml><?xml version="1.0" encoding="utf-8"?>
<ds:datastoreItem xmlns:ds="http://schemas.openxmlformats.org/officeDocument/2006/customXml" ds:itemID="{575FF31B-29CF-474C-9A24-1A5411C9200E}"/>
</file>

<file path=customXml/itemProps3.xml><?xml version="1.0" encoding="utf-8"?>
<ds:datastoreItem xmlns:ds="http://schemas.openxmlformats.org/officeDocument/2006/customXml" ds:itemID="{319D8BEE-1837-430B-B63F-9EA5C0EA8F5D}"/>
</file>

<file path=docProps/app.xml><?xml version="1.0" encoding="utf-8"?>
<Properties xmlns="http://schemas.openxmlformats.org/officeDocument/2006/extended-properties" xmlns:vt="http://schemas.openxmlformats.org/officeDocument/2006/docPropsVTypes">
  <Template>A_F.dotm</Template>
  <TotalTime>0</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2</cp:revision>
  <cp:lastPrinted>2008-02-01T09:36:00Z</cp:lastPrinted>
  <dcterms:created xsi:type="dcterms:W3CDTF">2017-03-01T15:20:00Z</dcterms:created>
  <dcterms:modified xsi:type="dcterms:W3CDTF">2017-03-01T15:20:00Z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1319700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