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27110" w:rsidP="00727110">
            <w:pPr>
              <w:jc w:val="right"/>
            </w:pPr>
            <w:r w:rsidRPr="00727110">
              <w:rPr>
                <w:sz w:val="40"/>
              </w:rPr>
              <w:t>A</w:t>
            </w:r>
            <w:r>
              <w:t>/HRC/34/14/Add.1</w:t>
            </w:r>
          </w:p>
        </w:tc>
      </w:tr>
      <w:tr w:rsidR="003107FA" w:rsidRPr="00ED7FAD"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D7FAD"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F8155C" w:rsidRPr="008E524B" w:rsidRDefault="00F8155C" w:rsidP="00F8155C">
            <w:pPr>
              <w:spacing w:before="240"/>
              <w:rPr>
                <w:lang w:val="fr-CH"/>
              </w:rPr>
            </w:pPr>
            <w:r w:rsidRPr="008E524B">
              <w:rPr>
                <w:lang w:val="fr-CH"/>
              </w:rPr>
              <w:t>Distr. générale</w:t>
            </w:r>
          </w:p>
          <w:p w:rsidR="00F8155C" w:rsidRPr="008E524B" w:rsidRDefault="00F8155C" w:rsidP="00F8155C">
            <w:pPr>
              <w:spacing w:line="240" w:lineRule="exact"/>
              <w:rPr>
                <w:lang w:val="fr-CH"/>
              </w:rPr>
            </w:pPr>
            <w:r w:rsidRPr="008E524B">
              <w:rPr>
                <w:lang w:val="fr-CH"/>
              </w:rPr>
              <w:t>13 mars 2017</w:t>
            </w:r>
          </w:p>
          <w:p w:rsidR="00F8155C" w:rsidRPr="008E524B" w:rsidRDefault="00F8155C" w:rsidP="00F8155C">
            <w:pPr>
              <w:spacing w:line="240" w:lineRule="exact"/>
              <w:rPr>
                <w:lang w:val="fr-CH"/>
              </w:rPr>
            </w:pPr>
          </w:p>
          <w:p w:rsidR="00727110" w:rsidRPr="008E524B" w:rsidRDefault="00F8155C" w:rsidP="00F8155C">
            <w:pPr>
              <w:spacing w:line="240" w:lineRule="exact"/>
              <w:rPr>
                <w:lang w:val="fr-CH"/>
              </w:rPr>
            </w:pPr>
            <w:r w:rsidRPr="008E524B">
              <w:rPr>
                <w:lang w:val="fr-CH"/>
              </w:rPr>
              <w:t>Original : français</w:t>
            </w:r>
          </w:p>
        </w:tc>
      </w:tr>
    </w:tbl>
    <w:p w:rsidR="00727110" w:rsidRPr="00AE7606" w:rsidRDefault="00727110" w:rsidP="00727110">
      <w:pPr>
        <w:kinsoku w:val="0"/>
        <w:overflowPunct w:val="0"/>
        <w:autoSpaceDE w:val="0"/>
        <w:autoSpaceDN w:val="0"/>
        <w:adjustRightInd w:val="0"/>
        <w:snapToGrid w:val="0"/>
        <w:spacing w:before="120"/>
        <w:rPr>
          <w:b/>
          <w:sz w:val="24"/>
          <w:szCs w:val="24"/>
          <w:lang w:val="fr-FR"/>
        </w:rPr>
      </w:pPr>
      <w:r w:rsidRPr="00AE7606">
        <w:rPr>
          <w:b/>
          <w:sz w:val="24"/>
          <w:szCs w:val="24"/>
          <w:lang w:val="fr-FR"/>
        </w:rPr>
        <w:t>Conseil des droits de l’homme</w:t>
      </w:r>
    </w:p>
    <w:p w:rsidR="00727110" w:rsidRDefault="00727110" w:rsidP="00727110">
      <w:pPr>
        <w:kinsoku w:val="0"/>
        <w:overflowPunct w:val="0"/>
        <w:autoSpaceDE w:val="0"/>
        <w:autoSpaceDN w:val="0"/>
        <w:adjustRightInd w:val="0"/>
        <w:snapToGrid w:val="0"/>
        <w:rPr>
          <w:b/>
          <w:lang w:val="fr-FR"/>
        </w:rPr>
      </w:pPr>
      <w:r w:rsidRPr="00AE7606">
        <w:rPr>
          <w:b/>
          <w:szCs w:val="24"/>
          <w:lang w:val="fr-FR"/>
        </w:rPr>
        <w:t xml:space="preserve">Trente-quatrième </w:t>
      </w:r>
      <w:r w:rsidRPr="00AE7606">
        <w:rPr>
          <w:b/>
          <w:lang w:val="fr-FR"/>
        </w:rPr>
        <w:t>session</w:t>
      </w:r>
    </w:p>
    <w:p w:rsidR="00727110" w:rsidRDefault="00727110" w:rsidP="00727110">
      <w:pPr>
        <w:tabs>
          <w:tab w:val="right" w:pos="850"/>
          <w:tab w:val="left" w:pos="1134"/>
          <w:tab w:val="left" w:pos="1559"/>
          <w:tab w:val="left" w:pos="1984"/>
        </w:tabs>
        <w:rPr>
          <w:lang w:val="fr-FR"/>
        </w:rPr>
      </w:pPr>
      <w:r>
        <w:rPr>
          <w:lang w:val="fr-FR"/>
        </w:rPr>
        <w:t>27 février-24 mars 2017</w:t>
      </w:r>
    </w:p>
    <w:p w:rsidR="00727110" w:rsidRPr="00AE7606" w:rsidRDefault="00727110" w:rsidP="00727110">
      <w:pPr>
        <w:kinsoku w:val="0"/>
        <w:overflowPunct w:val="0"/>
        <w:autoSpaceDE w:val="0"/>
        <w:autoSpaceDN w:val="0"/>
        <w:adjustRightInd w:val="0"/>
        <w:snapToGrid w:val="0"/>
        <w:rPr>
          <w:lang w:val="fr-FR"/>
        </w:rPr>
      </w:pPr>
      <w:r w:rsidRPr="00AE7606">
        <w:rPr>
          <w:lang w:val="fr-FR"/>
        </w:rPr>
        <w:t>Point 6 de l’ordre du jour</w:t>
      </w:r>
    </w:p>
    <w:p w:rsidR="00727110" w:rsidRPr="00AE7606" w:rsidRDefault="00727110" w:rsidP="00727110">
      <w:pPr>
        <w:kinsoku w:val="0"/>
        <w:overflowPunct w:val="0"/>
        <w:autoSpaceDE w:val="0"/>
        <w:autoSpaceDN w:val="0"/>
        <w:adjustRightInd w:val="0"/>
        <w:snapToGrid w:val="0"/>
        <w:rPr>
          <w:lang w:val="fr-FR"/>
        </w:rPr>
      </w:pPr>
      <w:r w:rsidRPr="00AE7606">
        <w:rPr>
          <w:b/>
          <w:lang w:val="fr-FR"/>
        </w:rPr>
        <w:t>Examen périodique universel</w:t>
      </w:r>
    </w:p>
    <w:p w:rsidR="00727110" w:rsidRPr="00AE7606" w:rsidRDefault="00727110" w:rsidP="00F8155C">
      <w:pPr>
        <w:pStyle w:val="HChG"/>
        <w:rPr>
          <w:lang w:val="fr-FR"/>
        </w:rPr>
      </w:pPr>
      <w:r w:rsidRPr="00AE7606">
        <w:rPr>
          <w:sz w:val="34"/>
          <w:lang w:val="fr-FR"/>
        </w:rPr>
        <w:tab/>
      </w:r>
      <w:r w:rsidRPr="00AE7606">
        <w:rPr>
          <w:sz w:val="34"/>
          <w:lang w:val="fr-FR"/>
        </w:rPr>
        <w:tab/>
      </w:r>
      <w:r w:rsidRPr="00AE7606">
        <w:rPr>
          <w:lang w:val="fr-FR"/>
        </w:rPr>
        <w:t xml:space="preserve">Rapport du Groupe de travail </w:t>
      </w:r>
      <w:r w:rsidRPr="00AE7606">
        <w:rPr>
          <w:lang w:val="fr-FR"/>
        </w:rPr>
        <w:br/>
        <w:t>sur l’Examen périodique universel</w:t>
      </w:r>
      <w:r w:rsidRPr="00F8155C">
        <w:rPr>
          <w:vertAlign w:val="superscript"/>
          <w:lang w:val="fr-FR"/>
        </w:rPr>
        <w:footnoteReference w:customMarkFollows="1" w:id="2"/>
        <w:t>*</w:t>
      </w:r>
    </w:p>
    <w:p w:rsidR="00727110" w:rsidRPr="00051973" w:rsidRDefault="00727110" w:rsidP="00727110">
      <w:pPr>
        <w:keepNext/>
        <w:keepLines/>
        <w:tabs>
          <w:tab w:val="right" w:pos="851"/>
        </w:tabs>
        <w:spacing w:before="360" w:after="240" w:line="270" w:lineRule="exact"/>
        <w:ind w:left="1134" w:right="1134" w:hanging="1134"/>
        <w:rPr>
          <w:b/>
          <w:sz w:val="28"/>
          <w:szCs w:val="28"/>
          <w:lang w:val="fr-FR"/>
        </w:rPr>
      </w:pPr>
      <w:r>
        <w:rPr>
          <w:b/>
          <w:sz w:val="28"/>
          <w:szCs w:val="28"/>
          <w:lang w:val="fr-FR"/>
        </w:rPr>
        <w:tab/>
      </w:r>
      <w:r>
        <w:rPr>
          <w:b/>
          <w:sz w:val="28"/>
          <w:szCs w:val="28"/>
          <w:lang w:val="fr-FR"/>
        </w:rPr>
        <w:tab/>
        <w:t>Haïti</w:t>
      </w:r>
    </w:p>
    <w:p w:rsidR="00727110" w:rsidRPr="00051973" w:rsidRDefault="00727110" w:rsidP="00727110">
      <w:pPr>
        <w:keepNext/>
        <w:keepLines/>
        <w:tabs>
          <w:tab w:val="right" w:pos="851"/>
        </w:tabs>
        <w:spacing w:before="240" w:after="120" w:line="240" w:lineRule="exact"/>
        <w:ind w:left="1134" w:right="1134" w:hanging="1134"/>
        <w:rPr>
          <w:b/>
          <w:sz w:val="24"/>
          <w:szCs w:val="24"/>
          <w:lang w:val="fr-FR"/>
        </w:rPr>
      </w:pPr>
      <w:r w:rsidRPr="00051973">
        <w:rPr>
          <w:b/>
          <w:sz w:val="24"/>
          <w:szCs w:val="24"/>
          <w:lang w:val="fr-FR"/>
        </w:rPr>
        <w:tab/>
      </w:r>
      <w:r w:rsidRPr="00051973">
        <w:rPr>
          <w:b/>
          <w:sz w:val="24"/>
          <w:szCs w:val="24"/>
          <w:lang w:val="fr-FR"/>
        </w:rPr>
        <w:tab/>
        <w:t>Additif</w:t>
      </w:r>
    </w:p>
    <w:p w:rsidR="00727110" w:rsidRPr="00AE7606" w:rsidRDefault="00727110" w:rsidP="00727110">
      <w:pPr>
        <w:keepNext/>
        <w:keepLines/>
        <w:tabs>
          <w:tab w:val="right" w:pos="851"/>
        </w:tabs>
        <w:spacing w:before="360" w:after="240" w:line="270" w:lineRule="exact"/>
        <w:ind w:left="1134" w:right="1134" w:hanging="1134"/>
        <w:rPr>
          <w:b/>
          <w:sz w:val="24"/>
          <w:lang w:val="fr-FR"/>
        </w:rPr>
      </w:pPr>
      <w:r w:rsidRPr="00AE7606">
        <w:rPr>
          <w:b/>
          <w:sz w:val="24"/>
          <w:lang w:val="fr-FR"/>
        </w:rPr>
        <w:tab/>
      </w:r>
      <w:r w:rsidRPr="00AE7606">
        <w:rPr>
          <w:b/>
          <w:sz w:val="24"/>
          <w:lang w:val="fr-FR"/>
        </w:rPr>
        <w:tab/>
        <w:t>Observations sur les conclusions et/ou recommandations,</w:t>
      </w:r>
      <w:r w:rsidRPr="00AE7606">
        <w:rPr>
          <w:b/>
          <w:sz w:val="24"/>
          <w:lang w:val="fr-FR"/>
        </w:rPr>
        <w:br/>
        <w:t>engagements et réponses de l’État examiné</w:t>
      </w:r>
    </w:p>
    <w:p w:rsidR="00727110" w:rsidRPr="00727110" w:rsidRDefault="00727110" w:rsidP="00727110">
      <w:pPr>
        <w:pStyle w:val="SingleTxtG"/>
        <w:rPr>
          <w:lang w:val="fr-CH"/>
        </w:rPr>
      </w:pPr>
      <w:r w:rsidRPr="00AE7606">
        <w:rPr>
          <w:lang w:val="fr-FR"/>
        </w:rPr>
        <w:br w:type="page"/>
      </w:r>
      <w:r>
        <w:rPr>
          <w:lang w:val="fr-FR"/>
        </w:rPr>
        <w:lastRenderedPageBreak/>
        <w:t>1.</w:t>
      </w:r>
      <w:r>
        <w:rPr>
          <w:lang w:val="fr-FR"/>
        </w:rPr>
        <w:tab/>
      </w:r>
      <w:r w:rsidRPr="00727110">
        <w:rPr>
          <w:lang w:val="fr-FR"/>
        </w:rPr>
        <w:t xml:space="preserve">La République d’Haïti remercie le Groupe de Travail de l’Examen périodique </w:t>
      </w:r>
      <w:r w:rsidR="00714F88">
        <w:rPr>
          <w:lang w:val="fr-FR"/>
        </w:rPr>
        <w:t>u</w:t>
      </w:r>
      <w:r w:rsidRPr="00727110">
        <w:rPr>
          <w:lang w:val="fr-FR"/>
        </w:rPr>
        <w:t xml:space="preserve">niversel (EPU) d’avoir adopté le 9 novembre 2016, à la fin de sa 26ème session, le rapport du pays lors de son deuxième passage à l’Examen périodique </w:t>
      </w:r>
      <w:r w:rsidR="00714F88">
        <w:rPr>
          <w:lang w:val="fr-FR"/>
        </w:rPr>
        <w:t>u</w:t>
      </w:r>
      <w:r w:rsidRPr="00727110">
        <w:rPr>
          <w:lang w:val="fr-FR"/>
        </w:rPr>
        <w:t xml:space="preserve">niversel des </w:t>
      </w:r>
      <w:r w:rsidR="00714F88">
        <w:rPr>
          <w:lang w:val="fr-FR"/>
        </w:rPr>
        <w:t>d</w:t>
      </w:r>
      <w:r w:rsidRPr="00727110">
        <w:rPr>
          <w:lang w:val="fr-FR"/>
        </w:rPr>
        <w:t>roits de l‘</w:t>
      </w:r>
      <w:r w:rsidR="00714F88">
        <w:rPr>
          <w:lang w:val="fr-FR"/>
        </w:rPr>
        <w:t>h</w:t>
      </w:r>
      <w:r w:rsidRPr="00727110">
        <w:rPr>
          <w:lang w:val="fr-FR"/>
        </w:rPr>
        <w:t>omme. Elle le remercie également d’avoir permis à 193 pays de lui formuler des recommandations visant à mieux protéger et r</w:t>
      </w:r>
      <w:r>
        <w:rPr>
          <w:lang w:val="fr-FR"/>
        </w:rPr>
        <w:t>especter les droits de l’</w:t>
      </w:r>
      <w:r w:rsidR="00714F88">
        <w:rPr>
          <w:lang w:val="fr-FR"/>
        </w:rPr>
        <w:t>h</w:t>
      </w:r>
      <w:r>
        <w:rPr>
          <w:lang w:val="fr-FR"/>
        </w:rPr>
        <w:t>omme.</w:t>
      </w:r>
    </w:p>
    <w:p w:rsidR="00727110" w:rsidRPr="00727110" w:rsidRDefault="00727110" w:rsidP="00727110">
      <w:pPr>
        <w:pStyle w:val="SingleTxtG"/>
        <w:rPr>
          <w:lang w:val="fr-CH"/>
        </w:rPr>
      </w:pPr>
      <w:r>
        <w:rPr>
          <w:lang w:val="fr-FR"/>
        </w:rPr>
        <w:t>2.</w:t>
      </w:r>
      <w:r>
        <w:rPr>
          <w:lang w:val="fr-FR"/>
        </w:rPr>
        <w:tab/>
      </w:r>
      <w:r w:rsidRPr="00727110">
        <w:rPr>
          <w:lang w:val="fr-FR"/>
        </w:rPr>
        <w:t>La République d’Haïti reconnaît l’importance des 213 recommandations formulées par les États membres au cours du dialogue. Elle avait annoncé que sur les 213 recommandations formulées, elle en avait accepté 175, avait noté 33 et reporté 5.</w:t>
      </w:r>
    </w:p>
    <w:p w:rsidR="00727110" w:rsidRPr="00727110" w:rsidRDefault="00727110" w:rsidP="00727110">
      <w:pPr>
        <w:pStyle w:val="SingleTxtG"/>
        <w:rPr>
          <w:lang w:val="fr-CH"/>
        </w:rPr>
      </w:pPr>
      <w:r>
        <w:rPr>
          <w:lang w:val="fr-FR"/>
        </w:rPr>
        <w:t>3.</w:t>
      </w:r>
      <w:r>
        <w:rPr>
          <w:lang w:val="fr-FR"/>
        </w:rPr>
        <w:tab/>
      </w:r>
      <w:r w:rsidRPr="00727110">
        <w:rPr>
          <w:lang w:val="fr-FR"/>
        </w:rPr>
        <w:t>Conscient du rôle que la société civile est appelée à jouer dans ce processus, un atelier de consultation a été organisé le 20 décembre 2016 afin de recueillir son avis sur les recommandations.</w:t>
      </w:r>
    </w:p>
    <w:p w:rsidR="00727110" w:rsidRPr="00727110" w:rsidRDefault="00727110" w:rsidP="00727110">
      <w:pPr>
        <w:pStyle w:val="SingleTxtG"/>
        <w:rPr>
          <w:lang w:val="fr-CH"/>
        </w:rPr>
      </w:pPr>
      <w:r>
        <w:rPr>
          <w:lang w:val="fr-FR"/>
        </w:rPr>
        <w:t>4.</w:t>
      </w:r>
      <w:r>
        <w:rPr>
          <w:lang w:val="fr-FR"/>
        </w:rPr>
        <w:tab/>
      </w:r>
      <w:r w:rsidRPr="00727110">
        <w:rPr>
          <w:lang w:val="fr-FR"/>
        </w:rPr>
        <w:t>La consultation de la société civile et les échanges d’idées entre les membres du Secrétariat technique du Comité Interministériel des droits de la personne (CIDP) ont permis de reclasser les recommandations comme suit: 188 recommandations acceptées et 25 notées.</w:t>
      </w:r>
    </w:p>
    <w:p w:rsidR="00727110" w:rsidRPr="00727110" w:rsidRDefault="00727110" w:rsidP="00727110">
      <w:pPr>
        <w:pStyle w:val="SingleTxtG"/>
        <w:rPr>
          <w:lang w:val="fr-CH"/>
        </w:rPr>
      </w:pPr>
      <w:r>
        <w:rPr>
          <w:lang w:val="fr-FR"/>
        </w:rPr>
        <w:t>5.</w:t>
      </w:r>
      <w:r>
        <w:rPr>
          <w:lang w:val="fr-FR"/>
        </w:rPr>
        <w:tab/>
      </w:r>
      <w:r w:rsidRPr="00727110">
        <w:rPr>
          <w:lang w:val="fr-FR"/>
        </w:rPr>
        <w:t>La République d’Haïti tient à apporter certaines explications quant aux recommandations notées. Il s’agit soit de recommandations déjà mises en œuvre, soit de recommandations qu’elle ne peut pas s’engager à mettre en œuvre actuellement pour diverses raisons. La République d’Haïti apporte les éléments suivants pour expliquer sa décision.</w:t>
      </w:r>
    </w:p>
    <w:p w:rsidR="00727110" w:rsidRPr="00727110" w:rsidRDefault="00727110" w:rsidP="00727110">
      <w:pPr>
        <w:pStyle w:val="H23G"/>
        <w:rPr>
          <w:lang w:val="fr-CH"/>
        </w:rPr>
      </w:pPr>
      <w:r>
        <w:rPr>
          <w:lang w:val="fr-FR"/>
        </w:rPr>
        <w:tab/>
      </w:r>
      <w:r>
        <w:rPr>
          <w:lang w:val="fr-FR"/>
        </w:rPr>
        <w:tab/>
      </w:r>
      <w:r w:rsidRPr="00727110">
        <w:rPr>
          <w:lang w:val="fr-FR"/>
        </w:rPr>
        <w:t>Recommandation 117.1</w:t>
      </w:r>
      <w:r w:rsidR="00975434">
        <w:rPr>
          <w:lang w:val="fr-FR"/>
        </w:rPr>
        <w:t xml:space="preserve"> </w:t>
      </w:r>
      <w:r w:rsidRPr="00727110">
        <w:rPr>
          <w:lang w:val="fr-FR"/>
        </w:rPr>
        <w:t>(Congo): Accélérer la ratification de tous les instruments internationaux relatifs aux droits de l’homme</w:t>
      </w:r>
    </w:p>
    <w:p w:rsidR="00727110" w:rsidRPr="00727110" w:rsidRDefault="00727110" w:rsidP="00727110">
      <w:pPr>
        <w:pStyle w:val="SingleTxtG"/>
        <w:rPr>
          <w:lang w:val="fr-CH"/>
        </w:rPr>
      </w:pPr>
      <w:r>
        <w:rPr>
          <w:lang w:val="fr-FR"/>
        </w:rPr>
        <w:t>6.</w:t>
      </w:r>
      <w:r>
        <w:rPr>
          <w:lang w:val="fr-FR"/>
        </w:rPr>
        <w:tab/>
      </w:r>
      <w:r w:rsidRPr="00727110">
        <w:rPr>
          <w:lang w:val="fr-FR"/>
        </w:rPr>
        <w:t xml:space="preserve">La recommandation telle que formulée est très générale, car Haïti ne peut être partie à toutes les conventions internationales relatives aux droits de l’homme. En effet, la ratification de certains de ces instruments internationaux nécessite des moyens </w:t>
      </w:r>
      <w:r>
        <w:rPr>
          <w:lang w:val="fr-FR"/>
        </w:rPr>
        <w:t>d</w:t>
      </w:r>
      <w:r w:rsidRPr="00727110">
        <w:rPr>
          <w:lang w:val="fr-FR"/>
        </w:rPr>
        <w:t>’accompagnement dont l’État haïtien ne dispos</w:t>
      </w:r>
      <w:r>
        <w:rPr>
          <w:lang w:val="fr-FR"/>
        </w:rPr>
        <w:t xml:space="preserve">e pas, eu égard à la situation </w:t>
      </w:r>
      <w:r w:rsidRPr="00727110">
        <w:rPr>
          <w:lang w:val="fr-FR"/>
        </w:rPr>
        <w:t>socioéconomique et culturelle du pays.</w:t>
      </w:r>
    </w:p>
    <w:p w:rsidR="00727110" w:rsidRPr="00727110" w:rsidRDefault="00727110" w:rsidP="00727110">
      <w:pPr>
        <w:pStyle w:val="H23G"/>
        <w:rPr>
          <w:lang w:val="fr-CH"/>
        </w:rPr>
      </w:pPr>
      <w:r>
        <w:rPr>
          <w:lang w:val="fr-FR"/>
        </w:rPr>
        <w:tab/>
      </w:r>
      <w:r>
        <w:rPr>
          <w:lang w:val="fr-FR"/>
        </w:rPr>
        <w:tab/>
      </w:r>
      <w:r w:rsidRPr="00727110">
        <w:rPr>
          <w:lang w:val="fr-FR"/>
        </w:rPr>
        <w:t>Recommandation</w:t>
      </w:r>
      <w:r w:rsidR="001F349A">
        <w:rPr>
          <w:lang w:val="fr-FR"/>
        </w:rPr>
        <w:t>s</w:t>
      </w:r>
      <w:r w:rsidRPr="00727110">
        <w:rPr>
          <w:lang w:val="fr-FR"/>
        </w:rPr>
        <w:t xml:space="preserve"> 117.2 (Australie), 117.3 (Monténégro), 117.4 (Rwanda), 117.5 (Namibie): Ratifier le second Protocole facultatif se rapportant au Pacte International relatif aux Droits Civils et Politiques (PIDCP) relatif à l’abolition de la peine de mort</w:t>
      </w:r>
      <w:r>
        <w:rPr>
          <w:lang w:val="fr-FR"/>
        </w:rPr>
        <w:t xml:space="preserve"> </w:t>
      </w:r>
      <w:r w:rsidR="0004425D">
        <w:rPr>
          <w:lang w:val="fr-FR"/>
        </w:rPr>
        <w:t>(recommandation acceptée)</w:t>
      </w:r>
    </w:p>
    <w:p w:rsidR="00727110" w:rsidRDefault="00727110" w:rsidP="00727110">
      <w:pPr>
        <w:pStyle w:val="SingleTxtG"/>
        <w:rPr>
          <w:lang w:val="fr-FR"/>
        </w:rPr>
      </w:pPr>
      <w:r>
        <w:rPr>
          <w:lang w:val="fr-FR"/>
        </w:rPr>
        <w:t>7.</w:t>
      </w:r>
      <w:r>
        <w:rPr>
          <w:lang w:val="fr-FR"/>
        </w:rPr>
        <w:tab/>
      </w:r>
      <w:r w:rsidRPr="00727110">
        <w:rPr>
          <w:lang w:val="fr-FR"/>
        </w:rPr>
        <w:t>Bien avant l’adoption du second Protocole facultatif se rapportant au PIDCP en 1989, la Constitution haïtienne</w:t>
      </w:r>
      <w:r>
        <w:rPr>
          <w:lang w:val="fr-FR"/>
        </w:rPr>
        <w:t xml:space="preserve">, en son article 20, avait déjà </w:t>
      </w:r>
      <w:r w:rsidRPr="00727110">
        <w:rPr>
          <w:lang w:val="fr-FR"/>
        </w:rPr>
        <w:t xml:space="preserve">aboli la peine de mort en toutes matières. De plus, dans la hiérarchie des normes, les normes internationales sont infra-constitutionnelles. Cette recommandation rejoint les </w:t>
      </w:r>
      <w:r>
        <w:rPr>
          <w:lang w:val="fr-FR"/>
        </w:rPr>
        <w:t xml:space="preserve">préoccupations du Gouvernement </w:t>
      </w:r>
      <w:r w:rsidRPr="00727110">
        <w:rPr>
          <w:lang w:val="fr-FR"/>
        </w:rPr>
        <w:t xml:space="preserve">haïtien, et par conséquent, elle est reclassée parmi </w:t>
      </w:r>
      <w:r>
        <w:rPr>
          <w:lang w:val="fr-FR"/>
        </w:rPr>
        <w:t>les recommandations acceptées.</w:t>
      </w:r>
    </w:p>
    <w:p w:rsidR="00727110" w:rsidRPr="00727110" w:rsidRDefault="00727110" w:rsidP="00727110">
      <w:pPr>
        <w:pStyle w:val="SingleTxtG"/>
        <w:rPr>
          <w:lang w:val="fr-CH"/>
        </w:rPr>
      </w:pPr>
      <w:r>
        <w:rPr>
          <w:lang w:val="fr-CH"/>
        </w:rPr>
        <w:t>8.</w:t>
      </w:r>
      <w:r>
        <w:rPr>
          <w:lang w:val="fr-CH"/>
        </w:rPr>
        <w:tab/>
      </w:r>
      <w:r w:rsidRPr="00727110">
        <w:rPr>
          <w:lang w:val="fr-FR"/>
        </w:rPr>
        <w:t xml:space="preserve">La ratification de ce protocole permettra à l’État haïtien de protéger ses ressortissants </w:t>
      </w:r>
      <w:r w:rsidRPr="00727110">
        <w:rPr>
          <w:lang w:val="fr-FR"/>
        </w:rPr>
        <w:tab/>
        <w:t>vivant dans des pays où la peine de mort est encore en vigueur.</w:t>
      </w:r>
    </w:p>
    <w:p w:rsidR="00727110" w:rsidRPr="00727110" w:rsidRDefault="00727110" w:rsidP="00727110">
      <w:pPr>
        <w:pStyle w:val="H23G"/>
        <w:rPr>
          <w:lang w:val="fr-CH"/>
        </w:rPr>
      </w:pPr>
      <w:r>
        <w:rPr>
          <w:lang w:val="fr-FR"/>
        </w:rPr>
        <w:tab/>
      </w:r>
      <w:r>
        <w:rPr>
          <w:lang w:val="fr-FR"/>
        </w:rPr>
        <w:tab/>
        <w:t xml:space="preserve">Recommandations 117.7 </w:t>
      </w:r>
      <w:r w:rsidRPr="00727110">
        <w:rPr>
          <w:lang w:val="fr-FR"/>
        </w:rPr>
        <w:t>(Royaume Uni), 117.14 (Tch</w:t>
      </w:r>
      <w:r w:rsidR="00273A0F">
        <w:rPr>
          <w:lang w:val="fr-FR"/>
        </w:rPr>
        <w:t>é</w:t>
      </w:r>
      <w:r w:rsidRPr="00727110">
        <w:rPr>
          <w:lang w:val="fr-FR"/>
        </w:rPr>
        <w:t>qu</w:t>
      </w:r>
      <w:r w:rsidR="00273A0F">
        <w:rPr>
          <w:lang w:val="fr-FR"/>
        </w:rPr>
        <w:t>i</w:t>
      </w:r>
      <w:r w:rsidRPr="00727110">
        <w:rPr>
          <w:lang w:val="fr-FR"/>
        </w:rPr>
        <w:t>e), 117.15 (Uruguay), 117.16 (Chypre), 117.17 (Allemagne), 117.18 (Guatemala), 117.19 (Timor-Leste):</w:t>
      </w:r>
      <w:r w:rsidR="006528F2">
        <w:rPr>
          <w:lang w:val="fr-FR"/>
        </w:rPr>
        <w:t xml:space="preserve"> </w:t>
      </w:r>
      <w:r w:rsidR="0022174D" w:rsidRPr="00F8155C">
        <w:rPr>
          <w:lang w:val="fr-CH"/>
        </w:rPr>
        <w:t xml:space="preserve"> </w:t>
      </w:r>
      <w:r w:rsidR="0022174D" w:rsidRPr="0022174D">
        <w:rPr>
          <w:lang w:val="fr-FR"/>
        </w:rPr>
        <w:t>Lorsqu'il est élu, le nouveau président demande la ratification rapide du Statut de Rome.</w:t>
      </w:r>
    </w:p>
    <w:p w:rsidR="00727110" w:rsidRPr="00727110" w:rsidRDefault="00727110" w:rsidP="00727110">
      <w:pPr>
        <w:pStyle w:val="SingleTxtG"/>
        <w:rPr>
          <w:lang w:val="fr-CH"/>
        </w:rPr>
      </w:pPr>
      <w:r>
        <w:rPr>
          <w:lang w:val="fr-FR"/>
        </w:rPr>
        <w:t>9.</w:t>
      </w:r>
      <w:r>
        <w:rPr>
          <w:lang w:val="fr-FR"/>
        </w:rPr>
        <w:tab/>
      </w:r>
      <w:r w:rsidRPr="00727110">
        <w:rPr>
          <w:lang w:val="fr-FR"/>
        </w:rPr>
        <w:t>La République d’Haïti, de par son passé, reconnaît l’importance du Statut de Rome en tant qu’instrument de lutte contre la criminalité. C’est pour cette raison qu’elle l’a signé depuis le 26 février 1999. Haïti admet le bien</w:t>
      </w:r>
      <w:r w:rsidR="00A25550">
        <w:rPr>
          <w:lang w:val="fr-FR"/>
        </w:rPr>
        <w:t>-</w:t>
      </w:r>
      <w:r w:rsidRPr="00727110">
        <w:rPr>
          <w:lang w:val="fr-FR"/>
        </w:rPr>
        <w:t xml:space="preserve">fondé de la demande des pays tels </w:t>
      </w:r>
      <w:r>
        <w:rPr>
          <w:lang w:val="fr-FR"/>
        </w:rPr>
        <w:t>Timor-Leste.</w:t>
      </w:r>
    </w:p>
    <w:p w:rsidR="00727110" w:rsidRPr="00727110" w:rsidRDefault="00727110" w:rsidP="00727110">
      <w:pPr>
        <w:pStyle w:val="SingleTxtG"/>
        <w:rPr>
          <w:lang w:val="fr-CH"/>
        </w:rPr>
      </w:pPr>
      <w:r>
        <w:rPr>
          <w:lang w:val="fr-FR"/>
        </w:rPr>
        <w:lastRenderedPageBreak/>
        <w:t>10.</w:t>
      </w:r>
      <w:r>
        <w:rPr>
          <w:lang w:val="fr-FR"/>
        </w:rPr>
        <w:tab/>
      </w:r>
      <w:r w:rsidR="00B75A6D">
        <w:rPr>
          <w:lang w:val="fr-FR"/>
        </w:rPr>
        <w:t xml:space="preserve">Cependant, Haïti a déjà </w:t>
      </w:r>
      <w:r w:rsidRPr="00727110">
        <w:rPr>
          <w:lang w:val="fr-FR"/>
        </w:rPr>
        <w:t>un corpus juridique lui permettant de lutter contre les infractions qualifiées de crimes contre l’humanité dans le Statut de Rome. Dans le nouveau Code pénal haïtien, en cours d’élaboration, qui sera soumis sous peu au Parlement, les infractions telles que le génocide, les tortures et autres crimes y sont</w:t>
      </w:r>
      <w:r w:rsidRPr="00727110">
        <w:rPr>
          <w:lang w:val="fr-FR"/>
        </w:rPr>
        <w:tab/>
        <w:t>traitées. Des procès ont déjà eu lieu en Haïti sur la base de l’infraction</w:t>
      </w:r>
      <w:r>
        <w:rPr>
          <w:lang w:val="fr-FR"/>
        </w:rPr>
        <w:t xml:space="preserve"> </w:t>
      </w:r>
      <w:r w:rsidRPr="00727110">
        <w:rPr>
          <w:lang w:val="fr-FR"/>
        </w:rPr>
        <w:t xml:space="preserve">«crime contre </w:t>
      </w:r>
      <w:r>
        <w:rPr>
          <w:lang w:val="fr-FR"/>
        </w:rPr>
        <w:t>l’humanité</w:t>
      </w:r>
      <w:r w:rsidRPr="00727110">
        <w:rPr>
          <w:lang w:val="fr-FR"/>
        </w:rPr>
        <w:t>», considéré dans le Code pénal haïtien, comme crime de d</w:t>
      </w:r>
      <w:r>
        <w:rPr>
          <w:lang w:val="fr-FR"/>
        </w:rPr>
        <w:t xml:space="preserve">roit commun. A </w:t>
      </w:r>
      <w:r>
        <w:rPr>
          <w:lang w:val="fr-FR"/>
        </w:rPr>
        <w:tab/>
        <w:t>titre d’exemple:</w:t>
      </w:r>
      <w:r w:rsidR="00AB54C2">
        <w:rPr>
          <w:lang w:val="fr-FR"/>
        </w:rPr>
        <w:t xml:space="preserve"> </w:t>
      </w:r>
      <w:r>
        <w:rPr>
          <w:lang w:val="fr-FR"/>
        </w:rPr>
        <w:t xml:space="preserve">le procès du feu </w:t>
      </w:r>
      <w:r w:rsidRPr="00727110">
        <w:rPr>
          <w:lang w:val="fr-FR"/>
        </w:rPr>
        <w:t xml:space="preserve">Jean-Claude </w:t>
      </w:r>
      <w:r>
        <w:rPr>
          <w:lang w:val="fr-FR"/>
        </w:rPr>
        <w:t xml:space="preserve">Duvalier, ex-Président d’Haïti. </w:t>
      </w:r>
      <w:r w:rsidRPr="00727110">
        <w:rPr>
          <w:lang w:val="fr-FR"/>
        </w:rPr>
        <w:t>Du fait</w:t>
      </w:r>
      <w:r w:rsidR="00AB54C2">
        <w:rPr>
          <w:lang w:val="fr-FR"/>
        </w:rPr>
        <w:t xml:space="preserve"> </w:t>
      </w:r>
      <w:r w:rsidRPr="00727110">
        <w:rPr>
          <w:lang w:val="fr-FR"/>
        </w:rPr>
        <w:t xml:space="preserve">de l'existence </w:t>
      </w:r>
      <w:r>
        <w:rPr>
          <w:lang w:val="fr-FR"/>
        </w:rPr>
        <w:t xml:space="preserve">de provisions légales internes, </w:t>
      </w:r>
      <w:r w:rsidRPr="00727110">
        <w:rPr>
          <w:lang w:val="fr-FR"/>
        </w:rPr>
        <w:t xml:space="preserve">pour mettre </w:t>
      </w:r>
      <w:r>
        <w:rPr>
          <w:lang w:val="fr-FR"/>
        </w:rPr>
        <w:t xml:space="preserve">en application les infractions </w:t>
      </w:r>
      <w:r w:rsidRPr="00727110">
        <w:rPr>
          <w:lang w:val="fr-FR"/>
        </w:rPr>
        <w:t>visées par le Statut de Rome, Haïti n’a pas jugé nécessai</w:t>
      </w:r>
      <w:r>
        <w:rPr>
          <w:lang w:val="fr-FR"/>
        </w:rPr>
        <w:t>re de ratifier cet instrument.</w:t>
      </w:r>
    </w:p>
    <w:p w:rsidR="00727110" w:rsidRPr="00727110" w:rsidRDefault="00727110" w:rsidP="00727110">
      <w:pPr>
        <w:pStyle w:val="H23G"/>
        <w:rPr>
          <w:lang w:val="fr-CH"/>
        </w:rPr>
      </w:pPr>
      <w:r>
        <w:rPr>
          <w:lang w:val="fr-FR"/>
        </w:rPr>
        <w:tab/>
      </w:r>
      <w:r>
        <w:rPr>
          <w:lang w:val="fr-FR"/>
        </w:rPr>
        <w:tab/>
      </w:r>
      <w:r w:rsidRPr="00727110">
        <w:rPr>
          <w:lang w:val="fr-FR"/>
        </w:rPr>
        <w:t>Recommandation 117.20: Ratifier la Convention sur l'imprescriptibilité des crimes de guerre et des crimes contre l'humanité</w:t>
      </w:r>
    </w:p>
    <w:p w:rsidR="00727110" w:rsidRPr="00727110" w:rsidRDefault="00727110" w:rsidP="00727110">
      <w:pPr>
        <w:pStyle w:val="SingleTxtG"/>
        <w:rPr>
          <w:lang w:val="fr-CH"/>
        </w:rPr>
      </w:pPr>
      <w:r>
        <w:rPr>
          <w:lang w:val="fr-FR"/>
        </w:rPr>
        <w:t>11.</w:t>
      </w:r>
      <w:r>
        <w:rPr>
          <w:lang w:val="fr-FR"/>
        </w:rPr>
        <w:tab/>
      </w:r>
      <w:r w:rsidRPr="00727110">
        <w:rPr>
          <w:lang w:val="fr-FR"/>
        </w:rPr>
        <w:t>Les crimes de guerre et les crimes contre l’humanité font déjà partie du Statut de Rome. La République d’Haïti prend acte de cette recommandation de l’Arménie concernant le caractère imprescriptible de ces crimes. Cependant, même si Haïti n’a pas encore ratifié le Statut de Rome, les crimes prévus par la Convention sur l'imprescriptibilité des crimes de guerre et des crimes contre l'humanité sont déjà applicables dans la législation haïtienne en matière pénale. De plus, les citoyens haïtiens sont soumis aux mêmes sanctions prévues par la loi pénale. De ce fait, Haïti n’a pas jugé nécessaire de ratifier ladite Convention.</w:t>
      </w:r>
    </w:p>
    <w:p w:rsidR="00727110" w:rsidRPr="00727110" w:rsidRDefault="00727110" w:rsidP="00727110">
      <w:pPr>
        <w:pStyle w:val="H23G"/>
        <w:rPr>
          <w:lang w:val="fr-CH"/>
        </w:rPr>
      </w:pPr>
      <w:r>
        <w:rPr>
          <w:lang w:val="fr-FR"/>
        </w:rPr>
        <w:tab/>
      </w:r>
      <w:r>
        <w:rPr>
          <w:lang w:val="fr-FR"/>
        </w:rPr>
        <w:tab/>
      </w:r>
      <w:r w:rsidRPr="00727110">
        <w:rPr>
          <w:lang w:val="fr-FR"/>
        </w:rPr>
        <w:t xml:space="preserve">Recommandations </w:t>
      </w:r>
      <w:r w:rsidR="00A02C6C" w:rsidRPr="00A02C6C">
        <w:rPr>
          <w:lang w:val="fr-FR"/>
        </w:rPr>
        <w:t>117.21 (Mongolie) (Panama) (Rwanda), 117.22 (Paraguay)</w:t>
      </w:r>
      <w:r w:rsidRPr="00727110">
        <w:rPr>
          <w:lang w:val="fr-FR"/>
        </w:rPr>
        <w:t xml:space="preserve">: Faire une invitation permanente aux procédures spéciales </w:t>
      </w:r>
      <w:r>
        <w:rPr>
          <w:lang w:val="fr-FR"/>
        </w:rPr>
        <w:t>relatives aux droits de l’homme</w:t>
      </w:r>
    </w:p>
    <w:p w:rsidR="00727110" w:rsidRPr="00727110" w:rsidRDefault="00727110" w:rsidP="00727110">
      <w:pPr>
        <w:pStyle w:val="SingleTxtG"/>
        <w:rPr>
          <w:lang w:val="fr-CH"/>
        </w:rPr>
      </w:pPr>
      <w:r>
        <w:rPr>
          <w:lang w:val="fr-FR"/>
        </w:rPr>
        <w:t>12.</w:t>
      </w:r>
      <w:r>
        <w:rPr>
          <w:lang w:val="fr-FR"/>
        </w:rPr>
        <w:tab/>
      </w:r>
      <w:r w:rsidRPr="00727110">
        <w:rPr>
          <w:lang w:val="fr-FR"/>
        </w:rPr>
        <w:t>La République d’Haïti ne s’est jamais opposée à la venue des titulaires de mandat au titre de procédures spéciales. Elle a toujours accueilli</w:t>
      </w:r>
      <w:r>
        <w:rPr>
          <w:lang w:val="fr-FR"/>
        </w:rPr>
        <w:t xml:space="preserve"> </w:t>
      </w:r>
      <w:r w:rsidRPr="00727110">
        <w:rPr>
          <w:lang w:val="fr-FR"/>
        </w:rPr>
        <w:t>favorablement la présence de l’Expert indépendant sur la situation des dro</w:t>
      </w:r>
      <w:r>
        <w:rPr>
          <w:lang w:val="fr-FR"/>
        </w:rPr>
        <w:t xml:space="preserve">its de l’homme. Une invitation </w:t>
      </w:r>
      <w:r w:rsidRPr="00727110">
        <w:rPr>
          <w:lang w:val="fr-FR"/>
        </w:rPr>
        <w:t>permanente n’a pas lieu d’être.</w:t>
      </w:r>
    </w:p>
    <w:p w:rsidR="00727110" w:rsidRPr="00727110" w:rsidRDefault="00727110" w:rsidP="00727110">
      <w:pPr>
        <w:pStyle w:val="H23G"/>
        <w:rPr>
          <w:lang w:val="fr-CH"/>
        </w:rPr>
      </w:pPr>
      <w:r>
        <w:rPr>
          <w:lang w:val="fr-FR"/>
        </w:rPr>
        <w:tab/>
      </w:r>
      <w:r>
        <w:rPr>
          <w:lang w:val="fr-FR"/>
        </w:rPr>
        <w:tab/>
      </w:r>
      <w:r w:rsidRPr="00727110">
        <w:rPr>
          <w:lang w:val="fr-FR"/>
        </w:rPr>
        <w:t>Recommandations 117.24 (Croatie), 11</w:t>
      </w:r>
      <w:r>
        <w:rPr>
          <w:lang w:val="fr-FR"/>
        </w:rPr>
        <w:t xml:space="preserve">7.25 (Guatemala): Concevoir et </w:t>
      </w:r>
      <w:r w:rsidRPr="00727110">
        <w:rPr>
          <w:lang w:val="fr-FR"/>
        </w:rPr>
        <w:t>mettre en œuvre une série de mesures visant à lutter contre les stéréotypes discriminatoires y compris les stéréotypes fondés sur le sexe</w:t>
      </w:r>
    </w:p>
    <w:p w:rsidR="00727110" w:rsidRPr="00727110" w:rsidRDefault="00727110" w:rsidP="00727110">
      <w:pPr>
        <w:pStyle w:val="SingleTxtG"/>
        <w:rPr>
          <w:lang w:val="fr-CH"/>
        </w:rPr>
      </w:pPr>
      <w:r>
        <w:rPr>
          <w:lang w:val="fr-FR"/>
        </w:rPr>
        <w:t>13.</w:t>
      </w:r>
      <w:r>
        <w:rPr>
          <w:lang w:val="fr-FR"/>
        </w:rPr>
        <w:tab/>
      </w:r>
      <w:r w:rsidRPr="00727110">
        <w:rPr>
          <w:lang w:val="fr-FR"/>
        </w:rPr>
        <w:t>D’une manière générale, il n’existe pas de stéréotypes discriminatoires en Haïti, car la population haïtienne est une population de race noire. De plus, il n’y a pas de groupes ethniques en Haïti. L’État haïtien garantit la liberté religieuse et reconnaît la diversité culturelle.</w:t>
      </w:r>
    </w:p>
    <w:p w:rsidR="00727110" w:rsidRPr="00727110" w:rsidRDefault="00727110" w:rsidP="00727110">
      <w:pPr>
        <w:pStyle w:val="H23G"/>
        <w:rPr>
          <w:lang w:val="fr-CH"/>
        </w:rPr>
      </w:pPr>
      <w:r>
        <w:rPr>
          <w:lang w:val="fr-FR"/>
        </w:rPr>
        <w:tab/>
      </w:r>
      <w:r>
        <w:rPr>
          <w:lang w:val="fr-FR"/>
        </w:rPr>
        <w:tab/>
      </w:r>
      <w:r w:rsidRPr="00727110">
        <w:rPr>
          <w:lang w:val="fr-FR"/>
        </w:rPr>
        <w:t>Recommandation 117.26 (Colombie): Prendre des mesures pour lutter contre les normes, pratiques et stéréotypes qui causent la discrimination et la violence fondée sur l’orientation sexuelle et l’identité de genre</w:t>
      </w:r>
    </w:p>
    <w:p w:rsidR="00727110" w:rsidRPr="00727110" w:rsidRDefault="00055EFF" w:rsidP="00727110">
      <w:pPr>
        <w:pStyle w:val="SingleTxtG"/>
        <w:rPr>
          <w:lang w:val="fr-CH"/>
        </w:rPr>
      </w:pPr>
      <w:r>
        <w:rPr>
          <w:lang w:val="fr-FR"/>
        </w:rPr>
        <w:t>14.</w:t>
      </w:r>
      <w:r>
        <w:rPr>
          <w:lang w:val="fr-FR"/>
        </w:rPr>
        <w:tab/>
      </w:r>
      <w:r w:rsidR="00727110" w:rsidRPr="00727110">
        <w:rPr>
          <w:lang w:val="fr-FR"/>
        </w:rPr>
        <w:t xml:space="preserve">La Constitution haïtienne, dans son préambule, garantit les droits </w:t>
      </w:r>
      <w:r w:rsidR="00727110">
        <w:rPr>
          <w:lang w:val="fr-FR"/>
        </w:rPr>
        <w:t xml:space="preserve">inaliénables et </w:t>
      </w:r>
      <w:r w:rsidR="00727110" w:rsidRPr="00727110">
        <w:rPr>
          <w:lang w:val="fr-FR"/>
        </w:rPr>
        <w:t>imprescriptibles à la vie, à la liberté et à la poursuite</w:t>
      </w:r>
      <w:r w:rsidR="00727110">
        <w:rPr>
          <w:lang w:val="fr-FR"/>
        </w:rPr>
        <w:t xml:space="preserve"> du bonheur conformément à son </w:t>
      </w:r>
      <w:r w:rsidR="00727110" w:rsidRPr="00727110">
        <w:rPr>
          <w:lang w:val="fr-FR"/>
        </w:rPr>
        <w:t>acte d’indépendance de 1804 et à la Déclaration univer</w:t>
      </w:r>
      <w:r w:rsidR="00727110">
        <w:rPr>
          <w:lang w:val="fr-FR"/>
        </w:rPr>
        <w:t xml:space="preserve">selle des droits de l’homme de </w:t>
      </w:r>
      <w:r w:rsidR="00727110" w:rsidRPr="00727110">
        <w:rPr>
          <w:lang w:val="fr-FR"/>
        </w:rPr>
        <w:t>1948. La lég</w:t>
      </w:r>
      <w:r w:rsidR="00727110">
        <w:rPr>
          <w:lang w:val="fr-FR"/>
        </w:rPr>
        <w:t>islation haïtienne garantit les</w:t>
      </w:r>
      <w:r w:rsidR="00727110" w:rsidRPr="00727110">
        <w:rPr>
          <w:lang w:val="fr-FR"/>
        </w:rPr>
        <w:t xml:space="preserve"> droits de toute per</w:t>
      </w:r>
      <w:r>
        <w:rPr>
          <w:lang w:val="fr-FR"/>
        </w:rPr>
        <w:t xml:space="preserve">sonne en ce qui concerne </w:t>
      </w:r>
      <w:r w:rsidR="00727110" w:rsidRPr="00727110">
        <w:rPr>
          <w:lang w:val="fr-FR"/>
        </w:rPr>
        <w:t>la discrimination fondée sur l’orientation sexuelle ou l</w:t>
      </w:r>
      <w:r w:rsidR="00727110">
        <w:rPr>
          <w:lang w:val="fr-FR"/>
        </w:rPr>
        <w:t xml:space="preserve">’identité de genre et permet à </w:t>
      </w:r>
      <w:r w:rsidR="00727110" w:rsidRPr="00727110">
        <w:rPr>
          <w:lang w:val="fr-FR"/>
        </w:rPr>
        <w:t>toute personne victime de pratiques et de stéréotypes c</w:t>
      </w:r>
      <w:r w:rsidR="00727110">
        <w:rPr>
          <w:lang w:val="fr-FR"/>
        </w:rPr>
        <w:t xml:space="preserve">ausant la discrimination et la </w:t>
      </w:r>
      <w:r w:rsidR="00727110" w:rsidRPr="00727110">
        <w:rPr>
          <w:lang w:val="fr-FR"/>
        </w:rPr>
        <w:t>violence dans ce domaine de saisir le tribunal compéten</w:t>
      </w:r>
      <w:r w:rsidR="00727110">
        <w:rPr>
          <w:lang w:val="fr-FR"/>
        </w:rPr>
        <w:t xml:space="preserve">t pour faire respecter ses </w:t>
      </w:r>
      <w:r w:rsidR="00727110" w:rsidRPr="00727110">
        <w:rPr>
          <w:lang w:val="fr-FR"/>
        </w:rPr>
        <w:t>droits.</w:t>
      </w:r>
    </w:p>
    <w:p w:rsidR="00727110" w:rsidRPr="00727110" w:rsidRDefault="00055EFF" w:rsidP="00055EFF">
      <w:pPr>
        <w:pStyle w:val="H23G"/>
        <w:rPr>
          <w:lang w:val="fr-CH"/>
        </w:rPr>
      </w:pPr>
      <w:r>
        <w:rPr>
          <w:lang w:val="fr-FR"/>
        </w:rPr>
        <w:tab/>
      </w:r>
      <w:r>
        <w:rPr>
          <w:lang w:val="fr-FR"/>
        </w:rPr>
        <w:tab/>
      </w:r>
      <w:r w:rsidR="00727110" w:rsidRPr="00727110">
        <w:rPr>
          <w:lang w:val="fr-FR"/>
        </w:rPr>
        <w:t xml:space="preserve">Recommandation 117.28 (Canada): Fournir, dans les plus brefs délais, des documents aux personnes d’origine haïtienne vivant en République </w:t>
      </w:r>
      <w:r w:rsidR="007157FC">
        <w:rPr>
          <w:lang w:val="fr-FR"/>
        </w:rPr>
        <w:t>d</w:t>
      </w:r>
      <w:r w:rsidR="00727110" w:rsidRPr="00727110">
        <w:rPr>
          <w:lang w:val="fr-FR"/>
        </w:rPr>
        <w:t>ominicaine pour régulariser leur statut et ainsi éviter les expulsions, en coordination avec l’Organisation internationale pour les</w:t>
      </w:r>
      <w:r w:rsidR="00B75A6D">
        <w:rPr>
          <w:lang w:val="fr-FR"/>
        </w:rPr>
        <w:t xml:space="preserve"> </w:t>
      </w:r>
      <w:r w:rsidR="00702409">
        <w:rPr>
          <w:lang w:val="fr-FR"/>
        </w:rPr>
        <w:t>m</w:t>
      </w:r>
      <w:r w:rsidR="00727110" w:rsidRPr="00727110">
        <w:rPr>
          <w:lang w:val="fr-FR"/>
        </w:rPr>
        <w:t>igrations</w:t>
      </w:r>
    </w:p>
    <w:p w:rsidR="00727110" w:rsidRPr="00727110" w:rsidRDefault="00055EFF" w:rsidP="00055EFF">
      <w:pPr>
        <w:pStyle w:val="SingleTxtG"/>
        <w:rPr>
          <w:lang w:val="fr-CH"/>
        </w:rPr>
      </w:pPr>
      <w:r>
        <w:rPr>
          <w:lang w:val="fr-FR"/>
        </w:rPr>
        <w:t>15.</w:t>
      </w:r>
      <w:r>
        <w:rPr>
          <w:lang w:val="fr-FR"/>
        </w:rPr>
        <w:tab/>
      </w:r>
      <w:r w:rsidR="00727110" w:rsidRPr="00727110">
        <w:rPr>
          <w:lang w:val="fr-FR"/>
        </w:rPr>
        <w:t xml:space="preserve">Cette recommandation ne relève pas exclusivement de </w:t>
      </w:r>
      <w:r>
        <w:rPr>
          <w:lang w:val="fr-FR"/>
        </w:rPr>
        <w:t xml:space="preserve">la compétence de la République </w:t>
      </w:r>
      <w:r w:rsidR="00727110" w:rsidRPr="00727110">
        <w:rPr>
          <w:lang w:val="fr-FR"/>
        </w:rPr>
        <w:t>d’Haïti, car elle concerne des personnes d’ascenda</w:t>
      </w:r>
      <w:r>
        <w:rPr>
          <w:lang w:val="fr-FR"/>
        </w:rPr>
        <w:t xml:space="preserve">nce haïtienne qui sont nées en </w:t>
      </w:r>
      <w:r w:rsidR="00727110" w:rsidRPr="00727110">
        <w:rPr>
          <w:lang w:val="fr-FR"/>
        </w:rPr>
        <w:t xml:space="preserve">République </w:t>
      </w:r>
      <w:r w:rsidR="00192584">
        <w:rPr>
          <w:lang w:val="fr-FR"/>
        </w:rPr>
        <w:t>d</w:t>
      </w:r>
      <w:r w:rsidR="00727110" w:rsidRPr="00727110">
        <w:rPr>
          <w:lang w:val="fr-FR"/>
        </w:rPr>
        <w:t>ominicaine depuis plusieurs générations et q</w:t>
      </w:r>
      <w:r>
        <w:rPr>
          <w:lang w:val="fr-FR"/>
        </w:rPr>
        <w:t xml:space="preserve">ui auraient dû jouir de la loi </w:t>
      </w:r>
      <w:r w:rsidR="00727110" w:rsidRPr="00727110">
        <w:rPr>
          <w:lang w:val="fr-FR"/>
        </w:rPr>
        <w:t>du sol (jus soli) reconnue par la Constitution dominica</w:t>
      </w:r>
      <w:r>
        <w:rPr>
          <w:lang w:val="fr-FR"/>
        </w:rPr>
        <w:t xml:space="preserve">ine. Cependant, l’État haïtien </w:t>
      </w:r>
      <w:r w:rsidR="00727110" w:rsidRPr="00727110">
        <w:rPr>
          <w:lang w:val="fr-FR"/>
        </w:rPr>
        <w:t>continue de déployer des efforts en vue de fournir aux Haïtiens vivant sur le territoire dominicain des documents relatifs à leur identité.</w:t>
      </w:r>
    </w:p>
    <w:p w:rsidR="00727110" w:rsidRPr="00727110" w:rsidRDefault="00055EFF" w:rsidP="00055EFF">
      <w:pPr>
        <w:pStyle w:val="H23G"/>
        <w:rPr>
          <w:lang w:val="fr-CH"/>
        </w:rPr>
      </w:pPr>
      <w:r>
        <w:rPr>
          <w:lang w:val="fr-FR"/>
        </w:rPr>
        <w:tab/>
      </w:r>
      <w:r>
        <w:rPr>
          <w:lang w:val="fr-FR"/>
        </w:rPr>
        <w:tab/>
      </w:r>
      <w:r w:rsidR="00727110" w:rsidRPr="00727110">
        <w:rPr>
          <w:lang w:val="fr-FR"/>
        </w:rPr>
        <w:t>Recommandations 115.134, 117.29, 117.30 (Botswana, Sie</w:t>
      </w:r>
      <w:r>
        <w:rPr>
          <w:lang w:val="fr-FR"/>
        </w:rPr>
        <w:t>rra Leone, République de Corée)</w:t>
      </w:r>
      <w:r w:rsidR="00727110" w:rsidRPr="00727110">
        <w:rPr>
          <w:lang w:val="fr-FR"/>
        </w:rPr>
        <w:t>: Augmenter l’âge minimum du mariage à 18 ans pour les garçons et les filles</w:t>
      </w:r>
    </w:p>
    <w:p w:rsidR="00727110" w:rsidRPr="00727110" w:rsidRDefault="00055EFF" w:rsidP="00055EFF">
      <w:pPr>
        <w:pStyle w:val="SingleTxtG"/>
        <w:rPr>
          <w:lang w:val="fr-CH"/>
        </w:rPr>
      </w:pPr>
      <w:r>
        <w:rPr>
          <w:lang w:val="fr-FR"/>
        </w:rPr>
        <w:t>16.</w:t>
      </w:r>
      <w:r>
        <w:rPr>
          <w:lang w:val="fr-FR"/>
        </w:rPr>
        <w:tab/>
      </w:r>
      <w:r w:rsidR="00727110" w:rsidRPr="00727110">
        <w:rPr>
          <w:lang w:val="fr-FR"/>
        </w:rPr>
        <w:t>La Constitution haïtienne, en ses articles 16.2 et 17, a déjà fixé l’âge de la majorité à dix-huit (18) ans. Selon l’article 17, les Haïtiens sans distin</w:t>
      </w:r>
      <w:r>
        <w:rPr>
          <w:lang w:val="fr-FR"/>
        </w:rPr>
        <w:t xml:space="preserve">ction de sexe et d'état civil, </w:t>
      </w:r>
      <w:r w:rsidR="00727110" w:rsidRPr="00727110">
        <w:rPr>
          <w:lang w:val="fr-FR"/>
        </w:rPr>
        <w:t>âgé de dix-huit (18) ans accomplis, peuvent exercer leurs dro</w:t>
      </w:r>
      <w:r>
        <w:rPr>
          <w:lang w:val="fr-FR"/>
        </w:rPr>
        <w:t xml:space="preserve">its civils et politiques s'ils </w:t>
      </w:r>
      <w:r w:rsidR="00727110" w:rsidRPr="00727110">
        <w:rPr>
          <w:lang w:val="fr-FR"/>
        </w:rPr>
        <w:t>réunissent les autres conditions prévues par la Constitutio</w:t>
      </w:r>
      <w:r>
        <w:rPr>
          <w:lang w:val="fr-FR"/>
        </w:rPr>
        <w:t xml:space="preserve">n et par la loi. De plus, bien </w:t>
      </w:r>
      <w:r w:rsidR="00727110" w:rsidRPr="00727110">
        <w:rPr>
          <w:lang w:val="fr-FR"/>
        </w:rPr>
        <w:t xml:space="preserve">avant la Constitution de 1987, la loi du 8 octobre 1982 </w:t>
      </w:r>
      <w:r>
        <w:rPr>
          <w:lang w:val="fr-FR"/>
        </w:rPr>
        <w:t xml:space="preserve">dans son article 16 avait déjà </w:t>
      </w:r>
      <w:r w:rsidR="00727110" w:rsidRPr="00727110">
        <w:rPr>
          <w:lang w:val="fr-FR"/>
        </w:rPr>
        <w:t>fixé la majorité à 18 ans. A cet âge, l’Haïtien a la capacité pour accomplir tous les</w:t>
      </w:r>
      <w:r>
        <w:rPr>
          <w:lang w:val="fr-FR"/>
        </w:rPr>
        <w:t xml:space="preserve"> </w:t>
      </w:r>
      <w:r w:rsidR="00727110" w:rsidRPr="00727110">
        <w:rPr>
          <w:lang w:val="fr-FR"/>
        </w:rPr>
        <w:t>actes de la vie civile.</w:t>
      </w:r>
    </w:p>
    <w:p w:rsidR="00727110" w:rsidRPr="00727110" w:rsidRDefault="00055EFF" w:rsidP="00055EFF">
      <w:pPr>
        <w:pStyle w:val="SingleTxtG"/>
        <w:rPr>
          <w:lang w:val="fr-CH"/>
        </w:rPr>
      </w:pPr>
      <w:r>
        <w:rPr>
          <w:lang w:val="fr-FR"/>
        </w:rPr>
        <w:t>17.</w:t>
      </w:r>
      <w:r>
        <w:rPr>
          <w:lang w:val="fr-FR"/>
        </w:rPr>
        <w:tab/>
        <w:t>Par ailleurs,</w:t>
      </w:r>
      <w:r w:rsidR="00727110" w:rsidRPr="00727110">
        <w:rPr>
          <w:lang w:val="fr-FR"/>
        </w:rPr>
        <w:t xml:space="preserve"> cette loi interdit </w:t>
      </w:r>
      <w:r>
        <w:rPr>
          <w:lang w:val="fr-FR"/>
        </w:rPr>
        <w:t xml:space="preserve">aux officiers de l’état civil </w:t>
      </w:r>
      <w:r w:rsidR="00727110" w:rsidRPr="00727110">
        <w:rPr>
          <w:lang w:val="fr-FR"/>
        </w:rPr>
        <w:t>de célébrer les mariages des garçons et des filles n’ayant pas encore atteint l’â</w:t>
      </w:r>
      <w:r>
        <w:rPr>
          <w:lang w:val="fr-FR"/>
        </w:rPr>
        <w:t xml:space="preserve">ge de 18 ans accomplis sans le </w:t>
      </w:r>
      <w:r w:rsidR="00727110" w:rsidRPr="00727110">
        <w:rPr>
          <w:lang w:val="fr-FR"/>
        </w:rPr>
        <w:t>consentement de leurs parents. L’officier qui viole les dis</w:t>
      </w:r>
      <w:r>
        <w:rPr>
          <w:lang w:val="fr-FR"/>
        </w:rPr>
        <w:t xml:space="preserve">positions de cette loi encourt </w:t>
      </w:r>
      <w:r w:rsidR="00727110" w:rsidRPr="00727110">
        <w:rPr>
          <w:lang w:val="fr-FR"/>
        </w:rPr>
        <w:t>une s</w:t>
      </w:r>
      <w:r>
        <w:rPr>
          <w:lang w:val="fr-FR"/>
        </w:rPr>
        <w:t xml:space="preserve">anction allant d’une amende à </w:t>
      </w:r>
      <w:r w:rsidR="00727110" w:rsidRPr="00727110">
        <w:rPr>
          <w:lang w:val="fr-FR"/>
        </w:rPr>
        <w:t>l’emprisonnement.</w:t>
      </w:r>
    </w:p>
    <w:p w:rsidR="00055EFF" w:rsidRDefault="00055EFF" w:rsidP="00055EFF">
      <w:pPr>
        <w:pStyle w:val="H23G"/>
        <w:rPr>
          <w:lang w:val="fr-FR"/>
        </w:rPr>
      </w:pPr>
      <w:r>
        <w:rPr>
          <w:lang w:val="fr-FR"/>
        </w:rPr>
        <w:tab/>
      </w:r>
      <w:r>
        <w:rPr>
          <w:lang w:val="fr-FR"/>
        </w:rPr>
        <w:tab/>
      </w:r>
      <w:r w:rsidR="00727110" w:rsidRPr="00727110">
        <w:rPr>
          <w:lang w:val="fr-FR"/>
        </w:rPr>
        <w:t>Recommandations 117.31 (Allemagne)</w:t>
      </w:r>
      <w:r w:rsidR="004C14F7">
        <w:rPr>
          <w:lang w:val="fr-FR"/>
        </w:rPr>
        <w:t>:</w:t>
      </w:r>
      <w:r w:rsidR="00727110" w:rsidRPr="00727110">
        <w:rPr>
          <w:lang w:val="fr-FR"/>
        </w:rPr>
        <w:t xml:space="preserve"> </w:t>
      </w:r>
      <w:r w:rsidR="004C14F7">
        <w:rPr>
          <w:lang w:val="fr-FR"/>
        </w:rPr>
        <w:t>M</w:t>
      </w:r>
      <w:r w:rsidR="00727110" w:rsidRPr="00727110">
        <w:rPr>
          <w:lang w:val="fr-FR"/>
        </w:rPr>
        <w:t>ettre un terme à toutes les expulsions forcées des camps de déplacés et établir un moratoire officiel sur les expulsions massives jusqu’à ce que toutes les garanties juridiques et procédurales conformes aux normes internationales relatives aux droits humains soient en place</w:t>
      </w:r>
    </w:p>
    <w:p w:rsidR="00727110" w:rsidRPr="00727110" w:rsidRDefault="00055EFF" w:rsidP="00055EFF">
      <w:pPr>
        <w:pStyle w:val="SingleTxtG"/>
        <w:rPr>
          <w:lang w:val="fr-CH"/>
        </w:rPr>
      </w:pPr>
      <w:r>
        <w:rPr>
          <w:lang w:val="fr-FR"/>
        </w:rPr>
        <w:t>18.</w:t>
      </w:r>
      <w:r>
        <w:rPr>
          <w:lang w:val="fr-FR"/>
        </w:rPr>
        <w:tab/>
      </w:r>
      <w:r w:rsidR="00727110" w:rsidRPr="00727110">
        <w:rPr>
          <w:lang w:val="fr-FR"/>
        </w:rPr>
        <w:t>Le gouvernement n’encourage et ne pratique pas les expulsions massives. A titre préventif, des circulaires administratives ont été émises à l’endroit des Commissaires du Gouvernement pour empêcher l’exécution des décisions judiciaires r</w:t>
      </w:r>
      <w:r>
        <w:rPr>
          <w:lang w:val="fr-FR"/>
        </w:rPr>
        <w:t>elatives aux expulsions forcées.</w:t>
      </w:r>
    </w:p>
    <w:p w:rsidR="00727110" w:rsidRPr="00727110" w:rsidRDefault="00055EFF" w:rsidP="00055EFF">
      <w:pPr>
        <w:pStyle w:val="H23G"/>
        <w:rPr>
          <w:lang w:val="fr-CH"/>
        </w:rPr>
      </w:pPr>
      <w:r>
        <w:rPr>
          <w:lang w:val="fr-FR"/>
        </w:rPr>
        <w:tab/>
      </w:r>
      <w:r>
        <w:rPr>
          <w:lang w:val="fr-FR"/>
        </w:rPr>
        <w:tab/>
      </w:r>
      <w:r w:rsidR="00727110" w:rsidRPr="00727110">
        <w:rPr>
          <w:lang w:val="fr-FR"/>
        </w:rPr>
        <w:t>Recommandation 117.33 (Suisse)</w:t>
      </w:r>
      <w:r w:rsidR="00A71659">
        <w:rPr>
          <w:lang w:val="fr-FR"/>
        </w:rPr>
        <w:t>:</w:t>
      </w:r>
      <w:r w:rsidR="00727110" w:rsidRPr="00727110">
        <w:rPr>
          <w:lang w:val="fr-FR"/>
        </w:rPr>
        <w:t xml:space="preserve"> </w:t>
      </w:r>
      <w:r w:rsidR="00A71659">
        <w:rPr>
          <w:lang w:val="fr-FR"/>
        </w:rPr>
        <w:t>M</w:t>
      </w:r>
      <w:r w:rsidR="00727110" w:rsidRPr="00727110">
        <w:rPr>
          <w:lang w:val="fr-FR"/>
        </w:rPr>
        <w:t>ettre en œuvre des politiques visant à garantir les droits des personnes déplacées</w:t>
      </w:r>
      <w:r w:rsidR="007D5ABA">
        <w:rPr>
          <w:lang w:val="fr-FR"/>
        </w:rPr>
        <w:t>,</w:t>
      </w:r>
      <w:r w:rsidR="00727110" w:rsidRPr="00727110">
        <w:rPr>
          <w:lang w:val="fr-FR"/>
        </w:rPr>
        <w:t xml:space="preserve"> en particulier à la suite de catastrophes naturelles, ainsi que des personnes expulsées d’un pays </w:t>
      </w:r>
      <w:r>
        <w:rPr>
          <w:lang w:val="fr-FR"/>
        </w:rPr>
        <w:t>tiers risquant d’être apatrides</w:t>
      </w:r>
    </w:p>
    <w:p w:rsidR="00727110" w:rsidRPr="00727110" w:rsidRDefault="00055EFF" w:rsidP="00055EFF">
      <w:pPr>
        <w:pStyle w:val="SingleTxtG"/>
        <w:rPr>
          <w:lang w:val="fr-CH"/>
        </w:rPr>
      </w:pPr>
      <w:r>
        <w:rPr>
          <w:lang w:val="fr-FR"/>
        </w:rPr>
        <w:t>19.</w:t>
      </w:r>
      <w:r>
        <w:rPr>
          <w:lang w:val="fr-FR"/>
        </w:rPr>
        <w:tab/>
      </w:r>
      <w:r w:rsidR="00727110" w:rsidRPr="00727110">
        <w:rPr>
          <w:lang w:val="fr-FR"/>
        </w:rPr>
        <w:t xml:space="preserve">Le gouvernement a toujours pris des mesures en </w:t>
      </w:r>
      <w:r>
        <w:rPr>
          <w:lang w:val="fr-FR"/>
        </w:rPr>
        <w:t xml:space="preserve">vue de garantir les droits des </w:t>
      </w:r>
      <w:r w:rsidR="00727110" w:rsidRPr="00727110">
        <w:rPr>
          <w:lang w:val="fr-FR"/>
        </w:rPr>
        <w:t>personnes déplacées en cas de catastrophes naturelles.</w:t>
      </w:r>
      <w:r>
        <w:rPr>
          <w:lang w:val="fr-FR"/>
        </w:rPr>
        <w:t xml:space="preserve"> Cependant, en ce qui concerne </w:t>
      </w:r>
      <w:r w:rsidR="00727110" w:rsidRPr="00727110">
        <w:rPr>
          <w:lang w:val="fr-FR"/>
        </w:rPr>
        <w:t>les personnes expulsées d’un pays tiers, le gouvern</w:t>
      </w:r>
      <w:r>
        <w:rPr>
          <w:lang w:val="fr-FR"/>
        </w:rPr>
        <w:t>ement ne peut, pour le moment,</w:t>
      </w:r>
      <w:r w:rsidR="00727110" w:rsidRPr="00727110">
        <w:rPr>
          <w:lang w:val="fr-FR"/>
        </w:rPr>
        <w:t xml:space="preserve"> garantir leur droit en raison du surpeuplement du</w:t>
      </w:r>
      <w:r>
        <w:rPr>
          <w:lang w:val="fr-FR"/>
        </w:rPr>
        <w:t xml:space="preserve"> pays et des difficultés socio-</w:t>
      </w:r>
      <w:r w:rsidR="00727110" w:rsidRPr="00727110">
        <w:rPr>
          <w:lang w:val="fr-FR"/>
        </w:rPr>
        <w:t>économiques conjoncturelles auxquelles il fait face.</w:t>
      </w:r>
    </w:p>
    <w:p w:rsidR="00727110" w:rsidRPr="00727110" w:rsidRDefault="00055EFF" w:rsidP="00055EFF">
      <w:pPr>
        <w:pStyle w:val="H23G"/>
        <w:rPr>
          <w:lang w:val="fr-CH"/>
        </w:rPr>
      </w:pPr>
      <w:r>
        <w:rPr>
          <w:lang w:val="fr-FR"/>
        </w:rPr>
        <w:tab/>
      </w:r>
      <w:r>
        <w:rPr>
          <w:lang w:val="fr-FR"/>
        </w:rPr>
        <w:tab/>
      </w:r>
      <w:r w:rsidR="00727110" w:rsidRPr="00727110">
        <w:rPr>
          <w:lang w:val="fr-FR"/>
        </w:rPr>
        <w:t>La délégation haïtienne avait annoncé qu’elle reportait 5 des 213 recommandations afin de pouvoir les analyser avant de prendre une décision. Ce qui a été fait, au cours de l’atelier du 20 décembre 2016 réunissant la société civile et les membres du Secrétariat technique du CIDP. Il a été donc décidé d’accepter les recommandations 116.1, 116.2, 116</w:t>
      </w:r>
      <w:r w:rsidR="009D484B">
        <w:rPr>
          <w:lang w:val="fr-FR"/>
        </w:rPr>
        <w:t>.</w:t>
      </w:r>
      <w:r w:rsidR="00727110" w:rsidRPr="00727110">
        <w:rPr>
          <w:lang w:val="fr-FR"/>
        </w:rPr>
        <w:t>5 (Uruguay) et de noter les deux autres, à savoir: 116.3, 116.4</w:t>
      </w:r>
    </w:p>
    <w:p w:rsidR="00055EFF" w:rsidRDefault="00055EFF" w:rsidP="00055EFF">
      <w:pPr>
        <w:pStyle w:val="H23G"/>
        <w:rPr>
          <w:lang w:val="fr-FR"/>
        </w:rPr>
      </w:pPr>
      <w:r>
        <w:rPr>
          <w:lang w:val="fr-FR"/>
        </w:rPr>
        <w:tab/>
      </w:r>
      <w:r>
        <w:rPr>
          <w:lang w:val="fr-FR"/>
        </w:rPr>
        <w:tab/>
        <w:t>Recommandations 116</w:t>
      </w:r>
      <w:r w:rsidR="00273A0F">
        <w:rPr>
          <w:lang w:val="fr-FR"/>
        </w:rPr>
        <w:t>.</w:t>
      </w:r>
      <w:r>
        <w:rPr>
          <w:lang w:val="fr-FR"/>
        </w:rPr>
        <w:t>1 et 116</w:t>
      </w:r>
      <w:r w:rsidR="00273A0F">
        <w:rPr>
          <w:lang w:val="fr-FR"/>
        </w:rPr>
        <w:t>.</w:t>
      </w:r>
      <w:r>
        <w:rPr>
          <w:lang w:val="fr-FR"/>
        </w:rPr>
        <w:t xml:space="preserve">2 </w:t>
      </w:r>
      <w:r w:rsidR="00727110" w:rsidRPr="00727110">
        <w:rPr>
          <w:lang w:val="fr-FR"/>
        </w:rPr>
        <w:t>relatives à la ratification de la</w:t>
      </w:r>
      <w:r>
        <w:rPr>
          <w:lang w:val="fr-FR"/>
        </w:rPr>
        <w:t xml:space="preserve"> </w:t>
      </w:r>
      <w:r w:rsidR="00727110" w:rsidRPr="00727110">
        <w:rPr>
          <w:lang w:val="fr-HT"/>
        </w:rPr>
        <w:t>Convention internationale pour la protection de toutes les personnes contre les disparitions forcées (ICPPED)</w:t>
      </w:r>
      <w:r>
        <w:rPr>
          <w:lang w:val="fr-HT"/>
        </w:rPr>
        <w:t xml:space="preserve"> </w:t>
      </w:r>
      <w:r>
        <w:rPr>
          <w:lang w:val="fr-FR"/>
        </w:rPr>
        <w:t>(Uruguay et Japon)</w:t>
      </w:r>
    </w:p>
    <w:p w:rsidR="00727110" w:rsidRPr="00727110" w:rsidRDefault="00055EFF" w:rsidP="00055EFF">
      <w:pPr>
        <w:pStyle w:val="SingleTxtG"/>
        <w:rPr>
          <w:lang w:val="fr-CH"/>
        </w:rPr>
      </w:pPr>
      <w:r>
        <w:rPr>
          <w:lang w:val="fr-FR"/>
        </w:rPr>
        <w:t>20.</w:t>
      </w:r>
      <w:r>
        <w:rPr>
          <w:lang w:val="fr-FR"/>
        </w:rPr>
        <w:tab/>
      </w:r>
      <w:r w:rsidR="00727110" w:rsidRPr="00727110">
        <w:rPr>
          <w:lang w:val="fr-FR"/>
        </w:rPr>
        <w:t>Après consultation de la société civile, ces recommandations ont été acceptées et reclassées.</w:t>
      </w:r>
    </w:p>
    <w:p w:rsidR="00727110" w:rsidRPr="00727110" w:rsidRDefault="00055EFF" w:rsidP="00055EFF">
      <w:pPr>
        <w:pStyle w:val="H23G"/>
        <w:rPr>
          <w:lang w:val="fr-CH"/>
        </w:rPr>
      </w:pPr>
      <w:r>
        <w:rPr>
          <w:lang w:val="fr-FR"/>
        </w:rPr>
        <w:tab/>
      </w:r>
      <w:r>
        <w:rPr>
          <w:lang w:val="fr-FR"/>
        </w:rPr>
        <w:tab/>
      </w:r>
      <w:r w:rsidR="00727110" w:rsidRPr="00727110">
        <w:rPr>
          <w:lang w:val="fr-FR"/>
        </w:rPr>
        <w:t>Recommandation 116.3 (Tch</w:t>
      </w:r>
      <w:r w:rsidR="007D3AB4">
        <w:rPr>
          <w:lang w:val="fr-FR"/>
        </w:rPr>
        <w:t>é</w:t>
      </w:r>
      <w:r w:rsidR="00727110" w:rsidRPr="00727110">
        <w:rPr>
          <w:lang w:val="fr-FR"/>
        </w:rPr>
        <w:t>qu</w:t>
      </w:r>
      <w:r w:rsidR="007D3AB4">
        <w:rPr>
          <w:lang w:val="fr-FR"/>
        </w:rPr>
        <w:t>i</w:t>
      </w:r>
      <w:r w:rsidR="00727110" w:rsidRPr="00727110">
        <w:rPr>
          <w:lang w:val="fr-FR"/>
        </w:rPr>
        <w:t>e): Renforcer les efforts visant à traiter systématiquement l’exploitation et la violence à l’encontre des enfants, notamment en introduisant et en</w:t>
      </w:r>
      <w:r w:rsidR="00B75A6D">
        <w:rPr>
          <w:lang w:val="fr-FR"/>
        </w:rPr>
        <w:t xml:space="preserve"> </w:t>
      </w:r>
      <w:r w:rsidR="00727110" w:rsidRPr="00727110">
        <w:rPr>
          <w:lang w:val="fr-FR"/>
        </w:rPr>
        <w:t>mettant effectivement en œuvre une législation criminalisant la pratique consistant à placer les enfants des familles pauvres dans les services domestiques</w:t>
      </w:r>
    </w:p>
    <w:p w:rsidR="00727110" w:rsidRPr="00727110" w:rsidRDefault="00055EFF" w:rsidP="00055EFF">
      <w:pPr>
        <w:pStyle w:val="SingleTxtG"/>
        <w:rPr>
          <w:lang w:val="fr-CH"/>
        </w:rPr>
      </w:pPr>
      <w:r>
        <w:rPr>
          <w:lang w:val="fr-FR"/>
        </w:rPr>
        <w:t>21.</w:t>
      </w:r>
      <w:r>
        <w:rPr>
          <w:lang w:val="fr-FR"/>
        </w:rPr>
        <w:tab/>
      </w:r>
      <w:r w:rsidR="00727110" w:rsidRPr="00727110">
        <w:rPr>
          <w:lang w:val="fr-FR"/>
        </w:rPr>
        <w:t>Un des traits de la culture haïtienne, c’est la solidarit</w:t>
      </w:r>
      <w:r>
        <w:rPr>
          <w:lang w:val="fr-FR"/>
        </w:rPr>
        <w:t xml:space="preserve">é. Pour palier aux difficultés </w:t>
      </w:r>
      <w:r w:rsidR="00727110" w:rsidRPr="00727110">
        <w:rPr>
          <w:lang w:val="fr-FR"/>
        </w:rPr>
        <w:t>économiques endémiques, des familles haïtiennes acc</w:t>
      </w:r>
      <w:r>
        <w:rPr>
          <w:lang w:val="fr-FR"/>
        </w:rPr>
        <w:t xml:space="preserve">ueillent des enfants démunis, </w:t>
      </w:r>
      <w:r w:rsidR="00727110" w:rsidRPr="00727110">
        <w:rPr>
          <w:lang w:val="fr-FR"/>
        </w:rPr>
        <w:t>avec des liens de parenté ou pas, afin d’améliorer l</w:t>
      </w:r>
      <w:r>
        <w:rPr>
          <w:lang w:val="fr-FR"/>
        </w:rPr>
        <w:t xml:space="preserve">eur quotidien. Conscient de la </w:t>
      </w:r>
      <w:r w:rsidR="00727110" w:rsidRPr="00727110">
        <w:rPr>
          <w:lang w:val="fr-FR"/>
        </w:rPr>
        <w:t>situation, l’État haïtien vient en aide aux familles d</w:t>
      </w:r>
      <w:r>
        <w:rPr>
          <w:lang w:val="fr-FR"/>
        </w:rPr>
        <w:t xml:space="preserve">éshéritées grâce à des projets </w:t>
      </w:r>
      <w:r w:rsidR="00727110" w:rsidRPr="00727110">
        <w:rPr>
          <w:lang w:val="fr-FR"/>
        </w:rPr>
        <w:t>sociaux, car il est dans l’intérêt supérieur des enfant</w:t>
      </w:r>
      <w:r>
        <w:rPr>
          <w:lang w:val="fr-FR"/>
        </w:rPr>
        <w:t xml:space="preserve">s de grandir dans leur famille </w:t>
      </w:r>
      <w:r w:rsidR="00727110" w:rsidRPr="00727110">
        <w:rPr>
          <w:lang w:val="fr-FR"/>
        </w:rPr>
        <w:t>biologique.</w:t>
      </w:r>
    </w:p>
    <w:p w:rsidR="00727110" w:rsidRPr="00727110" w:rsidRDefault="00055EFF" w:rsidP="00055EFF">
      <w:pPr>
        <w:pStyle w:val="SingleTxtG"/>
        <w:rPr>
          <w:lang w:val="fr-CH"/>
        </w:rPr>
      </w:pPr>
      <w:r>
        <w:rPr>
          <w:lang w:val="fr-FR"/>
        </w:rPr>
        <w:t>22.</w:t>
      </w:r>
      <w:r>
        <w:rPr>
          <w:lang w:val="fr-FR"/>
        </w:rPr>
        <w:tab/>
      </w:r>
      <w:r w:rsidR="00727110" w:rsidRPr="00727110">
        <w:rPr>
          <w:lang w:val="fr-FR"/>
        </w:rPr>
        <w:t>En ce sens, le Ministère des Affaires Sociales e</w:t>
      </w:r>
      <w:r>
        <w:rPr>
          <w:lang w:val="fr-FR"/>
        </w:rPr>
        <w:t xml:space="preserve">t du Travail (MAST), à travers </w:t>
      </w:r>
      <w:r w:rsidR="00727110" w:rsidRPr="00727110">
        <w:rPr>
          <w:lang w:val="fr-FR"/>
        </w:rPr>
        <w:t>l’Institut du Bien-être Social et de Recherches (IBESR), met à la di</w:t>
      </w:r>
      <w:r>
        <w:rPr>
          <w:lang w:val="fr-FR"/>
        </w:rPr>
        <w:t xml:space="preserve">sposition de la population un </w:t>
      </w:r>
      <w:r w:rsidR="00727110" w:rsidRPr="00727110">
        <w:rPr>
          <w:lang w:val="fr-FR"/>
        </w:rPr>
        <w:t xml:space="preserve">centre d’appel d’urgence gratuit à partir </w:t>
      </w:r>
      <w:r>
        <w:rPr>
          <w:lang w:val="fr-FR"/>
        </w:rPr>
        <w:t xml:space="preserve">des numéros 133 et 511 pour le </w:t>
      </w:r>
      <w:r w:rsidR="00727110" w:rsidRPr="00727110">
        <w:rPr>
          <w:lang w:val="fr-FR"/>
        </w:rPr>
        <w:t>sig</w:t>
      </w:r>
      <w:r>
        <w:rPr>
          <w:lang w:val="fr-FR"/>
        </w:rPr>
        <w:t xml:space="preserve">nalement </w:t>
      </w:r>
      <w:r w:rsidR="00727110" w:rsidRPr="00727110">
        <w:rPr>
          <w:lang w:val="fr-FR"/>
        </w:rPr>
        <w:t>des cas de maltraitance, de négligences et de trafic d’enfants.</w:t>
      </w:r>
    </w:p>
    <w:p w:rsidR="00727110" w:rsidRPr="00727110" w:rsidRDefault="00055EFF" w:rsidP="00055EFF">
      <w:pPr>
        <w:pStyle w:val="SingleTxtG"/>
        <w:rPr>
          <w:lang w:val="fr-CH"/>
        </w:rPr>
      </w:pPr>
      <w:r>
        <w:rPr>
          <w:lang w:val="fr-FR"/>
        </w:rPr>
        <w:t>23.</w:t>
      </w:r>
      <w:r>
        <w:rPr>
          <w:lang w:val="fr-FR"/>
        </w:rPr>
        <w:tab/>
      </w:r>
      <w:r w:rsidR="00727110" w:rsidRPr="00727110">
        <w:rPr>
          <w:lang w:val="fr-FR"/>
        </w:rPr>
        <w:t>Toutefois, l’État haïtien identifie des cas de maltraitanc</w:t>
      </w:r>
      <w:r>
        <w:rPr>
          <w:lang w:val="fr-FR"/>
        </w:rPr>
        <w:t xml:space="preserve">e qu’on ne saurait pour autant </w:t>
      </w:r>
      <w:r w:rsidR="00727110" w:rsidRPr="00727110">
        <w:rPr>
          <w:lang w:val="fr-FR"/>
        </w:rPr>
        <w:t>qualifier de crime. En effet, criminaliser la domesticité infantile pourrait entraîner un</w:t>
      </w:r>
      <w:r>
        <w:rPr>
          <w:lang w:val="fr-FR"/>
        </w:rPr>
        <w:t xml:space="preserve">e </w:t>
      </w:r>
      <w:r w:rsidR="00727110" w:rsidRPr="00727110">
        <w:rPr>
          <w:lang w:val="fr-FR"/>
        </w:rPr>
        <w:t>augmentation du nombre d’enfants dans les rues, s’ils</w:t>
      </w:r>
      <w:r>
        <w:rPr>
          <w:lang w:val="fr-FR"/>
        </w:rPr>
        <w:t xml:space="preserve"> ne trouvent pas de structure </w:t>
      </w:r>
      <w:r w:rsidR="00727110" w:rsidRPr="00727110">
        <w:rPr>
          <w:lang w:val="fr-FR"/>
        </w:rPr>
        <w:t>disposée à les accueillir. Souvent, grâce à la bienve</w:t>
      </w:r>
      <w:r>
        <w:rPr>
          <w:lang w:val="fr-FR"/>
        </w:rPr>
        <w:t xml:space="preserve">illance de certaines familles, </w:t>
      </w:r>
      <w:r w:rsidR="00727110" w:rsidRPr="00727110">
        <w:rPr>
          <w:lang w:val="fr-FR"/>
        </w:rPr>
        <w:t>beaucoup d’enfants s’épanouissent et deviennent utiles aux membres de leur famill</w:t>
      </w:r>
      <w:r>
        <w:rPr>
          <w:lang w:val="fr-FR"/>
        </w:rPr>
        <w:t xml:space="preserve">e </w:t>
      </w:r>
      <w:r w:rsidR="00727110" w:rsidRPr="00727110">
        <w:rPr>
          <w:lang w:val="fr-FR"/>
        </w:rPr>
        <w:t>biologique.</w:t>
      </w:r>
    </w:p>
    <w:p w:rsidR="00727110" w:rsidRPr="00727110" w:rsidRDefault="00055EFF" w:rsidP="00055EFF">
      <w:pPr>
        <w:pStyle w:val="H23G"/>
        <w:rPr>
          <w:lang w:val="fr-CH"/>
        </w:rPr>
      </w:pPr>
      <w:r>
        <w:rPr>
          <w:lang w:val="fr-FR"/>
        </w:rPr>
        <w:tab/>
      </w:r>
      <w:r>
        <w:rPr>
          <w:lang w:val="fr-FR"/>
        </w:rPr>
        <w:tab/>
      </w:r>
      <w:r w:rsidR="00727110" w:rsidRPr="00727110">
        <w:rPr>
          <w:lang w:val="fr-FR"/>
        </w:rPr>
        <w:t>Recommandation 116.4 (Congo): Accélérer la procédure d’adoption de la loi contre le taux élevé de grossesse chez les adolescentes</w:t>
      </w:r>
    </w:p>
    <w:p w:rsidR="00727110" w:rsidRPr="00727110" w:rsidRDefault="00055EFF" w:rsidP="00055EFF">
      <w:pPr>
        <w:pStyle w:val="SingleTxtG"/>
        <w:rPr>
          <w:lang w:val="fr-CH"/>
        </w:rPr>
      </w:pPr>
      <w:r>
        <w:rPr>
          <w:lang w:val="fr-FR"/>
        </w:rPr>
        <w:t>24.</w:t>
      </w:r>
      <w:r>
        <w:rPr>
          <w:lang w:val="fr-FR"/>
        </w:rPr>
        <w:tab/>
      </w:r>
      <w:r w:rsidR="00727110" w:rsidRPr="00727110">
        <w:rPr>
          <w:lang w:val="fr-FR"/>
        </w:rPr>
        <w:t>Depuis 2014, il existe une loi sur la paternité, maternité et filiation qui traite de la responsabilité parentale et la non-discrimination entre les enfants. Cette loi concerne tant les femmes que les adolescentes. Le taux élevé de g</w:t>
      </w:r>
      <w:r>
        <w:rPr>
          <w:lang w:val="fr-FR"/>
        </w:rPr>
        <w:t xml:space="preserve">rossesse chez les adolescentes </w:t>
      </w:r>
      <w:r w:rsidR="00727110" w:rsidRPr="00727110">
        <w:rPr>
          <w:lang w:val="fr-FR"/>
        </w:rPr>
        <w:t>ne saurait être diminué par l’adoption d’une simple loi. Cette lutte passe</w:t>
      </w:r>
      <w:r w:rsidR="004E532B">
        <w:rPr>
          <w:lang w:val="fr-FR"/>
        </w:rPr>
        <w:t xml:space="preserve"> </w:t>
      </w:r>
      <w:r w:rsidR="00727110" w:rsidRPr="00727110">
        <w:rPr>
          <w:lang w:val="fr-FR"/>
        </w:rPr>
        <w:t>inéluctablement par des campagnes de sensibilisation tant auprès des parents que des adolescents et adolescentes. Ainsi, il serait plus adapté de ré</w:t>
      </w:r>
      <w:r>
        <w:rPr>
          <w:lang w:val="fr-FR"/>
        </w:rPr>
        <w:t xml:space="preserve">viser la loi sur la paternité, </w:t>
      </w:r>
      <w:r w:rsidR="00727110" w:rsidRPr="00727110">
        <w:rPr>
          <w:lang w:val="fr-FR"/>
        </w:rPr>
        <w:t>maternité et filiation en vue de la renforcer pour mieux l’adapter à la réalité.</w:t>
      </w:r>
    </w:p>
    <w:p w:rsidR="00727110" w:rsidRPr="00727110" w:rsidRDefault="00055EFF" w:rsidP="00055EFF">
      <w:pPr>
        <w:pStyle w:val="H23G"/>
        <w:rPr>
          <w:lang w:val="fr-CH"/>
        </w:rPr>
      </w:pPr>
      <w:r>
        <w:rPr>
          <w:lang w:val="fr-FR"/>
        </w:rPr>
        <w:tab/>
      </w:r>
      <w:r>
        <w:rPr>
          <w:lang w:val="fr-FR"/>
        </w:rPr>
        <w:tab/>
      </w:r>
      <w:r w:rsidR="00727110" w:rsidRPr="00727110">
        <w:rPr>
          <w:lang w:val="fr-FR"/>
        </w:rPr>
        <w:t>Recommandation 116.5 (Uruguay): Mettre à jour l</w:t>
      </w:r>
      <w:r>
        <w:rPr>
          <w:lang w:val="fr-FR"/>
        </w:rPr>
        <w:t xml:space="preserve">e Protocole d’entente avec la </w:t>
      </w:r>
      <w:r w:rsidR="00727110" w:rsidRPr="00727110">
        <w:rPr>
          <w:lang w:val="fr-FR"/>
        </w:rPr>
        <w:t>République dominicaine relatif aux mécanisme</w:t>
      </w:r>
      <w:r>
        <w:rPr>
          <w:lang w:val="fr-FR"/>
        </w:rPr>
        <w:t xml:space="preserve">s de rapatriement conformément </w:t>
      </w:r>
      <w:r w:rsidR="00727110" w:rsidRPr="00727110">
        <w:rPr>
          <w:lang w:val="fr-FR"/>
        </w:rPr>
        <w:t>aux normes internatio</w:t>
      </w:r>
      <w:r>
        <w:rPr>
          <w:lang w:val="fr-FR"/>
        </w:rPr>
        <w:t>nales (recommandation acceptée)</w:t>
      </w:r>
    </w:p>
    <w:p w:rsidR="00727110" w:rsidRPr="00727110" w:rsidRDefault="00055EFF" w:rsidP="00055EFF">
      <w:pPr>
        <w:pStyle w:val="SingleTxtG"/>
        <w:rPr>
          <w:lang w:val="fr-CH"/>
        </w:rPr>
      </w:pPr>
      <w:r>
        <w:rPr>
          <w:lang w:val="fr-FR"/>
        </w:rPr>
        <w:t>25.</w:t>
      </w:r>
      <w:r>
        <w:rPr>
          <w:lang w:val="fr-FR"/>
        </w:rPr>
        <w:tab/>
      </w:r>
      <w:r w:rsidR="00727110" w:rsidRPr="00727110">
        <w:rPr>
          <w:lang w:val="fr-FR"/>
        </w:rPr>
        <w:t>Cette recommandation rejoint les préoccupa</w:t>
      </w:r>
      <w:r>
        <w:rPr>
          <w:lang w:val="fr-FR"/>
        </w:rPr>
        <w:t>tions du gouvernement haïtien.</w:t>
      </w:r>
    </w:p>
    <w:p w:rsidR="00727110" w:rsidRPr="00727110" w:rsidRDefault="00055EFF" w:rsidP="00055EFF">
      <w:pPr>
        <w:pStyle w:val="SingleTxtG"/>
        <w:rPr>
          <w:lang w:val="fr-CH"/>
        </w:rPr>
      </w:pPr>
      <w:r>
        <w:rPr>
          <w:lang w:val="fr-FR"/>
        </w:rPr>
        <w:t>26.</w:t>
      </w:r>
      <w:r>
        <w:rPr>
          <w:lang w:val="fr-FR"/>
        </w:rPr>
        <w:tab/>
      </w:r>
      <w:r w:rsidR="00727110" w:rsidRPr="00727110">
        <w:rPr>
          <w:lang w:val="fr-FR"/>
        </w:rPr>
        <w:t>En effet, Haïti a déjà demandé la révision de ce protocole depuis plusieurs années. Mais la République domi</w:t>
      </w:r>
      <w:r>
        <w:rPr>
          <w:lang w:val="fr-FR"/>
        </w:rPr>
        <w:t>nicaine n’a jamais donné suite.</w:t>
      </w:r>
    </w:p>
    <w:p w:rsidR="00727110" w:rsidRPr="00727110" w:rsidRDefault="00055EFF" w:rsidP="00055EFF">
      <w:pPr>
        <w:pStyle w:val="SingleTxtG"/>
        <w:rPr>
          <w:lang w:val="fr-CH"/>
        </w:rPr>
      </w:pPr>
      <w:r>
        <w:rPr>
          <w:lang w:val="fr-FR"/>
        </w:rPr>
        <w:t>27.</w:t>
      </w:r>
      <w:r>
        <w:rPr>
          <w:lang w:val="fr-FR"/>
        </w:rPr>
        <w:tab/>
      </w:r>
      <w:r w:rsidR="00727110" w:rsidRPr="00727110">
        <w:rPr>
          <w:lang w:val="fr-FR"/>
        </w:rPr>
        <w:t>Il faut signaler que le 30 mai 2015, le Chancelier haïtien d’alors avait remis</w:t>
      </w:r>
      <w:r>
        <w:rPr>
          <w:lang w:val="fr-FR"/>
        </w:rPr>
        <w:t xml:space="preserve"> un projet </w:t>
      </w:r>
      <w:r w:rsidR="00727110" w:rsidRPr="00727110">
        <w:rPr>
          <w:lang w:val="fr-FR"/>
        </w:rPr>
        <w:t>de protocole d'accord sur le mécanisme de rapatrieme</w:t>
      </w:r>
      <w:r>
        <w:rPr>
          <w:lang w:val="fr-FR"/>
        </w:rPr>
        <w:t xml:space="preserve">nt aux autorités dominicaines. </w:t>
      </w:r>
      <w:r w:rsidR="00727110" w:rsidRPr="00727110">
        <w:rPr>
          <w:lang w:val="fr-FR"/>
        </w:rPr>
        <w:t>Dans ce projet de protocole, le Chancelier haïtie</w:t>
      </w:r>
      <w:r>
        <w:rPr>
          <w:lang w:val="fr-FR"/>
        </w:rPr>
        <w:t xml:space="preserve">n avait reconnu le droit de la </w:t>
      </w:r>
      <w:r w:rsidR="00727110" w:rsidRPr="00727110">
        <w:rPr>
          <w:lang w:val="fr-FR"/>
        </w:rPr>
        <w:t xml:space="preserve">République </w:t>
      </w:r>
      <w:r w:rsidR="004E532B">
        <w:rPr>
          <w:lang w:val="fr-FR"/>
        </w:rPr>
        <w:t>d</w:t>
      </w:r>
      <w:r w:rsidR="00727110" w:rsidRPr="00727110">
        <w:rPr>
          <w:lang w:val="fr-FR"/>
        </w:rPr>
        <w:t>ominicaine à appliquer ses lois sur l'immigration et la responsabil</w:t>
      </w:r>
      <w:r>
        <w:rPr>
          <w:lang w:val="fr-FR"/>
        </w:rPr>
        <w:t xml:space="preserve">ité d'Haïti </w:t>
      </w:r>
      <w:r w:rsidR="00727110" w:rsidRPr="00727110">
        <w:rPr>
          <w:lang w:val="fr-FR"/>
        </w:rPr>
        <w:t xml:space="preserve">d'accueillir ses citoyens, mais tout cela devrait être </w:t>
      </w:r>
      <w:r>
        <w:rPr>
          <w:lang w:val="fr-FR"/>
        </w:rPr>
        <w:t>fait suivant les protocoles et le droit international.</w:t>
      </w:r>
    </w:p>
    <w:p w:rsidR="00055EFF" w:rsidRDefault="00055EFF" w:rsidP="00055EFF">
      <w:pPr>
        <w:pStyle w:val="HChG"/>
        <w:rPr>
          <w:lang w:val="fr-CH"/>
        </w:rPr>
      </w:pPr>
      <w:r>
        <w:rPr>
          <w:lang w:val="fr-CH"/>
        </w:rPr>
        <w:tab/>
      </w:r>
      <w:r>
        <w:rPr>
          <w:lang w:val="fr-CH"/>
        </w:rPr>
        <w:tab/>
        <w:t>Conclusion</w:t>
      </w:r>
    </w:p>
    <w:p w:rsidR="00727110" w:rsidRPr="00727110" w:rsidRDefault="00055EFF" w:rsidP="00055EFF">
      <w:pPr>
        <w:pStyle w:val="SingleTxtG"/>
        <w:rPr>
          <w:lang w:val="fr-CH"/>
        </w:rPr>
      </w:pPr>
      <w:r>
        <w:rPr>
          <w:lang w:val="fr-CH"/>
        </w:rPr>
        <w:t>28.</w:t>
      </w:r>
      <w:r>
        <w:rPr>
          <w:lang w:val="fr-CH"/>
        </w:rPr>
        <w:tab/>
      </w:r>
      <w:r w:rsidR="00727110" w:rsidRPr="00727110">
        <w:rPr>
          <w:lang w:val="fr-CH"/>
        </w:rPr>
        <w:t>Après l</w:t>
      </w:r>
      <w:r w:rsidR="009C52AF">
        <w:rPr>
          <w:lang w:val="fr-CH"/>
        </w:rPr>
        <w:t>a</w:t>
      </w:r>
      <w:r w:rsidR="00727110" w:rsidRPr="00727110">
        <w:rPr>
          <w:lang w:val="fr-CH"/>
        </w:rPr>
        <w:t xml:space="preserve"> consultation de la société civ</w:t>
      </w:r>
      <w:r>
        <w:rPr>
          <w:lang w:val="fr-CH"/>
        </w:rPr>
        <w:t>ile</w:t>
      </w:r>
      <w:r w:rsidR="009C52AF">
        <w:rPr>
          <w:lang w:val="fr-CH"/>
        </w:rPr>
        <w:t xml:space="preserve"> lors de l’atelier du</w:t>
      </w:r>
      <w:r>
        <w:rPr>
          <w:lang w:val="fr-CH"/>
        </w:rPr>
        <w:t xml:space="preserve"> 20 décembre 2016, </w:t>
      </w:r>
      <w:r w:rsidR="00727110" w:rsidRPr="00727110">
        <w:rPr>
          <w:lang w:val="fr-FR"/>
        </w:rPr>
        <w:t>le CIDP a décidé de reclasser</w:t>
      </w:r>
      <w:r>
        <w:rPr>
          <w:lang w:val="fr-FR"/>
        </w:rPr>
        <w:t xml:space="preserve"> les recommandations comme suit</w:t>
      </w:r>
      <w:r w:rsidR="00727110" w:rsidRPr="00727110">
        <w:rPr>
          <w:lang w:val="fr-FR"/>
        </w:rPr>
        <w:t>:</w:t>
      </w:r>
    </w:p>
    <w:p w:rsidR="00727110" w:rsidRPr="00727110" w:rsidRDefault="00055EFF" w:rsidP="00055EFF">
      <w:pPr>
        <w:pStyle w:val="SingleTxtG"/>
        <w:rPr>
          <w:lang w:val="fr-CH"/>
        </w:rPr>
      </w:pPr>
      <w:r>
        <w:rPr>
          <w:lang w:val="fr-FR"/>
        </w:rPr>
        <w:tab/>
        <w:t>(a)</w:t>
      </w:r>
      <w:r>
        <w:rPr>
          <w:lang w:val="fr-FR"/>
        </w:rPr>
        <w:tab/>
      </w:r>
      <w:r w:rsidR="00727110" w:rsidRPr="00727110">
        <w:rPr>
          <w:lang w:val="fr-FR"/>
        </w:rPr>
        <w:t>Recommandations acceptées</w:t>
      </w:r>
    </w:p>
    <w:p w:rsidR="00727110" w:rsidRPr="00727110" w:rsidRDefault="00727110" w:rsidP="00CB6BCB">
      <w:pPr>
        <w:pStyle w:val="Bullet2G"/>
        <w:rPr>
          <w:lang w:val="fr-CH"/>
        </w:rPr>
      </w:pPr>
      <w:r w:rsidRPr="00727110">
        <w:rPr>
          <w:lang w:val="fr-FR"/>
        </w:rPr>
        <w:t>Trois des recommandations reportées ont été acceptées. Il s’agit des recommandations 116.1, 116.2, 116.5 formulées par l’Uruguay et le Japon, à savoir,</w:t>
      </w:r>
      <w:r w:rsidR="00055EFF">
        <w:rPr>
          <w:lang w:val="fr-FR"/>
        </w:rPr>
        <w:t xml:space="preserve"> </w:t>
      </w:r>
      <w:r w:rsidR="00CB6BCB">
        <w:rPr>
          <w:b/>
          <w:bCs/>
          <w:lang w:val="fr-FR"/>
        </w:rPr>
        <w:t xml:space="preserve">la ratification de la </w:t>
      </w:r>
      <w:r w:rsidRPr="00727110">
        <w:rPr>
          <w:b/>
          <w:bCs/>
          <w:lang w:val="fr-HT"/>
        </w:rPr>
        <w:t>Convention internationale pour la protection de toutes les personnes contre les disparitions forcées (ICPPED)</w:t>
      </w:r>
      <w:r w:rsidR="00055EFF">
        <w:rPr>
          <w:b/>
          <w:bCs/>
          <w:lang w:val="fr-FR"/>
        </w:rPr>
        <w:t xml:space="preserve"> (Uruguay et Japon) et la mise </w:t>
      </w:r>
      <w:r w:rsidRPr="00727110">
        <w:rPr>
          <w:lang w:val="fr-FR"/>
        </w:rPr>
        <w:t>à jour du Protocole d’entente avec la République dominicaine relatif aux mécanismes de rapatriement conformément aux normes inte</w:t>
      </w:r>
      <w:r w:rsidR="00055EFF">
        <w:rPr>
          <w:lang w:val="fr-FR"/>
        </w:rPr>
        <w:t xml:space="preserve">rnationales </w:t>
      </w:r>
      <w:r w:rsidRPr="00727110">
        <w:rPr>
          <w:lang w:val="fr-FR"/>
        </w:rPr>
        <w:t>(Uruguay).</w:t>
      </w:r>
    </w:p>
    <w:p w:rsidR="00727110" w:rsidRPr="00727110" w:rsidRDefault="00055EFF" w:rsidP="00CB6BCB">
      <w:pPr>
        <w:pStyle w:val="Bullet2G"/>
        <w:rPr>
          <w:lang w:val="fr-CH"/>
        </w:rPr>
      </w:pPr>
      <w:r>
        <w:rPr>
          <w:lang w:val="fr-FR"/>
        </w:rPr>
        <w:t xml:space="preserve">Deux </w:t>
      </w:r>
      <w:r w:rsidR="00727110" w:rsidRPr="00727110">
        <w:rPr>
          <w:lang w:val="fr-FR"/>
        </w:rPr>
        <w:t>des recommandations reportées ont été notées. Il s’agit de</w:t>
      </w:r>
      <w:r>
        <w:rPr>
          <w:lang w:val="fr-FR"/>
        </w:rPr>
        <w:t>s recommandations 116.3, 116.4.</w:t>
      </w:r>
    </w:p>
    <w:p w:rsidR="00727110" w:rsidRPr="00727110" w:rsidRDefault="00055EFF" w:rsidP="00055EFF">
      <w:pPr>
        <w:pStyle w:val="SingleTxtG"/>
        <w:rPr>
          <w:lang w:val="fr-CH"/>
        </w:rPr>
      </w:pPr>
      <w:r>
        <w:rPr>
          <w:lang w:val="fr-FR"/>
        </w:rPr>
        <w:tab/>
        <w:t>(b)</w:t>
      </w:r>
      <w:r>
        <w:rPr>
          <w:lang w:val="fr-FR"/>
        </w:rPr>
        <w:tab/>
      </w:r>
      <w:r w:rsidR="00727110" w:rsidRPr="00727110">
        <w:rPr>
          <w:lang w:val="fr-FR"/>
        </w:rPr>
        <w:t>Recommandations notées</w:t>
      </w:r>
    </w:p>
    <w:p w:rsidR="00727110" w:rsidRPr="00727110" w:rsidRDefault="00727110" w:rsidP="00CB6BCB">
      <w:pPr>
        <w:pStyle w:val="Bullet2G"/>
        <w:rPr>
          <w:lang w:val="fr-CH"/>
        </w:rPr>
      </w:pPr>
      <w:r w:rsidRPr="00727110">
        <w:rPr>
          <w:lang w:val="fr-FR"/>
        </w:rPr>
        <w:t>Après analyse, les recommandations 117.2, 117.3, 117.4, 117.5, 117.6, 117.8, 117.9, 117.10, 117.11, 117.12 ont été acceptées. De même, la recommandation 117.32 a été également acceptée.</w:t>
      </w:r>
    </w:p>
    <w:p w:rsidR="00727110" w:rsidRPr="00727110" w:rsidRDefault="00727110" w:rsidP="00CB6BCB">
      <w:pPr>
        <w:pStyle w:val="Bullet2G"/>
        <w:rPr>
          <w:lang w:val="fr-CH"/>
        </w:rPr>
      </w:pPr>
      <w:r w:rsidRPr="00727110">
        <w:rPr>
          <w:lang w:val="fr-FR"/>
        </w:rPr>
        <w:t>La recommandation 115.134, acceptée au départ, a été notée.</w:t>
      </w:r>
    </w:p>
    <w:p w:rsidR="00727110" w:rsidRPr="00727110" w:rsidRDefault="00727110" w:rsidP="00CB6BCB">
      <w:pPr>
        <w:pStyle w:val="Bullet2G"/>
        <w:rPr>
          <w:lang w:val="fr-CH"/>
        </w:rPr>
      </w:pPr>
      <w:r w:rsidRPr="00727110">
        <w:rPr>
          <w:lang w:val="fr-FR"/>
        </w:rPr>
        <w:t xml:space="preserve">Ce reclassement </w:t>
      </w:r>
      <w:r w:rsidR="00A175EE">
        <w:rPr>
          <w:lang w:val="fr-FR"/>
        </w:rPr>
        <w:t>donne</w:t>
      </w:r>
      <w:r w:rsidRPr="00727110">
        <w:rPr>
          <w:lang w:val="fr-FR"/>
        </w:rPr>
        <w:t xml:space="preserve"> 11 recommandations acceptées parmi 33 notées, </w:t>
      </w:r>
      <w:r w:rsidR="00A175EE">
        <w:rPr>
          <w:lang w:val="fr-FR"/>
        </w:rPr>
        <w:t xml:space="preserve">soit un total de </w:t>
      </w:r>
      <w:r w:rsidRPr="00727110">
        <w:rPr>
          <w:lang w:val="fr-FR"/>
        </w:rPr>
        <w:t>25 notées et 188 acceptées.</w:t>
      </w:r>
    </w:p>
    <w:p w:rsidR="00727110" w:rsidRPr="00727110" w:rsidRDefault="00727110" w:rsidP="00CB6BCB">
      <w:pPr>
        <w:pStyle w:val="Bullet2G"/>
        <w:rPr>
          <w:lang w:val="fr-CH"/>
        </w:rPr>
      </w:pPr>
      <w:r w:rsidRPr="00727110">
        <w:rPr>
          <w:lang w:val="fr-FR"/>
        </w:rPr>
        <w:t xml:space="preserve">La consultation de la société civile et les échanges d’idées entre les membres du Secrétariat technique du CIDP ont permis d’aboutir à un nouveau reclassement des recommandations. </w:t>
      </w:r>
    </w:p>
    <w:p w:rsidR="00727110" w:rsidRPr="00727110" w:rsidRDefault="00727110" w:rsidP="00CB6BCB">
      <w:pPr>
        <w:pStyle w:val="Bullet2G"/>
        <w:rPr>
          <w:lang w:val="fr-CH"/>
        </w:rPr>
      </w:pPr>
      <w:r w:rsidRPr="00727110">
        <w:rPr>
          <w:lang w:val="fr-FR"/>
        </w:rPr>
        <w:t>Ainsi, quatorze recommandations notées ont été reclassées dans les recommandations acceptées, ce qui porte à 188 le nombre de recommandations acceptées.</w:t>
      </w:r>
    </w:p>
    <w:p w:rsidR="00CF586F" w:rsidRPr="00CB6BCB" w:rsidRDefault="00CB6BCB" w:rsidP="00CB6BCB">
      <w:pPr>
        <w:spacing w:before="240"/>
        <w:ind w:left="1134" w:right="1134"/>
        <w:jc w:val="center"/>
        <w:rPr>
          <w:u w:val="single"/>
          <w:lang w:val="fr-CH"/>
        </w:rPr>
      </w:pPr>
      <w:r>
        <w:rPr>
          <w:u w:val="single"/>
          <w:lang w:val="fr-CH"/>
        </w:rPr>
        <w:tab/>
      </w:r>
      <w:r>
        <w:rPr>
          <w:u w:val="single"/>
          <w:lang w:val="fr-CH"/>
        </w:rPr>
        <w:tab/>
      </w:r>
      <w:r>
        <w:rPr>
          <w:u w:val="single"/>
          <w:lang w:val="fr-CH"/>
        </w:rPr>
        <w:tab/>
      </w:r>
    </w:p>
    <w:sectPr w:rsidR="00CF586F" w:rsidRPr="00CB6BCB" w:rsidSect="00727110">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10" w:rsidRDefault="00727110"/>
  </w:endnote>
  <w:endnote w:type="continuationSeparator" w:id="0">
    <w:p w:rsidR="00727110" w:rsidRDefault="00727110"/>
  </w:endnote>
  <w:endnote w:type="continuationNotice" w:id="1">
    <w:p w:rsidR="00727110" w:rsidRDefault="00727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10" w:rsidRPr="00727110" w:rsidRDefault="00727110" w:rsidP="00727110">
    <w:pPr>
      <w:pStyle w:val="Footer"/>
      <w:tabs>
        <w:tab w:val="right" w:pos="9638"/>
      </w:tabs>
    </w:pPr>
    <w:r w:rsidRPr="00727110">
      <w:rPr>
        <w:b/>
        <w:sz w:val="18"/>
      </w:rPr>
      <w:fldChar w:fldCharType="begin"/>
    </w:r>
    <w:r w:rsidRPr="00727110">
      <w:rPr>
        <w:b/>
        <w:sz w:val="18"/>
      </w:rPr>
      <w:instrText xml:space="preserve"> PAGE  \* MERGEFORMAT </w:instrText>
    </w:r>
    <w:r w:rsidRPr="00727110">
      <w:rPr>
        <w:b/>
        <w:sz w:val="18"/>
      </w:rPr>
      <w:fldChar w:fldCharType="separate"/>
    </w:r>
    <w:r w:rsidR="007F612D">
      <w:rPr>
        <w:b/>
        <w:noProof/>
        <w:sz w:val="18"/>
      </w:rPr>
      <w:t>6</w:t>
    </w:r>
    <w:r w:rsidRPr="007271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10" w:rsidRPr="00727110" w:rsidRDefault="00727110" w:rsidP="00727110">
    <w:pPr>
      <w:pStyle w:val="Footer"/>
      <w:tabs>
        <w:tab w:val="right" w:pos="9638"/>
      </w:tabs>
      <w:rPr>
        <w:b/>
        <w:sz w:val="18"/>
      </w:rPr>
    </w:pPr>
    <w:r>
      <w:tab/>
    </w:r>
    <w:r w:rsidRPr="00727110">
      <w:rPr>
        <w:b/>
        <w:sz w:val="18"/>
      </w:rPr>
      <w:fldChar w:fldCharType="begin"/>
    </w:r>
    <w:r w:rsidRPr="00727110">
      <w:rPr>
        <w:b/>
        <w:sz w:val="18"/>
      </w:rPr>
      <w:instrText xml:space="preserve"> PAGE  \* MERGEFORMAT </w:instrText>
    </w:r>
    <w:r w:rsidRPr="00727110">
      <w:rPr>
        <w:b/>
        <w:sz w:val="18"/>
      </w:rPr>
      <w:fldChar w:fldCharType="separate"/>
    </w:r>
    <w:r w:rsidR="007F612D">
      <w:rPr>
        <w:b/>
        <w:noProof/>
        <w:sz w:val="18"/>
      </w:rPr>
      <w:t>5</w:t>
    </w:r>
    <w:r w:rsidRPr="0072711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10" w:rsidRPr="000B175B" w:rsidRDefault="00727110" w:rsidP="000B175B">
      <w:pPr>
        <w:tabs>
          <w:tab w:val="right" w:pos="2155"/>
        </w:tabs>
        <w:spacing w:after="80"/>
        <w:ind w:left="680"/>
        <w:rPr>
          <w:u w:val="single"/>
        </w:rPr>
      </w:pPr>
      <w:r>
        <w:rPr>
          <w:u w:val="single"/>
        </w:rPr>
        <w:tab/>
      </w:r>
    </w:p>
  </w:footnote>
  <w:footnote w:type="continuationSeparator" w:id="0">
    <w:p w:rsidR="00727110" w:rsidRPr="00FC68B7" w:rsidRDefault="00727110" w:rsidP="00FC68B7">
      <w:pPr>
        <w:tabs>
          <w:tab w:val="left" w:pos="2155"/>
        </w:tabs>
        <w:spacing w:after="80"/>
        <w:ind w:left="680"/>
        <w:rPr>
          <w:u w:val="single"/>
        </w:rPr>
      </w:pPr>
      <w:r>
        <w:rPr>
          <w:u w:val="single"/>
        </w:rPr>
        <w:tab/>
      </w:r>
    </w:p>
  </w:footnote>
  <w:footnote w:type="continuationNotice" w:id="1">
    <w:p w:rsidR="00727110" w:rsidRDefault="00727110"/>
  </w:footnote>
  <w:footnote w:id="2">
    <w:p w:rsidR="00727110" w:rsidRPr="005A0E69" w:rsidRDefault="00727110" w:rsidP="00727110">
      <w:pPr>
        <w:pStyle w:val="FootnoteText"/>
        <w:rPr>
          <w:lang w:val="fr-FR"/>
        </w:rPr>
      </w:pPr>
      <w:r>
        <w:tab/>
      </w:r>
      <w:r w:rsidRPr="00F8155C">
        <w:rPr>
          <w:rStyle w:val="FootnoteReference"/>
          <w:sz w:val="20"/>
          <w:vertAlign w:val="baseline"/>
          <w:lang w:val="fr-FR"/>
        </w:rPr>
        <w:t>*</w:t>
      </w:r>
      <w:r w:rsidRPr="00F8155C">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10" w:rsidRPr="00727110" w:rsidRDefault="00727110">
    <w:pPr>
      <w:pStyle w:val="Header"/>
    </w:pPr>
    <w:r>
      <w:t>A/HRC/34/14/Add.1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10" w:rsidRPr="00727110" w:rsidRDefault="00727110" w:rsidP="00727110">
    <w:pPr>
      <w:pStyle w:val="Header"/>
      <w:jc w:val="right"/>
    </w:pPr>
    <w:r>
      <w:t>A/HRC/34/14/Add.1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96100E"/>
    <w:multiLevelType w:val="multilevel"/>
    <w:tmpl w:val="3B965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2749CA"/>
    <w:multiLevelType w:val="multilevel"/>
    <w:tmpl w:val="070216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2F5779"/>
    <w:multiLevelType w:val="multilevel"/>
    <w:tmpl w:val="1F4ADA5A"/>
    <w:lvl w:ilvl="0">
      <w:start w:val="1"/>
      <w:numFmt w:val="bullet"/>
      <w:lvlText w:val=""/>
      <w:lvlJc w:val="left"/>
      <w:pPr>
        <w:tabs>
          <w:tab w:val="num" w:pos="927"/>
        </w:tabs>
        <w:ind w:left="927" w:hanging="360"/>
      </w:pPr>
      <w:rPr>
        <w:rFonts w:ascii="Symbol" w:hAnsi="Symbol" w:cs="Symbol" w:hint="default"/>
        <w:b/>
        <w:sz w:val="24"/>
      </w:rPr>
    </w:lvl>
    <w:lvl w:ilvl="1">
      <w:start w:val="1"/>
      <w:numFmt w:val="bullet"/>
      <w:lvlText w:val="o"/>
      <w:lvlJc w:val="left"/>
      <w:pPr>
        <w:tabs>
          <w:tab w:val="num" w:pos="1647"/>
        </w:tabs>
        <w:ind w:left="1647" w:hanging="360"/>
      </w:pPr>
      <w:rPr>
        <w:rFonts w:ascii="Courier New" w:hAnsi="Courier New" w:cs="Courier New" w:hint="default"/>
        <w:b/>
        <w:sz w:val="24"/>
      </w:rPr>
    </w:lvl>
    <w:lvl w:ilvl="2">
      <w:start w:val="1"/>
      <w:numFmt w:val="bullet"/>
      <w:lvlText w:val=""/>
      <w:lvlJc w:val="left"/>
      <w:pPr>
        <w:tabs>
          <w:tab w:val="num" w:pos="2367"/>
        </w:tabs>
        <w:ind w:left="2367" w:hanging="360"/>
      </w:pPr>
      <w:rPr>
        <w:rFonts w:ascii="Wingdings" w:hAnsi="Wingdings" w:cs="Wingdings" w:hint="default"/>
        <w:b/>
        <w:sz w:val="24"/>
      </w:rPr>
    </w:lvl>
    <w:lvl w:ilvl="3">
      <w:start w:val="1"/>
      <w:numFmt w:val="bullet"/>
      <w:lvlText w:val=""/>
      <w:lvlJc w:val="left"/>
      <w:pPr>
        <w:tabs>
          <w:tab w:val="num" w:pos="3087"/>
        </w:tabs>
        <w:ind w:left="3087" w:hanging="360"/>
      </w:pPr>
      <w:rPr>
        <w:rFonts w:ascii="Wingdings" w:hAnsi="Wingdings" w:cs="Wingdings" w:hint="default"/>
        <w:b/>
        <w:sz w:val="24"/>
      </w:rPr>
    </w:lvl>
    <w:lvl w:ilvl="4">
      <w:start w:val="1"/>
      <w:numFmt w:val="bullet"/>
      <w:lvlText w:val=""/>
      <w:lvlJc w:val="left"/>
      <w:pPr>
        <w:tabs>
          <w:tab w:val="num" w:pos="3807"/>
        </w:tabs>
        <w:ind w:left="3807" w:hanging="360"/>
      </w:pPr>
      <w:rPr>
        <w:rFonts w:ascii="Wingdings" w:hAnsi="Wingdings" w:cs="Wingdings" w:hint="default"/>
        <w:b/>
        <w:sz w:val="24"/>
      </w:rPr>
    </w:lvl>
    <w:lvl w:ilvl="5">
      <w:start w:val="1"/>
      <w:numFmt w:val="bullet"/>
      <w:lvlText w:val=""/>
      <w:lvlJc w:val="left"/>
      <w:pPr>
        <w:tabs>
          <w:tab w:val="num" w:pos="4527"/>
        </w:tabs>
        <w:ind w:left="4527" w:hanging="360"/>
      </w:pPr>
      <w:rPr>
        <w:rFonts w:ascii="Wingdings" w:hAnsi="Wingdings" w:cs="Wingdings" w:hint="default"/>
        <w:b/>
        <w:sz w:val="24"/>
      </w:rPr>
    </w:lvl>
    <w:lvl w:ilvl="6">
      <w:start w:val="1"/>
      <w:numFmt w:val="bullet"/>
      <w:lvlText w:val=""/>
      <w:lvlJc w:val="left"/>
      <w:pPr>
        <w:tabs>
          <w:tab w:val="num" w:pos="5247"/>
        </w:tabs>
        <w:ind w:left="5247" w:hanging="360"/>
      </w:pPr>
      <w:rPr>
        <w:rFonts w:ascii="Wingdings" w:hAnsi="Wingdings" w:cs="Wingdings" w:hint="default"/>
        <w:b/>
        <w:sz w:val="24"/>
      </w:rPr>
    </w:lvl>
    <w:lvl w:ilvl="7">
      <w:start w:val="1"/>
      <w:numFmt w:val="bullet"/>
      <w:lvlText w:val=""/>
      <w:lvlJc w:val="left"/>
      <w:pPr>
        <w:tabs>
          <w:tab w:val="num" w:pos="5967"/>
        </w:tabs>
        <w:ind w:left="5967" w:hanging="360"/>
      </w:pPr>
      <w:rPr>
        <w:rFonts w:ascii="Wingdings" w:hAnsi="Wingdings" w:cs="Wingdings" w:hint="default"/>
        <w:b/>
        <w:sz w:val="24"/>
      </w:rPr>
    </w:lvl>
    <w:lvl w:ilvl="8">
      <w:start w:val="1"/>
      <w:numFmt w:val="bullet"/>
      <w:lvlText w:val=""/>
      <w:lvlJc w:val="left"/>
      <w:pPr>
        <w:tabs>
          <w:tab w:val="num" w:pos="6687"/>
        </w:tabs>
        <w:ind w:left="6687" w:hanging="360"/>
      </w:pPr>
      <w:rPr>
        <w:rFonts w:ascii="Wingdings" w:hAnsi="Wingdings" w:cs="Wingdings" w:hint="default"/>
        <w:b/>
        <w:sz w:val="24"/>
      </w:rPr>
    </w:lvl>
  </w:abstractNum>
  <w:abstractNum w:abstractNumId="8">
    <w:nsid w:val="4CEE0D36"/>
    <w:multiLevelType w:val="multilevel"/>
    <w:tmpl w:val="27FC6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10"/>
  </w:num>
  <w:num w:numId="4">
    <w:abstractNumId w:val="3"/>
  </w:num>
  <w:num w:numId="5">
    <w:abstractNumId w:val="0"/>
  </w:num>
  <w:num w:numId="6">
    <w:abstractNumId w:val="1"/>
  </w:num>
  <w:num w:numId="7">
    <w:abstractNumId w:val="9"/>
  </w:num>
  <w:num w:numId="8">
    <w:abstractNumId w:val="2"/>
  </w:num>
  <w:num w:numId="9">
    <w:abstractNumId w:val="8"/>
  </w:num>
  <w:num w:numId="10">
    <w:abstractNumId w:val="7"/>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10"/>
    <w:rsid w:val="00007F7F"/>
    <w:rsid w:val="00022DB5"/>
    <w:rsid w:val="00024A82"/>
    <w:rsid w:val="000403D1"/>
    <w:rsid w:val="0004425D"/>
    <w:rsid w:val="000449AA"/>
    <w:rsid w:val="00050F6B"/>
    <w:rsid w:val="00055EFF"/>
    <w:rsid w:val="00066866"/>
    <w:rsid w:val="00072C8C"/>
    <w:rsid w:val="00073E70"/>
    <w:rsid w:val="000761E6"/>
    <w:rsid w:val="000876EB"/>
    <w:rsid w:val="00091419"/>
    <w:rsid w:val="000931C0"/>
    <w:rsid w:val="000B175B"/>
    <w:rsid w:val="000B3A0F"/>
    <w:rsid w:val="000B4A3B"/>
    <w:rsid w:val="000D1851"/>
    <w:rsid w:val="000E0415"/>
    <w:rsid w:val="001274FC"/>
    <w:rsid w:val="00140591"/>
    <w:rsid w:val="00146D32"/>
    <w:rsid w:val="001509BA"/>
    <w:rsid w:val="00192584"/>
    <w:rsid w:val="0019341C"/>
    <w:rsid w:val="001B4B04"/>
    <w:rsid w:val="001C6663"/>
    <w:rsid w:val="001C7895"/>
    <w:rsid w:val="001D26DF"/>
    <w:rsid w:val="001E2790"/>
    <w:rsid w:val="001F349A"/>
    <w:rsid w:val="00211E0B"/>
    <w:rsid w:val="00211E72"/>
    <w:rsid w:val="00214047"/>
    <w:rsid w:val="0022130F"/>
    <w:rsid w:val="0022174D"/>
    <w:rsid w:val="00237785"/>
    <w:rsid w:val="002410DD"/>
    <w:rsid w:val="00241466"/>
    <w:rsid w:val="00253D58"/>
    <w:rsid w:val="00273A0F"/>
    <w:rsid w:val="0027725F"/>
    <w:rsid w:val="002B3F04"/>
    <w:rsid w:val="002C21F0"/>
    <w:rsid w:val="002E09D0"/>
    <w:rsid w:val="003107FA"/>
    <w:rsid w:val="00317977"/>
    <w:rsid w:val="003229D8"/>
    <w:rsid w:val="003314D1"/>
    <w:rsid w:val="00335A2F"/>
    <w:rsid w:val="003362EE"/>
    <w:rsid w:val="00336E14"/>
    <w:rsid w:val="00341937"/>
    <w:rsid w:val="0037512B"/>
    <w:rsid w:val="003846CC"/>
    <w:rsid w:val="0039277A"/>
    <w:rsid w:val="003972E0"/>
    <w:rsid w:val="003975ED"/>
    <w:rsid w:val="003A3D0E"/>
    <w:rsid w:val="003C2CC4"/>
    <w:rsid w:val="003D4B23"/>
    <w:rsid w:val="003F3B7A"/>
    <w:rsid w:val="00423EAB"/>
    <w:rsid w:val="00424C80"/>
    <w:rsid w:val="004325CB"/>
    <w:rsid w:val="0044503A"/>
    <w:rsid w:val="00446DE4"/>
    <w:rsid w:val="00447761"/>
    <w:rsid w:val="00451EC3"/>
    <w:rsid w:val="004721B1"/>
    <w:rsid w:val="004735EA"/>
    <w:rsid w:val="004806A3"/>
    <w:rsid w:val="004859EC"/>
    <w:rsid w:val="00496A15"/>
    <w:rsid w:val="004B75D2"/>
    <w:rsid w:val="004C14F7"/>
    <w:rsid w:val="004D1140"/>
    <w:rsid w:val="004E532B"/>
    <w:rsid w:val="004F55ED"/>
    <w:rsid w:val="005008E7"/>
    <w:rsid w:val="00516C26"/>
    <w:rsid w:val="0052176C"/>
    <w:rsid w:val="00526007"/>
    <w:rsid w:val="005261E5"/>
    <w:rsid w:val="005420F2"/>
    <w:rsid w:val="00542574"/>
    <w:rsid w:val="005436AB"/>
    <w:rsid w:val="00546DBF"/>
    <w:rsid w:val="00553D76"/>
    <w:rsid w:val="005552B5"/>
    <w:rsid w:val="0056117B"/>
    <w:rsid w:val="00571365"/>
    <w:rsid w:val="00585498"/>
    <w:rsid w:val="005B2F30"/>
    <w:rsid w:val="005B3DB3"/>
    <w:rsid w:val="005B6E48"/>
    <w:rsid w:val="005B7CDA"/>
    <w:rsid w:val="005C6A44"/>
    <w:rsid w:val="005E1712"/>
    <w:rsid w:val="005F567A"/>
    <w:rsid w:val="00611FC4"/>
    <w:rsid w:val="006176FB"/>
    <w:rsid w:val="00640B26"/>
    <w:rsid w:val="006528F2"/>
    <w:rsid w:val="00670741"/>
    <w:rsid w:val="00696BD6"/>
    <w:rsid w:val="006A6B9D"/>
    <w:rsid w:val="006A7392"/>
    <w:rsid w:val="006B3189"/>
    <w:rsid w:val="006B7D65"/>
    <w:rsid w:val="006D6DA6"/>
    <w:rsid w:val="006E564B"/>
    <w:rsid w:val="006F13F0"/>
    <w:rsid w:val="006F5035"/>
    <w:rsid w:val="00702409"/>
    <w:rsid w:val="007065EB"/>
    <w:rsid w:val="00714F88"/>
    <w:rsid w:val="007157FC"/>
    <w:rsid w:val="00720183"/>
    <w:rsid w:val="0072632A"/>
    <w:rsid w:val="00727110"/>
    <w:rsid w:val="0074200B"/>
    <w:rsid w:val="007970CE"/>
    <w:rsid w:val="007A6296"/>
    <w:rsid w:val="007B6BA5"/>
    <w:rsid w:val="007C16CB"/>
    <w:rsid w:val="007C184A"/>
    <w:rsid w:val="007C1B62"/>
    <w:rsid w:val="007C3390"/>
    <w:rsid w:val="007C4F4B"/>
    <w:rsid w:val="007D2CDC"/>
    <w:rsid w:val="007D3AB4"/>
    <w:rsid w:val="007D5327"/>
    <w:rsid w:val="007D5ABA"/>
    <w:rsid w:val="007F19C9"/>
    <w:rsid w:val="007F612D"/>
    <w:rsid w:val="007F6611"/>
    <w:rsid w:val="00800CE2"/>
    <w:rsid w:val="008155C3"/>
    <w:rsid w:val="008175E9"/>
    <w:rsid w:val="0082243E"/>
    <w:rsid w:val="008242D7"/>
    <w:rsid w:val="0084373D"/>
    <w:rsid w:val="00856CD2"/>
    <w:rsid w:val="00861BC6"/>
    <w:rsid w:val="00871FD5"/>
    <w:rsid w:val="00887A81"/>
    <w:rsid w:val="008979B1"/>
    <w:rsid w:val="008A6B25"/>
    <w:rsid w:val="008A6C4F"/>
    <w:rsid w:val="008C1E4D"/>
    <w:rsid w:val="008E0E46"/>
    <w:rsid w:val="008E524B"/>
    <w:rsid w:val="008E7B27"/>
    <w:rsid w:val="0090452C"/>
    <w:rsid w:val="00907C3F"/>
    <w:rsid w:val="0092237C"/>
    <w:rsid w:val="0093707B"/>
    <w:rsid w:val="009400EB"/>
    <w:rsid w:val="009427E3"/>
    <w:rsid w:val="00956D9B"/>
    <w:rsid w:val="00963CBA"/>
    <w:rsid w:val="009654B7"/>
    <w:rsid w:val="00975434"/>
    <w:rsid w:val="00991261"/>
    <w:rsid w:val="0099382C"/>
    <w:rsid w:val="009A0B83"/>
    <w:rsid w:val="009B3800"/>
    <w:rsid w:val="009C52AF"/>
    <w:rsid w:val="009D22AC"/>
    <w:rsid w:val="009D484B"/>
    <w:rsid w:val="009D50DB"/>
    <w:rsid w:val="009E1C4E"/>
    <w:rsid w:val="00A02C6C"/>
    <w:rsid w:val="00A05E0B"/>
    <w:rsid w:val="00A1427D"/>
    <w:rsid w:val="00A175EE"/>
    <w:rsid w:val="00A25550"/>
    <w:rsid w:val="00A4634F"/>
    <w:rsid w:val="00A51CF3"/>
    <w:rsid w:val="00A63DA9"/>
    <w:rsid w:val="00A71659"/>
    <w:rsid w:val="00A72F22"/>
    <w:rsid w:val="00A748A6"/>
    <w:rsid w:val="00A879A4"/>
    <w:rsid w:val="00A87E95"/>
    <w:rsid w:val="00A90854"/>
    <w:rsid w:val="00A92E29"/>
    <w:rsid w:val="00A96DC3"/>
    <w:rsid w:val="00AB54C2"/>
    <w:rsid w:val="00AD09E9"/>
    <w:rsid w:val="00AF0576"/>
    <w:rsid w:val="00AF3829"/>
    <w:rsid w:val="00B037F0"/>
    <w:rsid w:val="00B2254E"/>
    <w:rsid w:val="00B2327D"/>
    <w:rsid w:val="00B234D2"/>
    <w:rsid w:val="00B2718F"/>
    <w:rsid w:val="00B30179"/>
    <w:rsid w:val="00B3317B"/>
    <w:rsid w:val="00B334DC"/>
    <w:rsid w:val="00B3631A"/>
    <w:rsid w:val="00B53013"/>
    <w:rsid w:val="00B67F5E"/>
    <w:rsid w:val="00B73E65"/>
    <w:rsid w:val="00B75A6D"/>
    <w:rsid w:val="00B81E12"/>
    <w:rsid w:val="00B87110"/>
    <w:rsid w:val="00B97FA8"/>
    <w:rsid w:val="00BC1385"/>
    <w:rsid w:val="00BC74E9"/>
    <w:rsid w:val="00BE618E"/>
    <w:rsid w:val="00C0106E"/>
    <w:rsid w:val="00C11EFC"/>
    <w:rsid w:val="00C24693"/>
    <w:rsid w:val="00C35F0B"/>
    <w:rsid w:val="00C463DD"/>
    <w:rsid w:val="00C53C86"/>
    <w:rsid w:val="00C64458"/>
    <w:rsid w:val="00C745C3"/>
    <w:rsid w:val="00C80F4B"/>
    <w:rsid w:val="00C963C1"/>
    <w:rsid w:val="00CA2A58"/>
    <w:rsid w:val="00CB6BCB"/>
    <w:rsid w:val="00CC0B55"/>
    <w:rsid w:val="00CD6995"/>
    <w:rsid w:val="00CE4A8F"/>
    <w:rsid w:val="00CF0214"/>
    <w:rsid w:val="00CF586F"/>
    <w:rsid w:val="00CF7D43"/>
    <w:rsid w:val="00D11129"/>
    <w:rsid w:val="00D2031B"/>
    <w:rsid w:val="00D22332"/>
    <w:rsid w:val="00D226FD"/>
    <w:rsid w:val="00D25FE2"/>
    <w:rsid w:val="00D317CA"/>
    <w:rsid w:val="00D32ACC"/>
    <w:rsid w:val="00D43252"/>
    <w:rsid w:val="00D550F9"/>
    <w:rsid w:val="00D572B0"/>
    <w:rsid w:val="00D62E90"/>
    <w:rsid w:val="00D717C0"/>
    <w:rsid w:val="00D76BE5"/>
    <w:rsid w:val="00D978C6"/>
    <w:rsid w:val="00DA67AD"/>
    <w:rsid w:val="00DB18CE"/>
    <w:rsid w:val="00DE3EC0"/>
    <w:rsid w:val="00E11593"/>
    <w:rsid w:val="00E12B6B"/>
    <w:rsid w:val="00E130AB"/>
    <w:rsid w:val="00E22603"/>
    <w:rsid w:val="00E327BF"/>
    <w:rsid w:val="00E438D9"/>
    <w:rsid w:val="00E5644E"/>
    <w:rsid w:val="00E7260F"/>
    <w:rsid w:val="00E806EE"/>
    <w:rsid w:val="00E96630"/>
    <w:rsid w:val="00EB0FB9"/>
    <w:rsid w:val="00ED0CA9"/>
    <w:rsid w:val="00ED7A2A"/>
    <w:rsid w:val="00ED7FAD"/>
    <w:rsid w:val="00EF1D7F"/>
    <w:rsid w:val="00EF5BDB"/>
    <w:rsid w:val="00F07FD9"/>
    <w:rsid w:val="00F23933"/>
    <w:rsid w:val="00F24119"/>
    <w:rsid w:val="00F40E75"/>
    <w:rsid w:val="00F42CD9"/>
    <w:rsid w:val="00F52936"/>
    <w:rsid w:val="00F677CB"/>
    <w:rsid w:val="00F8155C"/>
    <w:rsid w:val="00F82499"/>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27110"/>
    <w:rPr>
      <w:sz w:val="18"/>
      <w:lang w:eastAsia="en-US"/>
    </w:rPr>
  </w:style>
  <w:style w:type="paragraph" w:styleId="BalloonText">
    <w:name w:val="Balloon Text"/>
    <w:basedOn w:val="Normal"/>
    <w:link w:val="BalloonTextChar"/>
    <w:rsid w:val="00714F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4F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27110"/>
    <w:rPr>
      <w:sz w:val="18"/>
      <w:lang w:eastAsia="en-US"/>
    </w:rPr>
  </w:style>
  <w:style w:type="paragraph" w:styleId="BalloonText">
    <w:name w:val="Balloon Text"/>
    <w:basedOn w:val="Normal"/>
    <w:link w:val="BalloonTextChar"/>
    <w:rsid w:val="00714F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4F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280615-CE90-4D23-9983-C03AB489B6FD}"/>
</file>

<file path=customXml/itemProps2.xml><?xml version="1.0" encoding="utf-8"?>
<ds:datastoreItem xmlns:ds="http://schemas.openxmlformats.org/officeDocument/2006/customXml" ds:itemID="{5AA1BE53-480D-45FF-8D71-0B6AB8A66E8E}"/>
</file>

<file path=customXml/itemProps3.xml><?xml version="1.0" encoding="utf-8"?>
<ds:datastoreItem xmlns:ds="http://schemas.openxmlformats.org/officeDocument/2006/customXml" ds:itemID="{7E344C9C-EFE8-4170-9B35-E9E7CEDBD0E5}"/>
</file>

<file path=docProps/app.xml><?xml version="1.0" encoding="utf-8"?>
<Properties xmlns="http://schemas.openxmlformats.org/officeDocument/2006/extended-properties" xmlns:vt="http://schemas.openxmlformats.org/officeDocument/2006/docPropsVTypes">
  <Template>A_E.dotm</Template>
  <TotalTime>1</TotalTime>
  <Pages>6</Pages>
  <Words>2306</Words>
  <Characters>13145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2</cp:revision>
  <cp:lastPrinted>2017-03-09T16:13:00Z</cp:lastPrinted>
  <dcterms:created xsi:type="dcterms:W3CDTF">2017-03-13T10:12:00Z</dcterms:created>
  <dcterms:modified xsi:type="dcterms:W3CDTF">2017-03-13T10:12:00Z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1320600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