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92699" w:rsidP="00E92699">
            <w:pPr>
              <w:jc w:val="right"/>
            </w:pPr>
            <w:r w:rsidRPr="00E92699">
              <w:rPr>
                <w:sz w:val="40"/>
              </w:rPr>
              <w:t>A</w:t>
            </w:r>
            <w:r>
              <w:t>/HRC/32/12/Add.1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32BE3"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E92699" w:rsidP="00E92699">
            <w:pPr>
              <w:spacing w:before="240" w:line="240" w:lineRule="exact"/>
            </w:pPr>
            <w:r>
              <w:t>Distr.: General</w:t>
            </w:r>
          </w:p>
          <w:p w:rsidR="00E92699" w:rsidRDefault="006A5746" w:rsidP="00E92699">
            <w:pPr>
              <w:spacing w:line="240" w:lineRule="exact"/>
            </w:pPr>
            <w:r>
              <w:t>7</w:t>
            </w:r>
            <w:r w:rsidR="00E92699">
              <w:t xml:space="preserve"> June 2016</w:t>
            </w:r>
          </w:p>
          <w:p w:rsidR="00E92699" w:rsidRDefault="00E92699" w:rsidP="00E92699">
            <w:pPr>
              <w:spacing w:line="240" w:lineRule="exact"/>
            </w:pPr>
          </w:p>
          <w:p w:rsidR="00E92699" w:rsidRDefault="00E92699" w:rsidP="00E92699">
            <w:pPr>
              <w:spacing w:line="240" w:lineRule="exact"/>
            </w:pPr>
            <w:r>
              <w:t>Original: English</w:t>
            </w:r>
          </w:p>
        </w:tc>
      </w:tr>
    </w:tbl>
    <w:p w:rsidR="00E92699" w:rsidRPr="00C267F4" w:rsidRDefault="00E92699" w:rsidP="00E92699">
      <w:pPr>
        <w:rPr>
          <w:b/>
          <w:bCs/>
          <w:sz w:val="24"/>
          <w:szCs w:val="24"/>
        </w:rPr>
      </w:pPr>
      <w:r w:rsidRPr="00C267F4">
        <w:rPr>
          <w:b/>
          <w:bCs/>
          <w:sz w:val="24"/>
          <w:szCs w:val="24"/>
        </w:rPr>
        <w:t>Human Rights Council</w:t>
      </w:r>
      <w:r w:rsidR="00332BE3">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E92699" w:rsidRPr="00C267F4" w:rsidRDefault="00E92699" w:rsidP="00E92699">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E92699" w:rsidRPr="00C267F4" w:rsidRDefault="00E92699" w:rsidP="00E92699">
      <w:r w:rsidRPr="00C267F4">
        <w:t>Agenda item 6</w:t>
      </w:r>
    </w:p>
    <w:p w:rsidR="00E92699" w:rsidRPr="00C267F4" w:rsidRDefault="00E92699" w:rsidP="00E92699">
      <w:pPr>
        <w:rPr>
          <w:b/>
        </w:rPr>
      </w:pPr>
      <w:r w:rsidRPr="00C267F4">
        <w:rPr>
          <w:b/>
        </w:rPr>
        <w:t>Universal Periodic Review</w:t>
      </w:r>
    </w:p>
    <w:p w:rsidR="00E92699" w:rsidRPr="00C267F4" w:rsidRDefault="00E92699" w:rsidP="00E92699">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E92699" w:rsidRPr="00C267F4" w:rsidRDefault="00E92699" w:rsidP="00E92699">
      <w:pPr>
        <w:keepNext/>
        <w:keepLines/>
        <w:tabs>
          <w:tab w:val="right" w:pos="851"/>
        </w:tabs>
        <w:spacing w:before="360" w:after="240" w:line="300" w:lineRule="exact"/>
        <w:ind w:left="1134" w:right="1134" w:hanging="1134"/>
        <w:rPr>
          <w:b/>
          <w:sz w:val="28"/>
        </w:rPr>
      </w:pPr>
      <w:r>
        <w:rPr>
          <w:b/>
          <w:sz w:val="28"/>
        </w:rPr>
        <w:tab/>
      </w:r>
      <w:r>
        <w:rPr>
          <w:b/>
          <w:sz w:val="28"/>
        </w:rPr>
        <w:tab/>
        <w:t>Somalia</w:t>
      </w:r>
    </w:p>
    <w:p w:rsidR="00E92699" w:rsidRPr="00C267F4" w:rsidRDefault="00E92699" w:rsidP="00E92699">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E92699" w:rsidRPr="00C267F4" w:rsidRDefault="00E92699" w:rsidP="00E92699">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E92699" w:rsidRPr="00E92699" w:rsidRDefault="00E92699" w:rsidP="00E92699">
      <w:pPr>
        <w:pStyle w:val="SingleTxtG"/>
        <w:rPr>
          <w:lang w:val="en-US"/>
        </w:rPr>
      </w:pPr>
      <w:r w:rsidRPr="00C267F4">
        <w:br w:type="page"/>
      </w:r>
      <w:r>
        <w:lastRenderedPageBreak/>
        <w:tab/>
      </w:r>
      <w:r w:rsidRPr="00E92699">
        <w:rPr>
          <w:lang w:val="en-US"/>
        </w:rPr>
        <w:t>The Federal Republic of Somalia welcomes, once again, the recommendations made by Member States and would like to reaffirm its sustained commitment to the protection and promotion of the human rights. Somalia has carefully considered the remaining recommendations in consultation with relevant stakeholders and respectfully submits the following responses to the Human Rights Council.</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2"/>
        <w:gridCol w:w="2544"/>
        <w:gridCol w:w="4519"/>
      </w:tblGrid>
      <w:tr w:rsidR="00E92699" w:rsidRPr="00E92699" w:rsidTr="0037750B">
        <w:trPr>
          <w:tblHeader/>
        </w:trPr>
        <w:tc>
          <w:tcPr>
            <w:tcW w:w="1418" w:type="dxa"/>
            <w:tcBorders>
              <w:top w:val="single" w:sz="4" w:space="0" w:color="auto"/>
              <w:bottom w:val="single" w:sz="12" w:space="0" w:color="auto"/>
            </w:tcBorders>
            <w:shd w:val="clear" w:color="auto" w:fill="auto"/>
            <w:vAlign w:val="bottom"/>
          </w:tcPr>
          <w:p w:rsidR="00E92699" w:rsidRPr="00E92699" w:rsidRDefault="00E92699" w:rsidP="00E92699">
            <w:pPr>
              <w:spacing w:before="80" w:after="80" w:line="200" w:lineRule="exact"/>
              <w:ind w:right="113"/>
              <w:rPr>
                <w:i/>
                <w:sz w:val="16"/>
              </w:rPr>
            </w:pPr>
            <w:r>
              <w:rPr>
                <w:i/>
                <w:sz w:val="16"/>
              </w:rPr>
              <w:t>Recommendations</w:t>
            </w:r>
          </w:p>
        </w:tc>
        <w:tc>
          <w:tcPr>
            <w:tcW w:w="2502" w:type="dxa"/>
            <w:tcBorders>
              <w:top w:val="single" w:sz="4" w:space="0" w:color="auto"/>
              <w:bottom w:val="single" w:sz="12" w:space="0" w:color="auto"/>
            </w:tcBorders>
            <w:shd w:val="clear" w:color="auto" w:fill="auto"/>
            <w:vAlign w:val="bottom"/>
          </w:tcPr>
          <w:p w:rsidR="00E92699" w:rsidRPr="00E92699" w:rsidRDefault="00E92699" w:rsidP="00E92699">
            <w:pPr>
              <w:spacing w:before="80" w:after="80" w:line="200" w:lineRule="exact"/>
              <w:ind w:right="113"/>
              <w:rPr>
                <w:i/>
                <w:sz w:val="16"/>
              </w:rPr>
            </w:pPr>
            <w:r>
              <w:rPr>
                <w:i/>
                <w:sz w:val="16"/>
              </w:rPr>
              <w:t>Somali Government positions</w:t>
            </w:r>
          </w:p>
        </w:tc>
        <w:tc>
          <w:tcPr>
            <w:tcW w:w="4444" w:type="dxa"/>
            <w:tcBorders>
              <w:top w:val="single" w:sz="4" w:space="0" w:color="auto"/>
              <w:bottom w:val="single" w:sz="12" w:space="0" w:color="auto"/>
            </w:tcBorders>
            <w:shd w:val="clear" w:color="auto" w:fill="auto"/>
            <w:vAlign w:val="bottom"/>
          </w:tcPr>
          <w:p w:rsidR="00E92699" w:rsidRPr="00E92699" w:rsidRDefault="00E92699" w:rsidP="00E92699">
            <w:pPr>
              <w:spacing w:before="80" w:after="80" w:line="200" w:lineRule="exact"/>
              <w:ind w:right="113"/>
              <w:rPr>
                <w:i/>
                <w:sz w:val="16"/>
              </w:rPr>
            </w:pPr>
            <w:r>
              <w:rPr>
                <w:i/>
                <w:sz w:val="16"/>
              </w:rPr>
              <w:t>Explanatory notes</w:t>
            </w:r>
          </w:p>
        </w:tc>
      </w:tr>
      <w:tr w:rsidR="00E92699" w:rsidRPr="00E92699" w:rsidTr="0037750B">
        <w:trPr>
          <w:tblHeader/>
        </w:trPr>
        <w:tc>
          <w:tcPr>
            <w:tcW w:w="1418" w:type="dxa"/>
            <w:tcBorders>
              <w:top w:val="single" w:sz="12" w:space="0" w:color="auto"/>
            </w:tcBorders>
            <w:shd w:val="clear" w:color="auto" w:fill="auto"/>
          </w:tcPr>
          <w:p w:rsidR="00E92699" w:rsidRPr="00E92699" w:rsidRDefault="00E92699" w:rsidP="00E92699">
            <w:pPr>
              <w:spacing w:before="40" w:after="120"/>
              <w:ind w:right="113"/>
            </w:pPr>
            <w:r>
              <w:t>1.</w:t>
            </w:r>
          </w:p>
        </w:tc>
        <w:tc>
          <w:tcPr>
            <w:tcW w:w="2502" w:type="dxa"/>
            <w:tcBorders>
              <w:top w:val="single" w:sz="12" w:space="0" w:color="auto"/>
            </w:tcBorders>
            <w:shd w:val="clear" w:color="auto" w:fill="auto"/>
          </w:tcPr>
          <w:p w:rsidR="00E92699" w:rsidRPr="00E92699" w:rsidRDefault="00E92699" w:rsidP="00E92699">
            <w:pPr>
              <w:spacing w:before="40" w:after="120"/>
              <w:ind w:right="113"/>
            </w:pPr>
            <w:r>
              <w:t>Noted</w:t>
            </w:r>
          </w:p>
        </w:tc>
        <w:tc>
          <w:tcPr>
            <w:tcW w:w="4444" w:type="dxa"/>
            <w:tcBorders>
              <w:top w:val="single" w:sz="12" w:space="0" w:color="auto"/>
            </w:tcBorders>
            <w:shd w:val="clear" w:color="auto" w:fill="auto"/>
          </w:tcPr>
          <w:p w:rsidR="00E92699" w:rsidRPr="00E92699" w:rsidRDefault="00E92699" w:rsidP="00E92699">
            <w:pPr>
              <w:spacing w:before="40" w:after="120"/>
              <w:ind w:right="113"/>
            </w:pPr>
            <w:r w:rsidRPr="00E92699">
              <w:rPr>
                <w:lang w:val="en-US"/>
              </w:rPr>
              <w:t xml:space="preserve">Somalia aims to </w:t>
            </w:r>
            <w:proofErr w:type="spellStart"/>
            <w:r w:rsidRPr="00E92699">
              <w:rPr>
                <w:lang w:val="en-US"/>
              </w:rPr>
              <w:t>prioritise</w:t>
            </w:r>
            <w:proofErr w:type="spellEnd"/>
            <w:r w:rsidRPr="00E92699">
              <w:rPr>
                <w:lang w:val="en-US"/>
              </w:rPr>
              <w:t xml:space="preserve"> which international instruments to become party to and which instruments not to become party to due to capacity constraints and/or incompatibility with current policies.</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w:t>
            </w:r>
          </w:p>
        </w:tc>
        <w:tc>
          <w:tcPr>
            <w:tcW w:w="2502" w:type="dxa"/>
            <w:shd w:val="clear" w:color="auto" w:fill="auto"/>
          </w:tcPr>
          <w:p w:rsidR="00E92699" w:rsidRPr="00E92699" w:rsidRDefault="00E92699" w:rsidP="00E92699">
            <w:pPr>
              <w:spacing w:before="40" w:after="120"/>
              <w:ind w:right="113"/>
            </w:pPr>
            <w:r>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w:t>
            </w:r>
          </w:p>
        </w:tc>
        <w:tc>
          <w:tcPr>
            <w:tcW w:w="2502" w:type="dxa"/>
            <w:shd w:val="clear" w:color="auto" w:fill="auto"/>
          </w:tcPr>
          <w:p w:rsidR="00E92699" w:rsidRPr="00E92699" w:rsidRDefault="00E92699" w:rsidP="00E92699">
            <w:pPr>
              <w:spacing w:before="40" w:after="120"/>
              <w:ind w:right="113"/>
            </w:pPr>
            <w:r>
              <w:t>Noted</w:t>
            </w:r>
          </w:p>
        </w:tc>
        <w:tc>
          <w:tcPr>
            <w:tcW w:w="4444" w:type="dxa"/>
            <w:shd w:val="clear" w:color="auto" w:fill="auto"/>
          </w:tcPr>
          <w:p w:rsidR="00E92699" w:rsidRPr="00E92699" w:rsidRDefault="00E92699" w:rsidP="00E92699">
            <w:pPr>
              <w:spacing w:before="40" w:after="120"/>
              <w:ind w:right="113"/>
            </w:pPr>
            <w:r w:rsidRPr="00E92699">
              <w:rPr>
                <w:lang w:val="en-US"/>
              </w:rPr>
              <w:t>As explained by Somalia during the UPR session on 22 January 2016 abolishing the death penalty is not attainable in the current situation of Somalia as the people are not ready to accept this. Somalia will initiate community dialogue on the position of the death penalty in our society.</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5.</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Pr>
                <w:lang w:val="en-US"/>
              </w:rPr>
              <w:t>See No. 3</w:t>
            </w:r>
            <w:r w:rsidRPr="00E92699">
              <w:rPr>
                <w:lang w:val="en-US"/>
              </w:rPr>
              <w:t>.</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6.</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3.</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7.</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D045E4">
            <w:pPr>
              <w:spacing w:before="40" w:after="120"/>
              <w:ind w:right="113"/>
            </w:pPr>
            <w:r w:rsidRPr="00E92699">
              <w:rPr>
                <w:lang w:val="en-US"/>
              </w:rPr>
              <w:t>See No. 1. Somalia is in the process of to sign CEDAW. Noting this recommendation as it is too broadly formulated.</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8.</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 xml:space="preserve">See No. </w:t>
            </w:r>
            <w:r>
              <w:rPr>
                <w:lang w:val="en-US"/>
              </w:rPr>
              <w:t>7</w:t>
            </w:r>
            <w:r w:rsidRPr="00E92699">
              <w:rPr>
                <w:lang w:val="en-US"/>
              </w:rPr>
              <w:t>.</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9.</w:t>
            </w:r>
          </w:p>
        </w:tc>
        <w:tc>
          <w:tcPr>
            <w:tcW w:w="2502" w:type="dxa"/>
            <w:shd w:val="clear" w:color="auto" w:fill="auto"/>
          </w:tcPr>
          <w:p w:rsidR="00E92699" w:rsidRPr="00E92699" w:rsidRDefault="00E92699" w:rsidP="00E92699">
            <w:pPr>
              <w:spacing w:before="40" w:after="120"/>
              <w:ind w:right="113"/>
            </w:pPr>
            <w:r>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10.</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11.</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12.</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13.</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14.</w:t>
            </w:r>
          </w:p>
        </w:tc>
        <w:tc>
          <w:tcPr>
            <w:tcW w:w="2502" w:type="dxa"/>
            <w:shd w:val="clear" w:color="auto" w:fill="auto"/>
          </w:tcPr>
          <w:p w:rsidR="00E92699" w:rsidRPr="00E92699" w:rsidRDefault="00E92699" w:rsidP="00E92699">
            <w:pPr>
              <w:spacing w:before="40" w:after="120"/>
              <w:ind w:right="113"/>
            </w:pPr>
            <w:r w:rsidRPr="00E92699">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15.</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16.</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17.</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18.</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19.</w:t>
            </w:r>
          </w:p>
        </w:tc>
        <w:tc>
          <w:tcPr>
            <w:tcW w:w="2502" w:type="dxa"/>
            <w:shd w:val="clear" w:color="auto" w:fill="auto"/>
          </w:tcPr>
          <w:p w:rsidR="00E92699" w:rsidRPr="00E92699" w:rsidRDefault="00E92699" w:rsidP="00E92699">
            <w:pPr>
              <w:spacing w:before="40" w:after="120"/>
              <w:ind w:right="113"/>
            </w:pPr>
            <w:r w:rsidRPr="00E92699">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20.</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21.</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E92699" w:rsidP="00E92699">
            <w:pPr>
              <w:spacing w:before="40" w:after="120"/>
              <w:ind w:right="113"/>
            </w:pPr>
            <w:r w:rsidRPr="00E92699">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lastRenderedPageBreak/>
              <w:t>22.</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23.</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24.</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25.</w:t>
            </w:r>
          </w:p>
        </w:tc>
        <w:tc>
          <w:tcPr>
            <w:tcW w:w="2502" w:type="dxa"/>
            <w:shd w:val="clear" w:color="auto" w:fill="auto"/>
          </w:tcPr>
          <w:p w:rsidR="00E92699" w:rsidRPr="00E92699" w:rsidRDefault="00E92699" w:rsidP="00E92699">
            <w:pPr>
              <w:spacing w:before="40" w:after="120"/>
              <w:ind w:right="113"/>
            </w:pPr>
            <w:r w:rsidRPr="00E92699">
              <w:t>Noted</w:t>
            </w:r>
          </w:p>
        </w:tc>
        <w:tc>
          <w:tcPr>
            <w:tcW w:w="4444" w:type="dxa"/>
            <w:shd w:val="clear" w:color="auto" w:fill="auto"/>
          </w:tcPr>
          <w:p w:rsidR="00E92699" w:rsidRPr="00E92699" w:rsidRDefault="005A6088" w:rsidP="00E92699">
            <w:pPr>
              <w:spacing w:before="40" w:after="120"/>
              <w:ind w:right="113"/>
            </w:pPr>
            <w:r w:rsidRPr="005A6088">
              <w:rPr>
                <w:lang w:val="en-US"/>
              </w:rPr>
              <w:t>See No. 1. Also too broadly formulated.</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26.</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27.</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 Also too broadly formulated.</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28.</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Articles 14, 20 and 21 are excluded by the Somali Federal Parliament.</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29.</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30.</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31.</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32.</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33.</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34.</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35.</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36.</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37.</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38.</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1.</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39.</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40.</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41.</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42.</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43.</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44.</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45.</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This recommendation mostly enjoys support from Somalia. However, abolishing the death penalty cannot be endorsed by Somalia. See no. 3 for explanation.</w:t>
            </w: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46.</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47.</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48.</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49.</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50.</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51.</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52.</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E92699" w:rsidP="00E92699">
            <w:pPr>
              <w:spacing w:before="40" w:after="120"/>
              <w:ind w:right="113"/>
            </w:pPr>
            <w:r>
              <w:t>53.</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54.</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55.</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56.</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57.</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58.</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59.</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60.</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61.</w:t>
            </w:r>
          </w:p>
        </w:tc>
        <w:tc>
          <w:tcPr>
            <w:tcW w:w="2502" w:type="dxa"/>
            <w:shd w:val="clear" w:color="auto" w:fill="auto"/>
          </w:tcPr>
          <w:p w:rsidR="00E92699" w:rsidRPr="00E92699" w:rsidRDefault="005A6088" w:rsidP="00E92699">
            <w:pPr>
              <w:spacing w:before="40" w:after="120"/>
              <w:ind w:right="113"/>
            </w:pPr>
            <w:r>
              <w:t>Noted</w:t>
            </w:r>
          </w:p>
        </w:tc>
        <w:tc>
          <w:tcPr>
            <w:tcW w:w="4444" w:type="dxa"/>
            <w:shd w:val="clear" w:color="auto" w:fill="auto"/>
          </w:tcPr>
          <w:p w:rsidR="00E92699" w:rsidRPr="00E92699" w:rsidRDefault="005A6088" w:rsidP="00E92699">
            <w:pPr>
              <w:spacing w:before="40" w:after="120"/>
              <w:ind w:right="113"/>
            </w:pPr>
            <w:r w:rsidRPr="005A6088">
              <w:rPr>
                <w:lang w:val="en-US"/>
              </w:rPr>
              <w:t xml:space="preserve">Somalia requires </w:t>
            </w:r>
            <w:proofErr w:type="gramStart"/>
            <w:r w:rsidRPr="005A6088">
              <w:rPr>
                <w:lang w:val="en-US"/>
              </w:rPr>
              <w:t>to engage</w:t>
            </w:r>
            <w:proofErr w:type="gramEnd"/>
            <w:r w:rsidRPr="005A6088">
              <w:rPr>
                <w:lang w:val="en-US"/>
              </w:rPr>
              <w:t xml:space="preserve"> in wide community dialogue before being able to address this recommendation.</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62.</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63.</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64.</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65.</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66.</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67.</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68.</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69.</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70.</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71.</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72.</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73.</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See No. 3.</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74.</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75.</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76.</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77.</w:t>
            </w:r>
          </w:p>
        </w:tc>
        <w:tc>
          <w:tcPr>
            <w:tcW w:w="2502" w:type="dxa"/>
            <w:shd w:val="clear" w:color="auto" w:fill="auto"/>
          </w:tcPr>
          <w:p w:rsidR="00E92699" w:rsidRPr="00E92699" w:rsidRDefault="005A6088" w:rsidP="00E92699">
            <w:pPr>
              <w:spacing w:before="40" w:after="120"/>
              <w:ind w:right="113"/>
            </w:pPr>
            <w:r w:rsidRPr="005A6088">
              <w:t>Noted</w:t>
            </w:r>
          </w:p>
        </w:tc>
        <w:tc>
          <w:tcPr>
            <w:tcW w:w="4444" w:type="dxa"/>
            <w:shd w:val="clear" w:color="auto" w:fill="auto"/>
          </w:tcPr>
          <w:p w:rsidR="00E92699" w:rsidRPr="00E92699" w:rsidRDefault="005A6088" w:rsidP="00E92699">
            <w:pPr>
              <w:spacing w:before="40" w:after="120"/>
              <w:ind w:right="113"/>
            </w:pPr>
            <w:r w:rsidRPr="005A6088">
              <w:rPr>
                <w:lang w:val="en-US"/>
              </w:rPr>
              <w:t>This recommendation mostly enjoys support from Somalia. However, it is too broadly formulated and some aspects cannot be implemented due to capacity constraints.</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78.</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79.</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80.</w:t>
            </w:r>
          </w:p>
        </w:tc>
        <w:tc>
          <w:tcPr>
            <w:tcW w:w="2502" w:type="dxa"/>
            <w:shd w:val="clear" w:color="auto" w:fill="auto"/>
          </w:tcPr>
          <w:p w:rsidR="00E92699" w:rsidRPr="00E92699" w:rsidRDefault="005A6088" w:rsidP="00E92699">
            <w:pPr>
              <w:spacing w:before="40" w:after="120"/>
              <w:ind w:right="113"/>
            </w:pPr>
            <w:r>
              <w:t>Noted</w:t>
            </w:r>
          </w:p>
        </w:tc>
        <w:tc>
          <w:tcPr>
            <w:tcW w:w="4444" w:type="dxa"/>
            <w:shd w:val="clear" w:color="auto" w:fill="auto"/>
          </w:tcPr>
          <w:p w:rsidR="00E92699" w:rsidRPr="00E92699" w:rsidRDefault="005A6088" w:rsidP="00E92699">
            <w:pPr>
              <w:spacing w:before="40" w:after="120"/>
              <w:ind w:right="113"/>
            </w:pPr>
            <w:r>
              <w:t>See No.1.</w:t>
            </w: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81.</w:t>
            </w:r>
          </w:p>
        </w:tc>
        <w:tc>
          <w:tcPr>
            <w:tcW w:w="2502" w:type="dxa"/>
            <w:shd w:val="clear" w:color="auto" w:fill="auto"/>
          </w:tcPr>
          <w:p w:rsidR="00E92699" w:rsidRPr="00E92699" w:rsidRDefault="005A6088" w:rsidP="00E92699">
            <w:pPr>
              <w:spacing w:before="40" w:after="120"/>
              <w:ind w:right="113"/>
            </w:pPr>
            <w:r w:rsidRPr="005A608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5A6088" w:rsidP="00E92699">
            <w:pPr>
              <w:spacing w:before="40" w:after="120"/>
              <w:ind w:right="113"/>
            </w:pPr>
            <w:r>
              <w:t>82.</w:t>
            </w:r>
          </w:p>
        </w:tc>
        <w:tc>
          <w:tcPr>
            <w:tcW w:w="2502" w:type="dxa"/>
            <w:shd w:val="clear" w:color="auto" w:fill="auto"/>
          </w:tcPr>
          <w:p w:rsidR="00E92699" w:rsidRPr="00E92699" w:rsidRDefault="005A6088" w:rsidP="00E92699">
            <w:pPr>
              <w:spacing w:before="40" w:after="120"/>
              <w:ind w:right="113"/>
            </w:pPr>
            <w:r>
              <w:t>Noted</w:t>
            </w:r>
          </w:p>
        </w:tc>
        <w:tc>
          <w:tcPr>
            <w:tcW w:w="4444" w:type="dxa"/>
            <w:shd w:val="clear" w:color="auto" w:fill="auto"/>
          </w:tcPr>
          <w:p w:rsidR="00E92699" w:rsidRPr="00E92699" w:rsidRDefault="005A6088" w:rsidP="005A6088">
            <w:pPr>
              <w:spacing w:before="40" w:after="120"/>
              <w:ind w:right="113"/>
            </w:pPr>
            <w:r w:rsidRPr="005A6088">
              <w:rPr>
                <w:lang w:val="en-US"/>
              </w:rPr>
              <w:t xml:space="preserve">Considering the limited capacity of the Government it will not be able to </w:t>
            </w:r>
            <w:proofErr w:type="spellStart"/>
            <w:r w:rsidRPr="005A6088">
              <w:rPr>
                <w:lang w:val="en-US"/>
              </w:rPr>
              <w:t>fulfil</w:t>
            </w:r>
            <w:proofErr w:type="spellEnd"/>
            <w:r w:rsidRPr="005A6088">
              <w:rPr>
                <w:lang w:val="en-US"/>
              </w:rPr>
              <w:t xml:space="preserve"> this recommendation in the current year.</w:t>
            </w:r>
          </w:p>
        </w:tc>
      </w:tr>
      <w:tr w:rsidR="00E92699" w:rsidRPr="00E92699" w:rsidTr="0037750B">
        <w:trPr>
          <w:tblHeader/>
        </w:trPr>
        <w:tc>
          <w:tcPr>
            <w:tcW w:w="1418" w:type="dxa"/>
            <w:shd w:val="clear" w:color="auto" w:fill="auto"/>
          </w:tcPr>
          <w:p w:rsidR="00E92699" w:rsidRPr="00E92699" w:rsidRDefault="00FF4FBF" w:rsidP="00E92699">
            <w:pPr>
              <w:spacing w:before="40" w:after="120"/>
              <w:ind w:right="113"/>
            </w:pPr>
            <w:r>
              <w:t>83.</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FF4FBF" w:rsidP="00E92699">
            <w:pPr>
              <w:spacing w:before="40" w:after="120"/>
              <w:ind w:right="113"/>
            </w:pPr>
            <w:r>
              <w:t>84.</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FF4FBF" w:rsidP="00E92699">
            <w:pPr>
              <w:spacing w:before="40" w:after="120"/>
              <w:ind w:right="113"/>
            </w:pPr>
            <w:r>
              <w:t>85.</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rsidRPr="00A33AB8">
              <w:rPr>
                <w:lang w:val="en-US"/>
              </w:rPr>
              <w:t>The definition of ‘early’ is different in Somalia compared to international standards.</w:t>
            </w:r>
          </w:p>
        </w:tc>
      </w:tr>
      <w:tr w:rsidR="00E92699" w:rsidRPr="00E92699" w:rsidTr="0037750B">
        <w:trPr>
          <w:tblHeader/>
        </w:trPr>
        <w:tc>
          <w:tcPr>
            <w:tcW w:w="1418" w:type="dxa"/>
            <w:shd w:val="clear" w:color="auto" w:fill="auto"/>
          </w:tcPr>
          <w:p w:rsidR="00E92699" w:rsidRPr="00E92699" w:rsidRDefault="00FF4FBF" w:rsidP="00E92699">
            <w:pPr>
              <w:spacing w:before="40" w:after="120"/>
              <w:ind w:right="113"/>
            </w:pPr>
            <w:r>
              <w:t>86.</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t>See No. 85.</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87.</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rsidRPr="00A33AB8">
              <w:t>See No. 85.</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88.</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89.</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90.</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91.</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rsidRPr="00A33AB8">
              <w:rPr>
                <w:lang w:val="en-US"/>
              </w:rPr>
              <w:t>This recommendation mostly enjoys support from Somalia. However, bringing civilians before military courts is necessary due to lack of security for civilian prosecutors.</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92.</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t>See No. 91.</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93.</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94.</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95.</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rsidRPr="00A33AB8">
              <w:rPr>
                <w:lang w:val="en-US"/>
              </w:rPr>
              <w:t>Attacks against all persons in Somalia are addressed through the criminal justice process. Impunity cases in Somalia are incidental and not “wide spread”.</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96.</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97.</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98.</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rsidRPr="00A33AB8">
              <w:rPr>
                <w:lang w:val="en-US"/>
              </w:rPr>
              <w:t>The Office of the Attorney General of Somalia independently determines which criminal cases require further prosecution.</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99.</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100.</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t xml:space="preserve">See No. 1. </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101.</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t>See No. 1.</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102.</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103.</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104.</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105.</w:t>
            </w:r>
          </w:p>
        </w:tc>
        <w:tc>
          <w:tcPr>
            <w:tcW w:w="2502" w:type="dxa"/>
            <w:shd w:val="clear" w:color="auto" w:fill="auto"/>
          </w:tcPr>
          <w:p w:rsidR="00E92699" w:rsidRPr="00E92699" w:rsidRDefault="00A33AB8" w:rsidP="00E92699">
            <w:pPr>
              <w:spacing w:before="40" w:after="120"/>
              <w:ind w:right="113"/>
            </w:pPr>
            <w:r w:rsidRPr="00A33AB8">
              <w:t>Noted</w:t>
            </w:r>
          </w:p>
        </w:tc>
        <w:tc>
          <w:tcPr>
            <w:tcW w:w="4444" w:type="dxa"/>
            <w:shd w:val="clear" w:color="auto" w:fill="auto"/>
          </w:tcPr>
          <w:p w:rsidR="00E92699" w:rsidRPr="00E92699" w:rsidRDefault="00A33AB8" w:rsidP="00E92699">
            <w:pPr>
              <w:spacing w:before="40" w:after="120"/>
              <w:ind w:right="113"/>
            </w:pPr>
            <w:r w:rsidRPr="00A33AB8">
              <w:rPr>
                <w:lang w:val="en-US"/>
              </w:rPr>
              <w:t>This recommendation mostly enjoys support from Somalia. However, Somalia’s security situation requires the Government to carefully balance human rights and the country’s security interest. Inciting violence against the Government and hatred amongst communities are acts that Somalia cannot accept and will take serious measures against.</w:t>
            </w: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106.</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107.</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108.</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109.</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110.</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111.</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112.</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113.</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114.</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115.</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116.</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117.</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118.</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119.</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shd w:val="clear" w:color="auto" w:fill="auto"/>
          </w:tcPr>
          <w:p w:rsidR="00E92699" w:rsidRPr="00E92699" w:rsidRDefault="00A33AB8" w:rsidP="00E92699">
            <w:pPr>
              <w:spacing w:before="40" w:after="120"/>
              <w:ind w:right="113"/>
            </w:pPr>
            <w:r>
              <w:t>120.</w:t>
            </w:r>
          </w:p>
        </w:tc>
        <w:tc>
          <w:tcPr>
            <w:tcW w:w="2502" w:type="dxa"/>
            <w:shd w:val="clear" w:color="auto" w:fill="auto"/>
          </w:tcPr>
          <w:p w:rsidR="00E92699" w:rsidRPr="00E92699" w:rsidRDefault="00A33AB8" w:rsidP="00E92699">
            <w:pPr>
              <w:spacing w:before="40" w:after="120"/>
              <w:ind w:right="113"/>
            </w:pPr>
            <w:r w:rsidRPr="00A33AB8">
              <w:t>Enjoy support</w:t>
            </w:r>
          </w:p>
        </w:tc>
        <w:tc>
          <w:tcPr>
            <w:tcW w:w="4444" w:type="dxa"/>
            <w:shd w:val="clear" w:color="auto" w:fill="auto"/>
          </w:tcPr>
          <w:p w:rsidR="00E92699" w:rsidRPr="00E92699" w:rsidRDefault="00E92699" w:rsidP="00E92699">
            <w:pPr>
              <w:spacing w:before="40" w:after="120"/>
              <w:ind w:right="113"/>
            </w:pPr>
          </w:p>
        </w:tc>
      </w:tr>
      <w:tr w:rsidR="00E92699" w:rsidRPr="00E92699" w:rsidTr="0037750B">
        <w:trPr>
          <w:tblHeader/>
        </w:trPr>
        <w:tc>
          <w:tcPr>
            <w:tcW w:w="1418" w:type="dxa"/>
            <w:tcBorders>
              <w:bottom w:val="single" w:sz="12" w:space="0" w:color="auto"/>
            </w:tcBorders>
            <w:shd w:val="clear" w:color="auto" w:fill="auto"/>
          </w:tcPr>
          <w:p w:rsidR="00E92699" w:rsidRPr="00E92699" w:rsidRDefault="00A33AB8" w:rsidP="00E92699">
            <w:pPr>
              <w:spacing w:before="40" w:after="120"/>
              <w:ind w:right="113"/>
            </w:pPr>
            <w:r>
              <w:t>121.</w:t>
            </w:r>
          </w:p>
        </w:tc>
        <w:tc>
          <w:tcPr>
            <w:tcW w:w="2502" w:type="dxa"/>
            <w:tcBorders>
              <w:bottom w:val="single" w:sz="12" w:space="0" w:color="auto"/>
            </w:tcBorders>
            <w:shd w:val="clear" w:color="auto" w:fill="auto"/>
          </w:tcPr>
          <w:p w:rsidR="00E92699" w:rsidRPr="00E92699" w:rsidRDefault="00A33AB8" w:rsidP="00E92699">
            <w:pPr>
              <w:spacing w:before="40" w:after="120"/>
              <w:ind w:right="113"/>
            </w:pPr>
            <w:r w:rsidRPr="00A33AB8">
              <w:t>Enjoy support</w:t>
            </w:r>
          </w:p>
        </w:tc>
        <w:tc>
          <w:tcPr>
            <w:tcW w:w="4444" w:type="dxa"/>
            <w:tcBorders>
              <w:bottom w:val="single" w:sz="12" w:space="0" w:color="auto"/>
            </w:tcBorders>
            <w:shd w:val="clear" w:color="auto" w:fill="auto"/>
          </w:tcPr>
          <w:p w:rsidR="00E92699" w:rsidRPr="00E92699" w:rsidRDefault="00E92699" w:rsidP="00E92699">
            <w:pPr>
              <w:spacing w:before="40" w:after="120"/>
              <w:ind w:right="113"/>
            </w:pPr>
          </w:p>
        </w:tc>
      </w:tr>
    </w:tbl>
    <w:p w:rsidR="00CF586F" w:rsidRPr="00A33AB8" w:rsidRDefault="00A33AB8" w:rsidP="00A33AB8">
      <w:pPr>
        <w:spacing w:before="240"/>
        <w:ind w:left="1134" w:right="1134"/>
        <w:jc w:val="center"/>
        <w:rPr>
          <w:u w:val="single"/>
        </w:rPr>
      </w:pPr>
      <w:r>
        <w:rPr>
          <w:u w:val="single"/>
        </w:rPr>
        <w:tab/>
      </w:r>
      <w:r>
        <w:rPr>
          <w:u w:val="single"/>
        </w:rPr>
        <w:tab/>
      </w:r>
      <w:r>
        <w:rPr>
          <w:u w:val="single"/>
        </w:rPr>
        <w:tab/>
      </w:r>
    </w:p>
    <w:sectPr w:rsidR="00CF586F" w:rsidRPr="00A33AB8" w:rsidSect="00E9269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99" w:rsidRDefault="00E92699"/>
  </w:endnote>
  <w:endnote w:type="continuationSeparator" w:id="0">
    <w:p w:rsidR="00E92699" w:rsidRDefault="00E92699"/>
  </w:endnote>
  <w:endnote w:type="continuationNotice" w:id="1">
    <w:p w:rsidR="00E92699" w:rsidRDefault="00E9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99" w:rsidRPr="00E92699" w:rsidRDefault="00E92699" w:rsidP="00E92699">
    <w:pPr>
      <w:pStyle w:val="Footer"/>
      <w:tabs>
        <w:tab w:val="right" w:pos="9638"/>
      </w:tabs>
    </w:pPr>
    <w:r w:rsidRPr="00E92699">
      <w:rPr>
        <w:b/>
        <w:sz w:val="18"/>
      </w:rPr>
      <w:fldChar w:fldCharType="begin"/>
    </w:r>
    <w:r w:rsidRPr="00E92699">
      <w:rPr>
        <w:b/>
        <w:sz w:val="18"/>
      </w:rPr>
      <w:instrText xml:space="preserve"> PAGE  \* MERGEFORMAT </w:instrText>
    </w:r>
    <w:r w:rsidRPr="00E92699">
      <w:rPr>
        <w:b/>
        <w:sz w:val="18"/>
      </w:rPr>
      <w:fldChar w:fldCharType="separate"/>
    </w:r>
    <w:r w:rsidR="00332BE3">
      <w:rPr>
        <w:b/>
        <w:noProof/>
        <w:sz w:val="18"/>
      </w:rPr>
      <w:t>6</w:t>
    </w:r>
    <w:r w:rsidRPr="00E9269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99" w:rsidRPr="00E92699" w:rsidRDefault="00E92699" w:rsidP="00E92699">
    <w:pPr>
      <w:pStyle w:val="Footer"/>
      <w:tabs>
        <w:tab w:val="right" w:pos="9638"/>
      </w:tabs>
      <w:rPr>
        <w:b/>
        <w:sz w:val="18"/>
      </w:rPr>
    </w:pPr>
    <w:r>
      <w:tab/>
    </w:r>
    <w:r w:rsidRPr="00E92699">
      <w:rPr>
        <w:b/>
        <w:sz w:val="18"/>
      </w:rPr>
      <w:fldChar w:fldCharType="begin"/>
    </w:r>
    <w:r w:rsidRPr="00E92699">
      <w:rPr>
        <w:b/>
        <w:sz w:val="18"/>
      </w:rPr>
      <w:instrText xml:space="preserve"> PAGE  \* MERGEFORMAT </w:instrText>
    </w:r>
    <w:r w:rsidRPr="00E92699">
      <w:rPr>
        <w:b/>
        <w:sz w:val="18"/>
      </w:rPr>
      <w:fldChar w:fldCharType="separate"/>
    </w:r>
    <w:r w:rsidR="00332BE3">
      <w:rPr>
        <w:b/>
        <w:noProof/>
        <w:sz w:val="18"/>
      </w:rPr>
      <w:t>5</w:t>
    </w:r>
    <w:r w:rsidRPr="00E926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E92699" w:rsidRDefault="00332BE3"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E92699">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99" w:rsidRPr="000B175B" w:rsidRDefault="00E92699" w:rsidP="000B175B">
      <w:pPr>
        <w:tabs>
          <w:tab w:val="right" w:pos="2155"/>
        </w:tabs>
        <w:spacing w:after="80"/>
        <w:ind w:left="680"/>
        <w:rPr>
          <w:u w:val="single"/>
        </w:rPr>
      </w:pPr>
      <w:r>
        <w:rPr>
          <w:u w:val="single"/>
        </w:rPr>
        <w:tab/>
      </w:r>
    </w:p>
  </w:footnote>
  <w:footnote w:type="continuationSeparator" w:id="0">
    <w:p w:rsidR="00E92699" w:rsidRPr="00FC68B7" w:rsidRDefault="00E92699" w:rsidP="00FC68B7">
      <w:pPr>
        <w:tabs>
          <w:tab w:val="left" w:pos="2155"/>
        </w:tabs>
        <w:spacing w:after="80"/>
        <w:ind w:left="680"/>
        <w:rPr>
          <w:u w:val="single"/>
        </w:rPr>
      </w:pPr>
      <w:r>
        <w:rPr>
          <w:u w:val="single"/>
        </w:rPr>
        <w:tab/>
      </w:r>
    </w:p>
  </w:footnote>
  <w:footnote w:type="continuationNotice" w:id="1">
    <w:p w:rsidR="00E92699" w:rsidRDefault="00E92699"/>
  </w:footnote>
  <w:footnote w:id="2">
    <w:p w:rsidR="00E92699" w:rsidRDefault="00E92699" w:rsidP="00E92699">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99" w:rsidRPr="00E92699" w:rsidRDefault="00E92699">
    <w:pPr>
      <w:pStyle w:val="Header"/>
    </w:pPr>
    <w:r>
      <w:t>A/HRC/32/12/Add.1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99" w:rsidRPr="00E92699" w:rsidRDefault="00E92699" w:rsidP="00E92699">
    <w:pPr>
      <w:pStyle w:val="Header"/>
      <w:jc w:val="right"/>
    </w:pPr>
    <w:r>
      <w:t>A/HRC/32/12/Add.1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699"/>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2BE3"/>
    <w:rsid w:val="00335A2F"/>
    <w:rsid w:val="00341937"/>
    <w:rsid w:val="0037750B"/>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A6088"/>
    <w:rsid w:val="005B3DB3"/>
    <w:rsid w:val="005B6E48"/>
    <w:rsid w:val="005E1712"/>
    <w:rsid w:val="00611FC4"/>
    <w:rsid w:val="006176FB"/>
    <w:rsid w:val="00640B26"/>
    <w:rsid w:val="00670741"/>
    <w:rsid w:val="00696BD6"/>
    <w:rsid w:val="006A574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072B"/>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33AB8"/>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045E4"/>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2699"/>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 w:val="00FF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92699"/>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A8E806-2C61-4477-B104-C0BA2AF6676C}"/>
</file>

<file path=customXml/itemProps2.xml><?xml version="1.0" encoding="utf-8"?>
<ds:datastoreItem xmlns:ds="http://schemas.openxmlformats.org/officeDocument/2006/customXml" ds:itemID="{C497BAB6-90DB-472F-AFF1-DB1562E8481A}"/>
</file>

<file path=customXml/itemProps3.xml><?xml version="1.0" encoding="utf-8"?>
<ds:datastoreItem xmlns:ds="http://schemas.openxmlformats.org/officeDocument/2006/customXml" ds:itemID="{70DFE478-029C-4CFC-BC2C-D01B2A6572DB}"/>
</file>

<file path=docProps/app.xml><?xml version="1.0" encoding="utf-8"?>
<Properties xmlns="http://schemas.openxmlformats.org/officeDocument/2006/extended-properties" xmlns:vt="http://schemas.openxmlformats.org/officeDocument/2006/docPropsVTypes">
  <Template>A_E.dotm</Template>
  <TotalTime>0</TotalTime>
  <Pages>6</Pages>
  <Words>802</Words>
  <Characters>4574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3</cp:revision>
  <cp:lastPrinted>2016-06-06T13:13:00Z</cp:lastPrinted>
  <dcterms:created xsi:type="dcterms:W3CDTF">2016-06-16T10:14:00Z</dcterms:created>
  <dcterms:modified xsi:type="dcterms:W3CDTF">2016-06-16T10:14:00Z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