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0F38A6">
        <w:rPr>
          <w:rFonts w:ascii="Times New Roman" w:hAnsi="Times New Roman"/>
          <w:b/>
          <w:sz w:val="24"/>
          <w:szCs w:val="24"/>
          <w:u w:val="single"/>
        </w:rPr>
        <w:t>THE MARSHALL ISLANDS</w:t>
      </w:r>
      <w:r w:rsidR="00823C4B">
        <w:rPr>
          <w:rFonts w:ascii="Times New Roman" w:hAnsi="Times New Roman"/>
          <w:b/>
          <w:sz w:val="24"/>
          <w:szCs w:val="24"/>
          <w:u w:val="single"/>
        </w:rPr>
        <w:t xml:space="preserve"> – ADD.2</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29315B" w:rsidRDefault="0029315B" w:rsidP="00A25231">
      <w:pPr>
        <w:ind w:left="360"/>
        <w:rPr>
          <w:rFonts w:ascii="Times New Roman" w:hAnsi="Times New Roman"/>
          <w:b/>
          <w:sz w:val="24"/>
          <w:szCs w:val="24"/>
        </w:rPr>
      </w:pPr>
      <w:r>
        <w:rPr>
          <w:rFonts w:ascii="Times New Roman" w:hAnsi="Times New Roman"/>
          <w:b/>
          <w:sz w:val="24"/>
          <w:szCs w:val="24"/>
        </w:rPr>
        <w:t>LIECHTENSTEIN</w:t>
      </w:r>
    </w:p>
    <w:p w:rsidR="0029315B" w:rsidRDefault="0029315B" w:rsidP="00A25231">
      <w:pPr>
        <w:ind w:left="360"/>
        <w:rPr>
          <w:rFonts w:ascii="Times New Roman" w:hAnsi="Times New Roman"/>
          <w:b/>
          <w:sz w:val="24"/>
          <w:szCs w:val="24"/>
        </w:rPr>
      </w:pPr>
    </w:p>
    <w:p w:rsidR="0029315B" w:rsidRPr="0029315B" w:rsidRDefault="0029315B" w:rsidP="0029315B">
      <w:pPr>
        <w:pStyle w:val="ListParagraph"/>
        <w:numPr>
          <w:ilvl w:val="0"/>
          <w:numId w:val="50"/>
        </w:numPr>
        <w:spacing w:after="200"/>
        <w:jc w:val="both"/>
        <w:rPr>
          <w:rFonts w:ascii="Times New Roman" w:hAnsi="Times New Roman"/>
          <w:sz w:val="24"/>
          <w:szCs w:val="24"/>
        </w:rPr>
      </w:pPr>
      <w:r w:rsidRPr="007A2B29">
        <w:rPr>
          <w:rFonts w:ascii="Times New Roman" w:hAnsi="Times New Roman"/>
          <w:sz w:val="24"/>
          <w:szCs w:val="24"/>
        </w:rPr>
        <w:t>Liechtenstein recognizes the Marshall Islands’ commitment to international criminal justice, as evidenced by its ratification of the Rome Statute of the International Criminal Court.</w:t>
      </w:r>
      <w:bookmarkStart w:id="0" w:name="_GoBack"/>
      <w:bookmarkEnd w:id="0"/>
      <w:r w:rsidRPr="0029315B">
        <w:rPr>
          <w:rFonts w:ascii="Times New Roman" w:hAnsi="Times New Roman"/>
          <w:sz w:val="24"/>
          <w:szCs w:val="24"/>
        </w:rPr>
        <w:t>Liechtenstein further recognizes the Marshall Islands’ participation in the “Workshop for the Universality of the Rome Statute of the ICC and the Kampala Amendments on the Crime of Aggression in Pacific Region” held in Auckland in March 2014. What steps have the Marshall Islands taken to ratify the Kampala amendments to the Rome Statute?</w:t>
      </w:r>
    </w:p>
    <w:p w:rsidR="0029315B" w:rsidRDefault="0029315B" w:rsidP="00A25231">
      <w:pPr>
        <w:ind w:left="360"/>
        <w:rPr>
          <w:rFonts w:ascii="Times New Roman" w:hAnsi="Times New Roman"/>
          <w:b/>
          <w:sz w:val="24"/>
          <w:szCs w:val="24"/>
        </w:rPr>
      </w:pPr>
    </w:p>
    <w:p w:rsidR="00B03635" w:rsidRDefault="00823C4B" w:rsidP="00A25231">
      <w:pPr>
        <w:ind w:left="360"/>
        <w:rPr>
          <w:rFonts w:ascii="Times New Roman" w:hAnsi="Times New Roman"/>
          <w:b/>
          <w:sz w:val="24"/>
          <w:szCs w:val="24"/>
        </w:rPr>
      </w:pPr>
      <w:r>
        <w:rPr>
          <w:rFonts w:ascii="Times New Roman" w:hAnsi="Times New Roman"/>
          <w:b/>
          <w:sz w:val="24"/>
          <w:szCs w:val="24"/>
        </w:rPr>
        <w:t>MEXICO</w:t>
      </w:r>
    </w:p>
    <w:p w:rsidR="00823C4B" w:rsidRDefault="00823C4B" w:rsidP="00A25231">
      <w:pPr>
        <w:ind w:left="360"/>
        <w:rPr>
          <w:rFonts w:ascii="Times New Roman" w:hAnsi="Times New Roman"/>
          <w:b/>
          <w:sz w:val="24"/>
          <w:szCs w:val="24"/>
        </w:rPr>
      </w:pPr>
    </w:p>
    <w:p w:rsidR="00823C4B" w:rsidRPr="00823C4B" w:rsidRDefault="00823C4B" w:rsidP="00823C4B">
      <w:pPr>
        <w:pStyle w:val="ListParagraph"/>
        <w:numPr>
          <w:ilvl w:val="0"/>
          <w:numId w:val="49"/>
        </w:numPr>
        <w:spacing w:line="240" w:lineRule="auto"/>
        <w:rPr>
          <w:rFonts w:ascii="Times New Roman" w:eastAsia="Times New Roman" w:hAnsi="Times New Roman"/>
          <w:sz w:val="24"/>
          <w:szCs w:val="24"/>
          <w:lang w:val="en-US"/>
        </w:rPr>
      </w:pPr>
      <w:r w:rsidRPr="00823C4B">
        <w:rPr>
          <w:rFonts w:ascii="Times New Roman" w:eastAsia="Times New Roman" w:hAnsi="Times New Roman"/>
          <w:sz w:val="24"/>
          <w:szCs w:val="24"/>
          <w:lang w:val="en-US"/>
        </w:rPr>
        <w:t>Could you elaborate on the Resource Development Committee´s consultation process to adhere to the main human rights treaties? What is the current state of those consultations? Does the process establish a reasonably short period of time with deadlines for such decisions?</w:t>
      </w:r>
    </w:p>
    <w:p w:rsidR="00823C4B" w:rsidRPr="00823C4B" w:rsidRDefault="00823C4B" w:rsidP="00823C4B">
      <w:pPr>
        <w:spacing w:line="240" w:lineRule="auto"/>
        <w:rPr>
          <w:rFonts w:ascii="Times New Roman" w:eastAsia="Times New Roman" w:hAnsi="Times New Roman"/>
          <w:sz w:val="24"/>
          <w:szCs w:val="24"/>
          <w:lang w:val="en-US"/>
        </w:rPr>
      </w:pPr>
    </w:p>
    <w:p w:rsidR="00823C4B" w:rsidRPr="00823C4B" w:rsidRDefault="00823C4B" w:rsidP="00823C4B">
      <w:pPr>
        <w:pStyle w:val="ListParagraph"/>
        <w:numPr>
          <w:ilvl w:val="0"/>
          <w:numId w:val="49"/>
        </w:numPr>
        <w:spacing w:line="240" w:lineRule="auto"/>
        <w:rPr>
          <w:rFonts w:ascii="Times New Roman" w:eastAsia="Times New Roman" w:hAnsi="Times New Roman"/>
          <w:sz w:val="24"/>
          <w:szCs w:val="24"/>
          <w:lang w:val="en-US"/>
        </w:rPr>
      </w:pPr>
      <w:r w:rsidRPr="00823C4B">
        <w:rPr>
          <w:rFonts w:ascii="Times New Roman" w:eastAsia="Times New Roman" w:hAnsi="Times New Roman"/>
          <w:sz w:val="24"/>
          <w:szCs w:val="24"/>
          <w:lang w:val="en-US"/>
        </w:rPr>
        <w:t xml:space="preserve">How do you ensure that persons belonging to groups in situation of vulnerability, in particular persons with disabilities benefit from the human rights educational and awareness-raising programmes, including the Wa Kuk Wa Jimor (outer islands visiting programme) ? </w:t>
      </w:r>
    </w:p>
    <w:p w:rsidR="00823C4B" w:rsidRPr="00823C4B" w:rsidRDefault="00823C4B" w:rsidP="00823C4B">
      <w:pPr>
        <w:spacing w:line="240" w:lineRule="auto"/>
        <w:rPr>
          <w:rFonts w:ascii="Times New Roman" w:eastAsia="Times New Roman" w:hAnsi="Times New Roman"/>
          <w:sz w:val="24"/>
          <w:szCs w:val="24"/>
          <w:lang w:val="en-US"/>
        </w:rPr>
      </w:pPr>
    </w:p>
    <w:p w:rsidR="00823C4B" w:rsidRPr="00823C4B" w:rsidRDefault="00823C4B" w:rsidP="00823C4B">
      <w:pPr>
        <w:pStyle w:val="ListParagraph"/>
        <w:numPr>
          <w:ilvl w:val="0"/>
          <w:numId w:val="49"/>
        </w:numPr>
        <w:spacing w:line="240" w:lineRule="auto"/>
        <w:rPr>
          <w:rFonts w:ascii="Times New Roman" w:eastAsia="Times New Roman" w:hAnsi="Times New Roman"/>
          <w:sz w:val="24"/>
          <w:szCs w:val="24"/>
          <w:lang w:val="en-US"/>
        </w:rPr>
      </w:pPr>
      <w:r w:rsidRPr="00823C4B">
        <w:rPr>
          <w:rFonts w:ascii="Times New Roman" w:eastAsia="Times New Roman" w:hAnsi="Times New Roman"/>
          <w:sz w:val="24"/>
          <w:szCs w:val="24"/>
          <w:lang w:val="en-US"/>
        </w:rPr>
        <w:t>What measures have been taken to stimulate the participation of civil society organizations in the promotion and protection of human rights?</w:t>
      </w:r>
    </w:p>
    <w:p w:rsidR="00823C4B" w:rsidRPr="00823C4B" w:rsidRDefault="00823C4B" w:rsidP="00823C4B">
      <w:pPr>
        <w:spacing w:line="240" w:lineRule="auto"/>
        <w:rPr>
          <w:rFonts w:ascii="Calibri" w:eastAsia="Times New Roman" w:hAnsi="Calibri"/>
          <w:lang w:val="es-MX"/>
        </w:rPr>
      </w:pPr>
    </w:p>
    <w:p w:rsidR="00823C4B" w:rsidRPr="00823C4B" w:rsidRDefault="00823C4B" w:rsidP="00A25231">
      <w:pPr>
        <w:ind w:left="360"/>
        <w:rPr>
          <w:rFonts w:ascii="Times New Roman" w:hAnsi="Times New Roman"/>
          <w:b/>
          <w:sz w:val="24"/>
          <w:szCs w:val="24"/>
          <w:lang w:val="es-MX"/>
        </w:rPr>
      </w:pPr>
    </w:p>
    <w:sectPr w:rsidR="00823C4B" w:rsidRPr="00823C4B"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0A64F7"/>
    <w:multiLevelType w:val="hybridMultilevel"/>
    <w:tmpl w:val="45A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nsid w:val="115227B1"/>
    <w:multiLevelType w:val="hybridMultilevel"/>
    <w:tmpl w:val="8CD8C212"/>
    <w:lvl w:ilvl="0" w:tplc="55DA25DA">
      <w:start w:val="14"/>
      <w:numFmt w:val="bullet"/>
      <w:lvlText w:val="-"/>
      <w:lvlJc w:val="left"/>
      <w:pPr>
        <w:tabs>
          <w:tab w:val="num" w:pos="720"/>
        </w:tabs>
        <w:ind w:left="720" w:hanging="360"/>
      </w:pPr>
      <w:rPr>
        <w:rFonts w:ascii="Calibri" w:eastAsia="Calibri" w:hAnsi="Calibri" w:cs="Times New Roman"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9A234E"/>
    <w:multiLevelType w:val="hybridMultilevel"/>
    <w:tmpl w:val="9A8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B7786E"/>
    <w:multiLevelType w:val="hybridMultilevel"/>
    <w:tmpl w:val="D890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1A402FCD"/>
    <w:multiLevelType w:val="hybridMultilevel"/>
    <w:tmpl w:val="01E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1567C4"/>
    <w:multiLevelType w:val="hybridMultilevel"/>
    <w:tmpl w:val="389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5E51BA"/>
    <w:multiLevelType w:val="hybridMultilevel"/>
    <w:tmpl w:val="1BEE0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6677837"/>
    <w:multiLevelType w:val="hybridMultilevel"/>
    <w:tmpl w:val="B4A803BE"/>
    <w:lvl w:ilvl="0" w:tplc="984060D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A7512C9"/>
    <w:multiLevelType w:val="hybridMultilevel"/>
    <w:tmpl w:val="DA70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820201"/>
    <w:multiLevelType w:val="hybridMultilevel"/>
    <w:tmpl w:val="23FCC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F8792A"/>
    <w:multiLevelType w:val="hybridMultilevel"/>
    <w:tmpl w:val="4DE6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86108A"/>
    <w:multiLevelType w:val="hybridMultilevel"/>
    <w:tmpl w:val="7168478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nsid w:val="3FDB79A9"/>
    <w:multiLevelType w:val="hybridMultilevel"/>
    <w:tmpl w:val="33B0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FC4834"/>
    <w:multiLevelType w:val="hybridMultilevel"/>
    <w:tmpl w:val="52F6265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26E3574"/>
    <w:multiLevelType w:val="hybridMultilevel"/>
    <w:tmpl w:val="5A669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5CF65D9"/>
    <w:multiLevelType w:val="hybridMultilevel"/>
    <w:tmpl w:val="276C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B454F7"/>
    <w:multiLevelType w:val="hybridMultilevel"/>
    <w:tmpl w:val="81AA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6B1BCE"/>
    <w:multiLevelType w:val="hybridMultilevel"/>
    <w:tmpl w:val="ADF29720"/>
    <w:lvl w:ilvl="0" w:tplc="4CFCE286">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nsid w:val="4C4E0CB3"/>
    <w:multiLevelType w:val="hybridMultilevel"/>
    <w:tmpl w:val="B44E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32E5051"/>
    <w:multiLevelType w:val="hybridMultilevel"/>
    <w:tmpl w:val="EF288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A541C2D"/>
    <w:multiLevelType w:val="hybridMultilevel"/>
    <w:tmpl w:val="279E1F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2">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3853544"/>
    <w:multiLevelType w:val="hybridMultilevel"/>
    <w:tmpl w:val="DC20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5B17B87"/>
    <w:multiLevelType w:val="hybridMultilevel"/>
    <w:tmpl w:val="765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E079F3"/>
    <w:multiLevelType w:val="hybridMultilevel"/>
    <w:tmpl w:val="48F8E4A8"/>
    <w:lvl w:ilvl="0" w:tplc="08090001">
      <w:start w:val="1"/>
      <w:numFmt w:val="bullet"/>
      <w:lvlText w:val=""/>
      <w:lvlJc w:val="left"/>
      <w:pPr>
        <w:ind w:left="1065" w:hanging="705"/>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8">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70D8553F"/>
    <w:multiLevelType w:val="hybridMultilevel"/>
    <w:tmpl w:val="3A4850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0">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7C567B"/>
    <w:multiLevelType w:val="hybridMultilevel"/>
    <w:tmpl w:val="EE14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6E400F"/>
    <w:multiLevelType w:val="hybridMultilevel"/>
    <w:tmpl w:val="81BA3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DE404B"/>
    <w:multiLevelType w:val="hybridMultilevel"/>
    <w:tmpl w:val="5B56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4"/>
  </w:num>
  <w:num w:numId="3">
    <w:abstractNumId w:val="42"/>
  </w:num>
  <w:num w:numId="4">
    <w:abstractNumId w:val="2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28"/>
  </w:num>
  <w:num w:numId="9">
    <w:abstractNumId w:val="4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32"/>
  </w:num>
  <w:num w:numId="14">
    <w:abstractNumId w:val="29"/>
  </w:num>
  <w:num w:numId="15">
    <w:abstractNumId w:val="35"/>
  </w:num>
  <w:num w:numId="16">
    <w:abstractNumId w:val="21"/>
  </w:num>
  <w:num w:numId="17">
    <w:abstractNumId w:val="34"/>
  </w:num>
  <w:num w:numId="18">
    <w:abstractNumId w:val="38"/>
  </w:num>
  <w:num w:numId="19">
    <w:abstractNumId w:val="3"/>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19"/>
  </w:num>
  <w:num w:numId="23">
    <w:abstractNumId w:val="10"/>
  </w:num>
  <w:num w:numId="24">
    <w:abstractNumId w:val="5"/>
  </w:num>
  <w:num w:numId="25">
    <w:abstractNumId w:val="2"/>
  </w:num>
  <w:num w:numId="26">
    <w:abstractNumId w:val="9"/>
  </w:num>
  <w:num w:numId="27">
    <w:abstractNumId w:val="15"/>
  </w:num>
  <w:num w:numId="28">
    <w:abstractNumId w:val="6"/>
  </w:num>
  <w:num w:numId="29">
    <w:abstractNumId w:val="36"/>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0"/>
  </w:num>
  <w:num w:numId="33">
    <w:abstractNumId w:val="20"/>
  </w:num>
  <w:num w:numId="34">
    <w:abstractNumId w:val="7"/>
  </w:num>
  <w:num w:numId="35">
    <w:abstractNumId w:val="4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2"/>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7"/>
  </w:num>
  <w:num w:numId="42">
    <w:abstractNumId w:val="16"/>
  </w:num>
  <w:num w:numId="43">
    <w:abstractNumId w:val="23"/>
  </w:num>
  <w:num w:numId="44">
    <w:abstractNumId w:val="14"/>
  </w:num>
  <w:num w:numId="45">
    <w:abstractNumId w:val="33"/>
  </w:num>
  <w:num w:numId="46">
    <w:abstractNumId w:val="45"/>
  </w:num>
  <w:num w:numId="47">
    <w:abstractNumId w:val="12"/>
  </w:num>
  <w:num w:numId="48">
    <w:abstractNumId w:val="25"/>
  </w:num>
  <w:num w:numId="49">
    <w:abstractNumId w:val="41"/>
  </w:num>
  <w:num w:numId="5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0F38A6"/>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9315B"/>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067E0"/>
    <w:rsid w:val="00714C7B"/>
    <w:rsid w:val="00751AA3"/>
    <w:rsid w:val="007537D4"/>
    <w:rsid w:val="00753DE5"/>
    <w:rsid w:val="00757725"/>
    <w:rsid w:val="007707DE"/>
    <w:rsid w:val="00772065"/>
    <w:rsid w:val="00773F0B"/>
    <w:rsid w:val="00775F52"/>
    <w:rsid w:val="0079464D"/>
    <w:rsid w:val="007D078B"/>
    <w:rsid w:val="007D388B"/>
    <w:rsid w:val="007D6AE3"/>
    <w:rsid w:val="007E2013"/>
    <w:rsid w:val="007F6F84"/>
    <w:rsid w:val="00800FFA"/>
    <w:rsid w:val="0081323A"/>
    <w:rsid w:val="008220F5"/>
    <w:rsid w:val="00822498"/>
    <w:rsid w:val="00823C4B"/>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2F84"/>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3635"/>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26E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DF75E2"/>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4B69"/>
    <w:rsid w:val="00F46C35"/>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customStyle="1" w:styleId="Body">
    <w:name w:val="Body"/>
    <w:rsid w:val="00B03635"/>
    <w:pPr>
      <w:pBdr>
        <w:top w:val="nil"/>
        <w:left w:val="nil"/>
        <w:bottom w:val="nil"/>
        <w:right w:val="nil"/>
        <w:between w:val="nil"/>
        <w:bar w:val="nil"/>
      </w:pBdr>
    </w:pPr>
    <w:rPr>
      <w:rFonts w:ascii="Helvetica" w:eastAsia="Arial Unicode MS" w:hAnsi="Arial Unicode MS" w:cs="Arial Unicode MS"/>
      <w:color w:val="000000"/>
      <w:sz w:val="22"/>
      <w:szCs w:val="22"/>
      <w:bdr w:val="nil"/>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customStyle="1" w:styleId="Body">
    <w:name w:val="Body"/>
    <w:rsid w:val="00B03635"/>
    <w:pPr>
      <w:pBdr>
        <w:top w:val="nil"/>
        <w:left w:val="nil"/>
        <w:bottom w:val="nil"/>
        <w:right w:val="nil"/>
        <w:between w:val="nil"/>
        <w:bar w:val="nil"/>
      </w:pBdr>
    </w:pPr>
    <w:rPr>
      <w:rFonts w:ascii="Helvetica" w:eastAsia="Arial Unicode MS" w:hAnsi="Arial Unicode MS" w:cs="Arial Unicode MS"/>
      <w:color w:val="000000"/>
      <w:sz w:val="22"/>
      <w:szCs w:val="22"/>
      <w:bdr w:val="ni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22414703">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F26CE-CE40-4C35-973F-3FE87416E40D}"/>
</file>

<file path=customXml/itemProps2.xml><?xml version="1.0" encoding="utf-8"?>
<ds:datastoreItem xmlns:ds="http://schemas.openxmlformats.org/officeDocument/2006/customXml" ds:itemID="{DBDD5776-BF38-41E7-BB57-4651BEB4AEE2}"/>
</file>

<file path=customXml/itemProps3.xml><?xml version="1.0" encoding="utf-8"?>
<ds:datastoreItem xmlns:ds="http://schemas.openxmlformats.org/officeDocument/2006/customXml" ds:itemID="{9FA6CBF8-56EA-4B2C-AE9C-E47B23C8CD01}"/>
</file>

<file path=customXml/itemProps4.xml><?xml version="1.0" encoding="utf-8"?>
<ds:datastoreItem xmlns:ds="http://schemas.openxmlformats.org/officeDocument/2006/customXml" ds:itemID="{AD581F9D-9D34-4F05-B11B-63B3707F5563}"/>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Marshall Islands </dc:title>
  <dc:creator>esummers</dc:creator>
  <cp:lastModifiedBy>Stancic Ljiljana</cp:lastModifiedBy>
  <cp:revision>3</cp:revision>
  <cp:lastPrinted>2011-09-06T11:49:00Z</cp:lastPrinted>
  <dcterms:created xsi:type="dcterms:W3CDTF">2015-04-30T11:35:00Z</dcterms:created>
  <dcterms:modified xsi:type="dcterms:W3CDTF">2015-04-30T15:24:00Z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1361200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