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0A" w:rsidRDefault="00902B0A" w:rsidP="00F12D1D">
      <w:pPr>
        <w:jc w:val="center"/>
        <w:rPr>
          <w:rFonts w:cs="PT Bold Heading"/>
          <w:u w:val="single"/>
          <w:rtl/>
        </w:rPr>
      </w:pPr>
      <w:bookmarkStart w:id="0" w:name="_GoBack"/>
      <w:bookmarkEnd w:id="0"/>
      <w:r w:rsidRPr="000D20C9">
        <w:rPr>
          <w:rFonts w:cs="PT Bold Heading" w:hint="cs"/>
          <w:u w:val="single"/>
          <w:rtl/>
        </w:rPr>
        <w:t xml:space="preserve">بيان موقف من الجزء المقبول من بعض التوصيات </w:t>
      </w:r>
    </w:p>
    <w:p w:rsidR="00AF64D0" w:rsidRDefault="00AF64D0" w:rsidP="00F12D1D">
      <w:pPr>
        <w:jc w:val="center"/>
        <w:rPr>
          <w:rFonts w:cs="PT Bold Heading"/>
          <w:u w:val="single"/>
          <w:rtl/>
        </w:rPr>
      </w:pPr>
    </w:p>
    <w:p w:rsidR="00B43665" w:rsidRPr="00AF64D0" w:rsidRDefault="001E0615" w:rsidP="00AF64D0">
      <w:pPr>
        <w:rPr>
          <w:rFonts w:cs="PT Bold Heading"/>
          <w:rtl/>
        </w:rPr>
      </w:pPr>
      <w:r>
        <w:rPr>
          <w:rFonts w:cs="PT Bold Heading" w:hint="cs"/>
          <w:rtl/>
        </w:rPr>
        <w:t>مع الأخذ في الاعتبار</w:t>
      </w:r>
      <w:r w:rsidR="00B43665" w:rsidRPr="00AF64D0">
        <w:rPr>
          <w:rFonts w:cs="PT Bold Heading" w:hint="cs"/>
          <w:rtl/>
        </w:rPr>
        <w:t xml:space="preserve"> ما</w:t>
      </w:r>
      <w:r w:rsidR="00AF64D0">
        <w:rPr>
          <w:rFonts w:cs="PT Bold Heading" w:hint="cs"/>
          <w:rtl/>
        </w:rPr>
        <w:t xml:space="preserve"> </w:t>
      </w:r>
      <w:r w:rsidR="00B43665" w:rsidRPr="00AF64D0">
        <w:rPr>
          <w:rFonts w:cs="PT Bold Heading" w:hint="cs"/>
          <w:rtl/>
        </w:rPr>
        <w:t xml:space="preserve">ورد </w:t>
      </w:r>
      <w:r w:rsidR="00AF64D0" w:rsidRPr="00AF64D0">
        <w:rPr>
          <w:rFonts w:cs="PT Bold Heading" w:hint="cs"/>
          <w:rtl/>
        </w:rPr>
        <w:t xml:space="preserve"> من آرا</w:t>
      </w:r>
      <w:r>
        <w:rPr>
          <w:rFonts w:cs="PT Bold Heading" w:hint="cs"/>
          <w:rtl/>
        </w:rPr>
        <w:t>ء</w:t>
      </w:r>
      <w:r w:rsidR="00AF64D0" w:rsidRPr="00AF64D0">
        <w:rPr>
          <w:rFonts w:cs="PT Bold Heading" w:hint="cs"/>
          <w:rtl/>
        </w:rPr>
        <w:t xml:space="preserve"> </w:t>
      </w:r>
      <w:r w:rsidR="00B43665" w:rsidRPr="00AF64D0">
        <w:rPr>
          <w:rFonts w:cs="PT Bold Heading" w:hint="cs"/>
          <w:rtl/>
        </w:rPr>
        <w:t xml:space="preserve">في التقرير المقدم من مصر بشأن </w:t>
      </w:r>
      <w:r w:rsidR="007F6E3A" w:rsidRPr="00AF64D0">
        <w:rPr>
          <w:rFonts w:cs="PT Bold Heading" w:hint="cs"/>
          <w:rtl/>
        </w:rPr>
        <w:t>الاستنتاجا</w:t>
      </w:r>
      <w:r w:rsidR="007F6E3A" w:rsidRPr="00AF64D0">
        <w:rPr>
          <w:rFonts w:cs="PT Bold Heading" w:hint="eastAsia"/>
          <w:rtl/>
        </w:rPr>
        <w:t>ت</w:t>
      </w:r>
      <w:r w:rsidR="00B43665" w:rsidRPr="00AF64D0">
        <w:rPr>
          <w:rFonts w:cs="PT Bold Heading" w:hint="cs"/>
          <w:rtl/>
        </w:rPr>
        <w:t xml:space="preserve"> و/أو التوصيات والالتزامات الطوعية والردود</w:t>
      </w:r>
      <w:r w:rsidR="002606E7">
        <w:rPr>
          <w:rFonts w:cs="PT Bold Heading" w:hint="cs"/>
          <w:rtl/>
        </w:rPr>
        <w:t>؛</w:t>
      </w:r>
      <w:r w:rsidR="00B43665" w:rsidRPr="00AF64D0">
        <w:rPr>
          <w:rFonts w:cs="PT Bold Heading" w:hint="cs"/>
          <w:rtl/>
        </w:rPr>
        <w:t xml:space="preserve"> </w:t>
      </w:r>
      <w:r w:rsidR="00AF64D0" w:rsidRPr="00AF64D0">
        <w:rPr>
          <w:rFonts w:cs="PT Bold Heading" w:hint="cs"/>
          <w:rtl/>
        </w:rPr>
        <w:t>فإن الحكومة المصرية تقدم هذا البيان :</w:t>
      </w:r>
      <w:r w:rsidR="00B43665" w:rsidRPr="00AF64D0">
        <w:rPr>
          <w:rFonts w:cs="PT Bold Heading" w:hint="cs"/>
          <w:rtl/>
        </w:rPr>
        <w:t xml:space="preserve"> </w:t>
      </w:r>
    </w:p>
    <w:p w:rsidR="001B207C" w:rsidRPr="001B207C" w:rsidRDefault="001B207C" w:rsidP="00902B0A">
      <w:pPr>
        <w:jc w:val="center"/>
        <w:rPr>
          <w:rFonts w:cs="PT Bold Heading"/>
          <w:sz w:val="14"/>
          <w:szCs w:val="14"/>
          <w:u w:val="single"/>
          <w:rtl/>
        </w:rPr>
      </w:pPr>
    </w:p>
    <w:p w:rsidR="00415360" w:rsidRPr="00F12D1D" w:rsidRDefault="00F12D1D" w:rsidP="00F12D1D">
      <w:pPr>
        <w:tabs>
          <w:tab w:val="right" w:pos="596"/>
        </w:tabs>
        <w:spacing w:after="200" w:line="276" w:lineRule="auto"/>
        <w:ind w:left="360"/>
        <w:rPr>
          <w:rFonts w:cs="PT Bold Heading"/>
          <w:u w:val="single"/>
          <w:rtl/>
        </w:rPr>
      </w:pPr>
      <w:r>
        <w:rPr>
          <w:rFonts w:cs="PT Bold Heading" w:hint="cs"/>
          <w:u w:val="single"/>
          <w:rtl/>
        </w:rPr>
        <w:t>1</w:t>
      </w:r>
      <w:r>
        <w:rPr>
          <w:rFonts w:hint="cs"/>
          <w:u w:val="single"/>
          <w:rtl/>
        </w:rPr>
        <w:t xml:space="preserve">_ </w:t>
      </w:r>
      <w:r w:rsidR="00902B0A" w:rsidRPr="00F12D1D">
        <w:rPr>
          <w:rFonts w:cs="PT Bold Heading" w:hint="cs"/>
          <w:u w:val="single"/>
          <w:rtl/>
        </w:rPr>
        <w:t xml:space="preserve">التوصية رقم ( 166 / 14 ) </w:t>
      </w:r>
    </w:p>
    <w:p w:rsidR="00902B0A" w:rsidRPr="00456DE1" w:rsidRDefault="00F12D1D" w:rsidP="002606E7">
      <w:pPr>
        <w:spacing w:line="360" w:lineRule="auto"/>
        <w:ind w:left="312"/>
        <w:jc w:val="both"/>
        <w:rPr>
          <w:rFonts w:asciiTheme="majorBidi" w:hAnsiTheme="majorBidi" w:cstheme="majorBidi"/>
          <w:sz w:val="28"/>
          <w:szCs w:val="28"/>
        </w:rPr>
      </w:pPr>
      <w:r w:rsidRPr="00456DE1">
        <w:rPr>
          <w:rFonts w:asciiTheme="majorBidi" w:hAnsiTheme="majorBidi" w:cstheme="majorBidi"/>
          <w:sz w:val="28"/>
          <w:szCs w:val="28"/>
          <w:rtl/>
        </w:rPr>
        <w:t>(استعراض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 xml:space="preserve"> التحفظ على المادتين (2، 16 ) من اتفاقية القضاء على كافة اشكال التمييز ضد المرأة </w:t>
      </w:r>
      <w:r w:rsidR="00A33583">
        <w:rPr>
          <w:rFonts w:asciiTheme="majorBidi" w:hAnsiTheme="majorBidi" w:cstheme="majorBidi" w:hint="cs"/>
          <w:sz w:val="28"/>
          <w:szCs w:val="28"/>
          <w:rtl/>
        </w:rPr>
        <w:t>، وسحبه</w:t>
      </w:r>
      <w:r w:rsidRPr="00456DE1">
        <w:rPr>
          <w:rFonts w:asciiTheme="majorBidi" w:hAnsiTheme="majorBidi" w:cstheme="majorBidi"/>
          <w:sz w:val="28"/>
          <w:szCs w:val="28"/>
          <w:rtl/>
        </w:rPr>
        <w:t>)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>.</w:t>
      </w:r>
    </w:p>
    <w:p w:rsidR="00415360" w:rsidRPr="00AB3267" w:rsidRDefault="00415360" w:rsidP="00415360">
      <w:pPr>
        <w:pStyle w:val="ListParagraph"/>
        <w:spacing w:line="360" w:lineRule="auto"/>
        <w:ind w:left="312"/>
        <w:rPr>
          <w:rFonts w:cs="PT Bold Heading"/>
          <w:u w:val="single"/>
          <w:rtl/>
        </w:rPr>
      </w:pPr>
      <w:r w:rsidRPr="00AB3267">
        <w:rPr>
          <w:rFonts w:cs="PT Bold Heading" w:hint="cs"/>
          <w:u w:val="single"/>
          <w:rtl/>
        </w:rPr>
        <w:t>المق</w:t>
      </w:r>
      <w:r w:rsidR="00902B0A" w:rsidRPr="00AB3267">
        <w:rPr>
          <w:rFonts w:cs="PT Bold Heading" w:hint="cs"/>
          <w:u w:val="single"/>
          <w:rtl/>
        </w:rPr>
        <w:t>بول</w:t>
      </w:r>
      <w:r w:rsidRPr="00AB3267">
        <w:rPr>
          <w:rFonts w:cs="PT Bold Heading" w:hint="cs"/>
          <w:u w:val="single"/>
          <w:rtl/>
        </w:rPr>
        <w:t xml:space="preserve"> من التوصية </w:t>
      </w:r>
      <w:r w:rsidR="00902B0A" w:rsidRPr="00AB3267">
        <w:rPr>
          <w:rFonts w:cs="PT Bold Heading" w:hint="cs"/>
          <w:u w:val="single"/>
          <w:rtl/>
        </w:rPr>
        <w:t xml:space="preserve"> </w:t>
      </w:r>
    </w:p>
    <w:p w:rsidR="00902B0A" w:rsidRDefault="00F70AE3" w:rsidP="00F70AE3">
      <w:pPr>
        <w:pStyle w:val="ListParagraph"/>
        <w:spacing w:line="360" w:lineRule="auto"/>
        <w:ind w:left="312"/>
        <w:jc w:val="both"/>
        <w:rPr>
          <w:rFonts w:cs="Mudir MT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( استعراض التحفظ على الماد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="00902B0A" w:rsidRPr="00456DE1">
        <w:rPr>
          <w:rFonts w:asciiTheme="majorBidi" w:hAnsiTheme="majorBidi" w:cstheme="majorBidi"/>
          <w:sz w:val="28"/>
          <w:szCs w:val="28"/>
          <w:rtl/>
        </w:rPr>
        <w:t xml:space="preserve"> 2 من اتفاقية القضاء على جميع أشكال التمييز ضد المرأة ) </w:t>
      </w:r>
      <w:r w:rsidR="00297427">
        <w:rPr>
          <w:rFonts w:cs="Mudir MT"/>
        </w:rPr>
        <w:t>.</w:t>
      </w:r>
    </w:p>
    <w:p w:rsidR="001B12D1" w:rsidRPr="001B12D1" w:rsidRDefault="001B12D1" w:rsidP="00415360">
      <w:pPr>
        <w:pStyle w:val="ListParagraph"/>
        <w:spacing w:line="360" w:lineRule="auto"/>
        <w:ind w:left="312"/>
        <w:jc w:val="both"/>
        <w:rPr>
          <w:rFonts w:cs="PT Bold Heading"/>
          <w:u w:val="single"/>
          <w:rtl/>
        </w:rPr>
      </w:pPr>
      <w:r w:rsidRPr="001B12D1">
        <w:rPr>
          <w:rFonts w:cs="PT Bold Heading" w:hint="cs"/>
          <w:u w:val="single"/>
          <w:rtl/>
        </w:rPr>
        <w:t>باقي أجزاء التوصية( أخذ علم)</w:t>
      </w:r>
    </w:p>
    <w:p w:rsidR="00AB3267" w:rsidRDefault="00AB3267" w:rsidP="00AB3267">
      <w:pPr>
        <w:pStyle w:val="ListParagraph"/>
        <w:spacing w:line="360" w:lineRule="auto"/>
        <w:ind w:left="312"/>
        <w:jc w:val="center"/>
        <w:rPr>
          <w:rFonts w:cs="Mudir MT"/>
        </w:rPr>
      </w:pPr>
      <w:r>
        <w:rPr>
          <w:rFonts w:cs="Mudir MT" w:hint="cs"/>
          <w:rtl/>
        </w:rPr>
        <w:t>--------------------</w:t>
      </w:r>
    </w:p>
    <w:p w:rsidR="00415360" w:rsidRDefault="00F12D1D" w:rsidP="00415360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2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16 ) </w:t>
      </w:r>
    </w:p>
    <w:p w:rsidR="00902B0A" w:rsidRPr="00456DE1" w:rsidRDefault="00AB3267" w:rsidP="009B7804">
      <w:pPr>
        <w:tabs>
          <w:tab w:val="right" w:pos="596"/>
        </w:tabs>
        <w:spacing w:after="20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56DE1">
        <w:rPr>
          <w:rFonts w:asciiTheme="majorBidi" w:hAnsiTheme="majorBidi" w:cstheme="majorBidi"/>
          <w:sz w:val="28"/>
          <w:szCs w:val="28"/>
          <w:rtl/>
        </w:rPr>
        <w:t>(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 xml:space="preserve">النظر </w:t>
      </w:r>
      <w:r w:rsidRPr="00456DE1">
        <w:rPr>
          <w:rFonts w:asciiTheme="majorBidi" w:hAnsiTheme="majorBidi" w:cstheme="majorBidi"/>
          <w:sz w:val="28"/>
          <w:szCs w:val="28"/>
          <w:rtl/>
        </w:rPr>
        <w:t>في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 xml:space="preserve"> سحب تحفظات</w:t>
      </w:r>
      <w:r w:rsidR="009B7804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 xml:space="preserve"> على اتفاقية </w:t>
      </w:r>
      <w:r w:rsidR="002606E7" w:rsidRPr="002606E7">
        <w:rPr>
          <w:rFonts w:asciiTheme="majorBidi" w:hAnsiTheme="majorBidi" w:cstheme="majorBidi" w:hint="cs"/>
          <w:sz w:val="28"/>
          <w:szCs w:val="28"/>
          <w:rtl/>
        </w:rPr>
        <w:t>القضاء على جميع أشكال التمييز ضد المرأة</w:t>
      </w:r>
      <w:r w:rsidR="00297427" w:rsidRPr="00456DE1">
        <w:rPr>
          <w:rFonts w:asciiTheme="majorBidi" w:hAnsiTheme="majorBidi" w:cstheme="majorBidi"/>
          <w:sz w:val="28"/>
          <w:szCs w:val="28"/>
        </w:rPr>
        <w:t xml:space="preserve"> 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6DE1">
        <w:rPr>
          <w:rFonts w:asciiTheme="majorBidi" w:hAnsiTheme="majorBidi" w:cstheme="majorBidi"/>
          <w:sz w:val="28"/>
          <w:szCs w:val="28"/>
          <w:rtl/>
        </w:rPr>
        <w:t>)</w:t>
      </w:r>
      <w:r w:rsidR="00297427" w:rsidRPr="00456DE1">
        <w:rPr>
          <w:rFonts w:asciiTheme="majorBidi" w:hAnsiTheme="majorBidi" w:cstheme="majorBidi"/>
          <w:sz w:val="28"/>
          <w:szCs w:val="28"/>
          <w:rtl/>
        </w:rPr>
        <w:t>.</w:t>
      </w:r>
    </w:p>
    <w:p w:rsidR="00AB3267" w:rsidRPr="00B43665" w:rsidRDefault="00E4427A" w:rsidP="00415360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>
        <w:rPr>
          <w:rFonts w:cs="PT Bold Heading" w:hint="cs"/>
          <w:u w:val="single"/>
          <w:rtl/>
        </w:rPr>
        <w:t>التوصية كلها مقبولة</w:t>
      </w:r>
    </w:p>
    <w:p w:rsidR="00902B0A" w:rsidRDefault="00AB3267" w:rsidP="00AB3267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</w:t>
      </w:r>
      <w:r w:rsidR="00902B0A" w:rsidRPr="00497F89">
        <w:rPr>
          <w:rFonts w:cs="Mudir MT" w:hint="cs"/>
          <w:rtl/>
        </w:rPr>
        <w:t>.</w:t>
      </w:r>
    </w:p>
    <w:p w:rsidR="00415360" w:rsidRDefault="00F12D1D" w:rsidP="00AC1AA7">
      <w:pPr>
        <w:pStyle w:val="ListParagraph"/>
        <w:spacing w:after="200" w:line="360" w:lineRule="auto"/>
        <w:ind w:left="312"/>
        <w:jc w:val="both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3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17 ) </w:t>
      </w:r>
    </w:p>
    <w:p w:rsidR="00902B0A" w:rsidRPr="00B43665" w:rsidRDefault="00AB3267" w:rsidP="00137F05">
      <w:pPr>
        <w:tabs>
          <w:tab w:val="right" w:pos="596"/>
        </w:tabs>
        <w:spacing w:after="20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(ا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لنظر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سحــــب تحفظـــــات</w:t>
      </w:r>
      <w:r w:rsidR="00137F05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على المادتين (2 ، 16 ) من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اتفاقية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606E7" w:rsidRPr="002606E7">
        <w:rPr>
          <w:rFonts w:asciiTheme="majorBidi" w:hAnsiTheme="majorBidi" w:cstheme="majorBidi" w:hint="cs"/>
          <w:sz w:val="28"/>
          <w:szCs w:val="28"/>
          <w:rtl/>
        </w:rPr>
        <w:t>القضاء على جميع أشكال التمييز ضد المرأة</w:t>
      </w:r>
      <w:r w:rsidR="00297427" w:rsidRPr="002606E7">
        <w:rPr>
          <w:rFonts w:asciiTheme="majorBidi" w:hAnsiTheme="majorBidi" w:cstheme="majorBidi"/>
          <w:sz w:val="28"/>
          <w:szCs w:val="28"/>
        </w:rPr>
        <w:t xml:space="preserve"> </w:t>
      </w:r>
      <w:r w:rsidR="00297427" w:rsidRPr="002606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137F05">
        <w:rPr>
          <w:rFonts w:asciiTheme="majorBidi" w:hAnsiTheme="majorBidi" w:cstheme="majorBidi" w:hint="cs"/>
          <w:sz w:val="28"/>
          <w:szCs w:val="28"/>
          <w:rtl/>
        </w:rPr>
        <w:t>و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الانضمام إلى بروتوكول</w:t>
      </w:r>
      <w:r w:rsidR="002606E7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الاختياري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والنظر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اتخاذ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التدابير المطلوبة منها بوصفها الحارس الأول   لحقوق مواطنيها </w:t>
      </w:r>
      <w:r w:rsidR="002606E7">
        <w:rPr>
          <w:rFonts w:asciiTheme="majorBidi" w:hAnsiTheme="majorBidi" w:cstheme="majorBidi" w:hint="cs"/>
          <w:sz w:val="28"/>
          <w:szCs w:val="28"/>
          <w:rtl/>
        </w:rPr>
        <w:t xml:space="preserve"> وحرياتهم ومصالحهم 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وذلك بالقضاء على جميع أشكال التمييز ضد المرأة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صنع القرار والحياة العامة 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415360" w:rsidRPr="00AB3267" w:rsidRDefault="00415360" w:rsidP="00AC1AA7">
      <w:pPr>
        <w:pStyle w:val="ListParagraph"/>
        <w:spacing w:line="360" w:lineRule="auto"/>
        <w:ind w:left="312"/>
        <w:jc w:val="both"/>
        <w:rPr>
          <w:rFonts w:cs="PT Bold Heading"/>
          <w:rtl/>
        </w:rPr>
      </w:pPr>
      <w:r w:rsidRPr="00AB3267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8E3A67">
      <w:pPr>
        <w:pStyle w:val="ListParagraph"/>
        <w:spacing w:line="360" w:lineRule="auto"/>
        <w:ind w:left="312"/>
        <w:jc w:val="both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ا</w:t>
      </w:r>
      <w:r w:rsidR="008E3A67">
        <w:rPr>
          <w:rFonts w:asciiTheme="majorBidi" w:hAnsiTheme="majorBidi" w:cstheme="majorBidi"/>
          <w:sz w:val="28"/>
          <w:szCs w:val="28"/>
          <w:rtl/>
        </w:rPr>
        <w:t>لنظر في سحب التحفظ على الماد</w:t>
      </w:r>
      <w:r w:rsidR="008E3A67"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B43665">
        <w:rPr>
          <w:rFonts w:asciiTheme="majorBidi" w:hAnsiTheme="majorBidi" w:cstheme="majorBidi"/>
          <w:sz w:val="28"/>
          <w:szCs w:val="28"/>
          <w:rtl/>
        </w:rPr>
        <w:t xml:space="preserve">2 من اتفاقية القضاء على جميع أشكال التميز ضد المرأة) 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1956AF" w:rsidRPr="001956AF" w:rsidRDefault="001956AF" w:rsidP="001956AF">
      <w:pPr>
        <w:pStyle w:val="ListParagraph"/>
        <w:spacing w:line="360" w:lineRule="auto"/>
        <w:ind w:left="312"/>
        <w:jc w:val="both"/>
        <w:rPr>
          <w:rFonts w:asciiTheme="majorBidi" w:hAnsiTheme="majorBidi" w:cs="PT Bold Heading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2E5864" w:rsidRPr="00AF64D0" w:rsidRDefault="000B61BD" w:rsidP="00AF64D0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</w:t>
      </w:r>
    </w:p>
    <w:p w:rsidR="00AF64D0" w:rsidRDefault="00AF64D0" w:rsidP="00AF64D0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  <w:rtl/>
        </w:rPr>
      </w:pPr>
    </w:p>
    <w:p w:rsidR="00AF64D0" w:rsidRDefault="00AF64D0" w:rsidP="00AF64D0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  <w:rtl/>
        </w:rPr>
      </w:pPr>
      <w:r>
        <w:rPr>
          <w:rFonts w:cs="PT Bold Heading" w:hint="cs"/>
          <w:u w:val="single"/>
          <w:rtl/>
        </w:rPr>
        <w:t>4</w:t>
      </w:r>
      <w:r w:rsidR="00F12D1D"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>التوصية رقم ( 166 / 18 )</w:t>
      </w:r>
    </w:p>
    <w:p w:rsidR="00902B0A" w:rsidRPr="00AF64D0" w:rsidRDefault="000B61BD" w:rsidP="000C3625">
      <w:pPr>
        <w:pStyle w:val="ListParagraph"/>
        <w:tabs>
          <w:tab w:val="right" w:pos="596"/>
        </w:tabs>
        <w:spacing w:after="200" w:line="360" w:lineRule="auto"/>
        <w:ind w:left="312"/>
        <w:jc w:val="both"/>
        <w:rPr>
          <w:rFonts w:cs="PT Bold Heading"/>
          <w:u w:val="single"/>
        </w:rPr>
      </w:pPr>
      <w:r w:rsidRPr="00B43665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902B0A" w:rsidRPr="00B43665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B30F8E">
        <w:rPr>
          <w:rFonts w:asciiTheme="majorBidi" w:hAnsiTheme="majorBidi" w:cstheme="majorBidi" w:hint="cs"/>
          <w:sz w:val="28"/>
          <w:szCs w:val="28"/>
          <w:rtl/>
        </w:rPr>
        <w:t>استعراض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30F8E">
        <w:rPr>
          <w:rFonts w:asciiTheme="majorBidi" w:hAnsiTheme="majorBidi" w:cstheme="majorBidi" w:hint="cs"/>
          <w:sz w:val="28"/>
          <w:szCs w:val="28"/>
          <w:rtl/>
        </w:rPr>
        <w:t>قانون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الأحوال الشخصية وقانون العقوبات من أجل تعديل أو حذف المواد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تنطوي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على تمييز ضد المرأة</w:t>
      </w:r>
      <w:r w:rsidR="00B30F8E">
        <w:rPr>
          <w:rFonts w:asciiTheme="majorBidi" w:hAnsiTheme="majorBidi" w:cstheme="majorBidi" w:hint="cs"/>
          <w:sz w:val="28"/>
          <w:szCs w:val="28"/>
          <w:rtl/>
        </w:rPr>
        <w:t xml:space="preserve"> أو حذفها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B30F8E">
        <w:rPr>
          <w:rFonts w:asciiTheme="majorBidi" w:hAnsiTheme="majorBidi" w:cstheme="majorBidi" w:hint="cs"/>
          <w:sz w:val="28"/>
          <w:szCs w:val="28"/>
          <w:rtl/>
        </w:rPr>
        <w:t>وذلك للامتثال للدستور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، فضلاً عن القانون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الدولي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، والعمل على رفع التحفظ على المادة 16 من </w:t>
      </w:r>
      <w:r w:rsidR="00B30F8E" w:rsidRPr="00B30F8E">
        <w:rPr>
          <w:rFonts w:asciiTheme="majorBidi" w:hAnsiTheme="majorBidi" w:cstheme="majorBidi" w:hint="cs"/>
          <w:sz w:val="28"/>
          <w:szCs w:val="28"/>
          <w:rtl/>
        </w:rPr>
        <w:t>اتفاقية القضاء على جميع أشكال التميز ضد المرأة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415360" w:rsidRPr="000B61BD" w:rsidRDefault="00415360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0B61BD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1956AF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lastRenderedPageBreak/>
        <w:t>( استعراض قانون الأحوال الشخصية وقانون العقوبات</w:t>
      </w:r>
      <w:r w:rsidR="001956AF" w:rsidRPr="001956AF">
        <w:rPr>
          <w:rFonts w:asciiTheme="majorBidi" w:hAnsiTheme="majorBidi" w:cstheme="majorBidi"/>
          <w:sz w:val="28"/>
          <w:szCs w:val="28"/>
          <w:rtl/>
        </w:rPr>
        <w:t xml:space="preserve"> من أجل تعديل أو حذف المواد </w:t>
      </w:r>
      <w:r w:rsidR="001956AF" w:rsidRPr="001956AF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="001956AF" w:rsidRPr="001956A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956AF" w:rsidRPr="001956AF">
        <w:rPr>
          <w:rFonts w:asciiTheme="majorBidi" w:hAnsiTheme="majorBidi" w:cstheme="majorBidi" w:hint="cs"/>
          <w:sz w:val="28"/>
          <w:szCs w:val="28"/>
          <w:rtl/>
        </w:rPr>
        <w:t>تنطوي</w:t>
      </w:r>
      <w:r w:rsidR="001956AF" w:rsidRPr="001956AF">
        <w:rPr>
          <w:rFonts w:asciiTheme="majorBidi" w:hAnsiTheme="majorBidi" w:cstheme="majorBidi"/>
          <w:sz w:val="28"/>
          <w:szCs w:val="28"/>
          <w:rtl/>
        </w:rPr>
        <w:t xml:space="preserve"> على تمييز ضد المرأة</w:t>
      </w:r>
      <w:r w:rsidR="001956A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3665">
        <w:rPr>
          <w:rFonts w:asciiTheme="majorBidi" w:hAnsiTheme="majorBidi" w:cstheme="majorBidi"/>
          <w:sz w:val="28"/>
          <w:szCs w:val="28"/>
          <w:rtl/>
        </w:rPr>
        <w:t xml:space="preserve"> للامتثال للدستور</w:t>
      </w:r>
      <w:r w:rsidR="001956A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3665">
        <w:rPr>
          <w:rFonts w:asciiTheme="majorBidi" w:hAnsiTheme="majorBidi" w:cstheme="majorBidi"/>
          <w:sz w:val="28"/>
          <w:szCs w:val="28"/>
          <w:rtl/>
        </w:rPr>
        <w:t xml:space="preserve"> ) . </w:t>
      </w:r>
    </w:p>
    <w:p w:rsidR="00CE6B80" w:rsidRPr="00B43665" w:rsidRDefault="00CE6B80" w:rsidP="001956AF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2E5864" w:rsidRDefault="002E5864" w:rsidP="002E5864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</w:t>
      </w:r>
    </w:p>
    <w:p w:rsidR="00297427" w:rsidRPr="00297427" w:rsidRDefault="00297427" w:rsidP="00415360">
      <w:pPr>
        <w:pStyle w:val="ListParagraph"/>
        <w:ind w:left="312"/>
        <w:rPr>
          <w:rFonts w:cs="Mudir MT"/>
          <w:sz w:val="10"/>
          <w:szCs w:val="10"/>
          <w:rtl/>
        </w:rPr>
      </w:pPr>
    </w:p>
    <w:p w:rsidR="00AC1AA7" w:rsidRP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jc w:val="both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5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>التوصية رقم ( 166 / 35 )</w:t>
      </w:r>
      <w:r w:rsidR="00297427" w:rsidRPr="00297427">
        <w:rPr>
          <w:rtl/>
        </w:rPr>
        <w:t xml:space="preserve"> </w:t>
      </w:r>
    </w:p>
    <w:p w:rsidR="00902B0A" w:rsidRPr="00B43665" w:rsidRDefault="002E5864" w:rsidP="00AE6CD8">
      <w:pPr>
        <w:tabs>
          <w:tab w:val="right" w:pos="596"/>
        </w:tabs>
        <w:spacing w:after="20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النظر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وضع مؤشرات حقوق الإنسان ، 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 xml:space="preserve">على نحو 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ما اقترحت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>ه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المفوضية السامية لحقوق الإنسان 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>بوصفها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أداة أساسية لإعمال حقوق الإنسان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.</w:t>
      </w:r>
      <w:r w:rsidR="00902B0A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15360" w:rsidRPr="002E5864" w:rsidRDefault="00415360" w:rsidP="00AC1AA7">
      <w:pPr>
        <w:pStyle w:val="ListParagraph"/>
        <w:spacing w:line="360" w:lineRule="auto"/>
        <w:ind w:left="312"/>
        <w:jc w:val="both"/>
        <w:rPr>
          <w:rFonts w:cs="PT Bold Heading"/>
          <w:rtl/>
        </w:rPr>
      </w:pPr>
      <w:r w:rsidRPr="002E5864">
        <w:rPr>
          <w:rFonts w:cs="PT Bold Heading" w:hint="cs"/>
          <w:u w:val="single"/>
          <w:rtl/>
        </w:rPr>
        <w:t>المقبول من التوصية  .</w:t>
      </w:r>
    </w:p>
    <w:p w:rsidR="002E5864" w:rsidRDefault="00902B0A" w:rsidP="00AC1AA7">
      <w:pPr>
        <w:pStyle w:val="ListParagraph"/>
        <w:spacing w:line="360" w:lineRule="auto"/>
        <w:ind w:left="312"/>
        <w:jc w:val="both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النظر في وضع مؤشرات لحقوق الانسان ) .</w:t>
      </w:r>
    </w:p>
    <w:p w:rsidR="00A97FE0" w:rsidRPr="00A97FE0" w:rsidRDefault="00A97FE0" w:rsidP="00A97FE0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902B0A" w:rsidRDefault="002E5864" w:rsidP="002E5864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6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( 166/145 ) </w:t>
      </w:r>
    </w:p>
    <w:p w:rsidR="00902B0A" w:rsidRPr="00B43665" w:rsidRDefault="002E5864" w:rsidP="00AE6CD8">
      <w:pPr>
        <w:tabs>
          <w:tab w:val="right" w:pos="596"/>
        </w:tabs>
        <w:spacing w:after="20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تكثيف الجهود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 xml:space="preserve"> الرامية إلى 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ضمان المساواة بين الجنسين والقضاء على العنف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الجنسي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والج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>سم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ا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>ن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>ي</w:t>
      </w:r>
      <w:r w:rsidR="00AE6CD8">
        <w:rPr>
          <w:rFonts w:asciiTheme="majorBidi" w:hAnsiTheme="majorBidi" w:cstheme="majorBidi" w:hint="cs"/>
          <w:sz w:val="28"/>
          <w:szCs w:val="28"/>
          <w:rtl/>
        </w:rPr>
        <w:t xml:space="preserve"> بطرق منها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النظر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297427" w:rsidRPr="00B43665">
        <w:rPr>
          <w:rFonts w:asciiTheme="majorBidi" w:hAnsiTheme="majorBidi" w:cstheme="majorBidi"/>
          <w:sz w:val="28"/>
          <w:szCs w:val="28"/>
          <w:rtl/>
        </w:rPr>
        <w:t xml:space="preserve"> وضع خطة عمل وطنية لتنفيذ قرار مجلس الأمن رقم 1325 (2000).</w:t>
      </w:r>
      <w:r w:rsidRPr="00B43665">
        <w:rPr>
          <w:rFonts w:asciiTheme="majorBidi" w:hAnsiTheme="majorBidi" w:cstheme="majorBidi"/>
          <w:sz w:val="28"/>
          <w:szCs w:val="28"/>
        </w:rPr>
        <w:t>(</w:t>
      </w:r>
    </w:p>
    <w:p w:rsidR="00415360" w:rsidRPr="002E5864" w:rsidRDefault="00415360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2E5864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تكثيف الجهود الرامية إلى ضمان المساواة بين الجنسين والقضاء على العنف الجنسي والجسماني ) . </w:t>
      </w:r>
    </w:p>
    <w:p w:rsidR="00A97FE0" w:rsidRPr="00A97FE0" w:rsidRDefault="00A97FE0" w:rsidP="00A97FE0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A97FE0" w:rsidRPr="00B43665" w:rsidRDefault="00A97FE0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AC1AA7" w:rsidRDefault="00F12D1D" w:rsidP="00B43665">
      <w:pPr>
        <w:pStyle w:val="ListParagraph"/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7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( 166/159) </w:t>
      </w:r>
    </w:p>
    <w:p w:rsidR="00902B0A" w:rsidRPr="00B43665" w:rsidRDefault="002E5864" w:rsidP="00EB7565">
      <w:pPr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  (اتخاذ </w:t>
      </w:r>
      <w:r w:rsidR="009A0A68" w:rsidRPr="00B43665">
        <w:rPr>
          <w:rFonts w:asciiTheme="majorBidi" w:hAnsiTheme="majorBidi" w:cstheme="majorBidi"/>
          <w:sz w:val="28"/>
          <w:szCs w:val="28"/>
          <w:rtl/>
        </w:rPr>
        <w:t>تدابير تشريعية وتدابير انفاذ للقضاء على جميع أشكال العنف ضد المرأة بما في ذلك سحب تحفظات مصر على اتفاقية القضاء على جميع أشكال التمييز ضد المرأة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9A0A68" w:rsidRPr="00B4366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415360" w:rsidRPr="002E5864" w:rsidRDefault="00415360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2E5864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اتخاذ تدابير تشريعية وتدابير انفاذ للقضاء على جميع أشكال العنف ضد المرأة  ). </w:t>
      </w:r>
    </w:p>
    <w:p w:rsidR="000B6589" w:rsidRPr="00A97FE0" w:rsidRDefault="000B6589" w:rsidP="000B6589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2E5864" w:rsidRDefault="002E5864" w:rsidP="002E5864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8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( 166/161 ) </w:t>
      </w:r>
    </w:p>
    <w:p w:rsidR="00902B0A" w:rsidRPr="00B43665" w:rsidRDefault="002E5864" w:rsidP="00EB7565">
      <w:pPr>
        <w:tabs>
          <w:tab w:val="right" w:pos="596"/>
        </w:tabs>
        <w:spacing w:after="200"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lastRenderedPageBreak/>
        <w:t>(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 xml:space="preserve">تجريم العنف المنزلي ضد المرأة والتصديق على البروتوكول الاختياري 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>ل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>اتفاقية القضاء على جميع أشكال التمييز ضد المرأة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415360" w:rsidRPr="002E5864" w:rsidRDefault="00415360" w:rsidP="00415360">
      <w:pPr>
        <w:pStyle w:val="ListParagraph"/>
        <w:spacing w:line="360" w:lineRule="auto"/>
        <w:ind w:left="312"/>
        <w:rPr>
          <w:rFonts w:cs="PT Bold Heading"/>
          <w:u w:val="single"/>
          <w:rtl/>
        </w:rPr>
      </w:pPr>
      <w:r w:rsidRPr="002E5864">
        <w:rPr>
          <w:rFonts w:cs="PT Bold Heading" w:hint="cs"/>
          <w:u w:val="single"/>
          <w:rtl/>
        </w:rPr>
        <w:t>المقبول من التوصية  .</w:t>
      </w:r>
    </w:p>
    <w:p w:rsidR="00AC1AA7" w:rsidRDefault="00902B0A" w:rsidP="002E5864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تجريم العنف ضد المرأة ) . </w:t>
      </w:r>
    </w:p>
    <w:p w:rsidR="000B6589" w:rsidRPr="00B43665" w:rsidRDefault="000B6589" w:rsidP="002E5864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2E5864" w:rsidRPr="002E5864" w:rsidRDefault="002E5864" w:rsidP="002E5864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9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178 ) </w:t>
      </w:r>
    </w:p>
    <w:p w:rsidR="00902B0A" w:rsidRPr="00B43665" w:rsidRDefault="002E5864" w:rsidP="002E5864">
      <w:pPr>
        <w:tabs>
          <w:tab w:val="right" w:pos="596"/>
        </w:tabs>
        <w:spacing w:after="200"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 xml:space="preserve">ضمان الحق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 xml:space="preserve"> المحاكمة العادلة وضمان محاكمة المدنيين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 xml:space="preserve"> محاكم مدنية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 xml:space="preserve"> جميع الأوقات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6D4F87" w:rsidRPr="00B4366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AC1AA7" w:rsidRPr="002E5864" w:rsidRDefault="00AC1AA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2E5864">
        <w:rPr>
          <w:rFonts w:cs="PT Bold Heading" w:hint="cs"/>
          <w:u w:val="single"/>
          <w:rtl/>
        </w:rPr>
        <w:t xml:space="preserve">المقبول من التوصية  </w:t>
      </w:r>
      <w:r w:rsidRPr="002E5864">
        <w:rPr>
          <w:rFonts w:cs="PT Bold Heading" w:hint="cs"/>
          <w:rtl/>
        </w:rPr>
        <w:t>.</w:t>
      </w:r>
    </w:p>
    <w:p w:rsidR="002E5864" w:rsidRDefault="00902B0A" w:rsidP="002E5864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ضمان الحق في المحاكمة العادلة وضمان محاكمة المدنيين أمام محاكم مدنية ) . </w:t>
      </w:r>
    </w:p>
    <w:p w:rsidR="000B6589" w:rsidRPr="00B43665" w:rsidRDefault="000B6589" w:rsidP="000B6589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2E5864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10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182 ) </w:t>
      </w:r>
    </w:p>
    <w:p w:rsidR="00902B0A" w:rsidRPr="00B43665" w:rsidRDefault="00456DE1" w:rsidP="00EB7565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>ضمان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 xml:space="preserve"> امتثال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 xml:space="preserve"> المحاكمات والاحتجاز السابق للمحاكمة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 xml:space="preserve"> للحقوق في المحاكمة حسب الأصول المرعية التي يكفلها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 xml:space="preserve"> العهد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الدولي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 xml:space="preserve"> الخاص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>با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>لحقوق المدنية والسياسية للمادتين 54 , 55 من الدستور , و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>وقف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 xml:space="preserve"> المحاكمات العسكرية للمدنيين</w:t>
      </w:r>
      <w:r w:rsidR="00EB7565">
        <w:rPr>
          <w:rFonts w:asciiTheme="majorBidi" w:hAnsiTheme="majorBidi" w:cstheme="majorBidi" w:hint="cs"/>
          <w:sz w:val="28"/>
          <w:szCs w:val="28"/>
          <w:rtl/>
        </w:rPr>
        <w:t xml:space="preserve"> كلها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960C7B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AC1AA7" w:rsidRPr="00456DE1" w:rsidRDefault="00AC1AA7" w:rsidP="00AC1AA7">
      <w:pPr>
        <w:pStyle w:val="ListParagraph"/>
        <w:spacing w:line="360" w:lineRule="auto"/>
        <w:ind w:left="312"/>
        <w:rPr>
          <w:rFonts w:cs="PT Bold Heading"/>
          <w:u w:val="single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456DE1" w:rsidRDefault="00902B0A" w:rsidP="00AF64D0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ضمان امتثال المحاكمات والاحتجاز السابق للمحاكمة للحقوق في المحاكمة حسب الأصول المرعية التي يكفلها العهد الدولي الخاص بالحقوق المدنية والسياسية</w:t>
      </w:r>
      <w:r w:rsidR="00AF64D0">
        <w:rPr>
          <w:rFonts w:asciiTheme="majorBidi" w:hAnsiTheme="majorBidi" w:cstheme="majorBidi"/>
          <w:sz w:val="28"/>
          <w:szCs w:val="28"/>
          <w:rtl/>
        </w:rPr>
        <w:t xml:space="preserve"> والمادتان 54 و 55 من الدستو</w:t>
      </w:r>
      <w:r w:rsidR="00AF64D0">
        <w:rPr>
          <w:rFonts w:asciiTheme="majorBidi" w:hAnsiTheme="majorBidi" w:cstheme="majorBidi" w:hint="cs"/>
          <w:sz w:val="28"/>
          <w:szCs w:val="28"/>
          <w:rtl/>
        </w:rPr>
        <w:t>ر)</w:t>
      </w:r>
    </w:p>
    <w:p w:rsidR="00A33583" w:rsidRDefault="000B6589" w:rsidP="000B6589">
      <w:pPr>
        <w:pStyle w:val="ListParagraph"/>
        <w:spacing w:line="360" w:lineRule="auto"/>
        <w:ind w:left="312"/>
        <w:rPr>
          <w:rFonts w:asciiTheme="majorBidi" w:hAnsiTheme="majorBidi" w:cs="PT Bold Heading"/>
          <w:u w:val="single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0B6589" w:rsidRDefault="000B6589" w:rsidP="000B6589">
      <w:pPr>
        <w:pStyle w:val="ListParagraph"/>
        <w:spacing w:line="360" w:lineRule="auto"/>
        <w:ind w:left="312"/>
        <w:jc w:val="center"/>
        <w:rPr>
          <w:rFonts w:asciiTheme="majorBidi" w:hAnsiTheme="majorBidi"/>
          <w:sz w:val="28"/>
          <w:szCs w:val="28"/>
          <w:rtl/>
        </w:rPr>
      </w:pPr>
      <w:r>
        <w:rPr>
          <w:rFonts w:asciiTheme="majorBidi" w:hAnsiTheme="majorBidi" w:hint="cs"/>
          <w:rtl/>
        </w:rPr>
        <w:t>---------------------------------</w:t>
      </w:r>
    </w:p>
    <w:p w:rsidR="00AC1AA7" w:rsidRPr="00A33583" w:rsidRDefault="00A33583" w:rsidP="00A33583">
      <w:pPr>
        <w:tabs>
          <w:tab w:val="right" w:pos="596"/>
        </w:tabs>
        <w:spacing w:after="200" w:line="360" w:lineRule="auto"/>
        <w:rPr>
          <w:rFonts w:cs="PT Bold Heading"/>
          <w:u w:val="single"/>
        </w:rPr>
      </w:pPr>
      <w:r>
        <w:rPr>
          <w:rFonts w:hint="cs"/>
          <w:u w:val="single"/>
          <w:rtl/>
        </w:rPr>
        <w:t>11</w:t>
      </w:r>
      <w:r w:rsidR="00F12D1D" w:rsidRPr="00A33583">
        <w:rPr>
          <w:rFonts w:hint="cs"/>
          <w:u w:val="single"/>
          <w:rtl/>
        </w:rPr>
        <w:t xml:space="preserve">- </w:t>
      </w:r>
      <w:r w:rsidR="00902B0A" w:rsidRPr="00A33583">
        <w:rPr>
          <w:rFonts w:cs="PT Bold Heading" w:hint="cs"/>
          <w:u w:val="single"/>
          <w:rtl/>
        </w:rPr>
        <w:t>التوصية رقم ( 166 / 187 )</w:t>
      </w:r>
    </w:p>
    <w:p w:rsidR="00902B0A" w:rsidRPr="00B43665" w:rsidRDefault="00456DE1" w:rsidP="00C81C52">
      <w:pPr>
        <w:tabs>
          <w:tab w:val="right" w:pos="596"/>
        </w:tabs>
        <w:spacing w:after="200"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التحقيق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 جميع حالات استخدام 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 xml:space="preserve"> قوات الأمن 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>القوة المفرطة ضد المتظاهرين ومحاسبة المسئولين عن هذه الحوادث , ووقف محاكم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>ة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>ا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>لمدنيين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 xml:space="preserve"> عسكريًا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AC1AA7" w:rsidRPr="00456DE1" w:rsidRDefault="00AC1AA7" w:rsidP="00AC1AA7">
      <w:pPr>
        <w:pStyle w:val="ListParagraph"/>
        <w:spacing w:line="360" w:lineRule="auto"/>
        <w:ind w:left="312"/>
        <w:rPr>
          <w:rFonts w:cs="PT Bold Heading"/>
          <w:u w:val="single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التحقيق في جميع حالات استخدام القوة ضد المتظاهرين ومحاسبة المسئولين عن هذه الحوادث ) 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0B6589" w:rsidRDefault="000B6589" w:rsidP="000B6589">
      <w:pPr>
        <w:pStyle w:val="ListParagraph"/>
        <w:spacing w:line="360" w:lineRule="auto"/>
        <w:ind w:left="312"/>
        <w:rPr>
          <w:rFonts w:asciiTheme="majorBidi" w:hAnsiTheme="majorBidi" w:cs="PT Bold Heading"/>
          <w:u w:val="single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12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199 ) </w:t>
      </w:r>
    </w:p>
    <w:p w:rsidR="00902B0A" w:rsidRPr="00B43665" w:rsidRDefault="00456DE1" w:rsidP="00C81C52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>
        <w:rPr>
          <w:rFonts w:cs="Mudir MT" w:hint="cs"/>
          <w:rtl/>
        </w:rPr>
        <w:t>(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تعزيز حماية حقوق الأقليات الدينية , 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>وب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خاصة 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 xml:space="preserve"> تهيئة الأوضاع  اللازمة ل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ممارسة حرية العبادة , ووضع حد للإفلات من العقاب على </w:t>
      </w:r>
      <w:r w:rsidR="00C81C52">
        <w:rPr>
          <w:rFonts w:asciiTheme="majorBidi" w:hAnsiTheme="majorBidi" w:cstheme="majorBidi" w:hint="cs"/>
          <w:sz w:val="28"/>
          <w:szCs w:val="28"/>
          <w:rtl/>
        </w:rPr>
        <w:t>ا</w:t>
      </w:r>
      <w:r w:rsidR="00C81C52">
        <w:rPr>
          <w:rFonts w:asciiTheme="majorBidi" w:hAnsiTheme="majorBidi" w:cstheme="majorBidi"/>
          <w:sz w:val="28"/>
          <w:szCs w:val="28"/>
          <w:rtl/>
        </w:rPr>
        <w:t xml:space="preserve">نتهاكات 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>هذه الحقوق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C55D4E" w:rsidRPr="00B4366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AC1AA7" w:rsidRPr="00456DE1" w:rsidRDefault="00AC1AA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تهيئة الأوضاع اللازمة لممارسة حرية العبادة ) . 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13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206 ) </w:t>
      </w:r>
    </w:p>
    <w:p w:rsidR="00902B0A" w:rsidRPr="00B43665" w:rsidRDefault="00456DE1" w:rsidP="00553AC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النهوض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ب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>حرية التعبير و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وسائل 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الإعلام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ليتمكن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جميع الصحفيين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من تأدية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أنشطتهم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بحرية ودون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تخويف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واخلاء سبيل الذين سجنوا على خليفة 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عملهم دون تأخير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AC1AA7" w:rsidRPr="00456DE1" w:rsidRDefault="00AC1AA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النهوض بحرية التعبير  ووسائل الاعلام ليتمكن جميع الصحفيين من تأدية أنشطتهم بحرية ) . 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14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( 166/224 ) </w:t>
      </w:r>
    </w:p>
    <w:p w:rsidR="00902B0A" w:rsidRPr="00B43665" w:rsidRDefault="00456DE1" w:rsidP="00553AC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حماية حرية التجمع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عن طريق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الإلغاء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الفوري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لقانون التظاهر، أو تعديله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>يتوافق مع المادة 73 من دستور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 عام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2014 ومع العهد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الدولي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37F05">
        <w:rPr>
          <w:rFonts w:asciiTheme="majorBidi" w:hAnsiTheme="majorBidi" w:cstheme="majorBidi" w:hint="cs"/>
          <w:sz w:val="28"/>
          <w:szCs w:val="28"/>
          <w:rtl/>
        </w:rPr>
        <w:t xml:space="preserve"> الخاص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با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>لحقوق المدنية والسياسية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AC1AA7" w:rsidRPr="00AF64D0" w:rsidRDefault="00AC1AA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AF64D0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حماية حرية التجمع ) 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0B6589" w:rsidRPr="00B43665" w:rsidRDefault="000B6589" w:rsidP="000B6589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--------------------------------</w:t>
      </w:r>
    </w:p>
    <w:p w:rsidR="00AC1AA7" w:rsidRDefault="00F12D1D" w:rsidP="00AC1AA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15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225 ) </w:t>
      </w:r>
    </w:p>
    <w:p w:rsidR="00902B0A" w:rsidRPr="00B43665" w:rsidRDefault="00456DE1" w:rsidP="00553AC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استعراض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قانون الجمعيات وقانون التظاهر،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بغية الامتثال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لدستور،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فضلا عن 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القانون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الدولي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، والإ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خلاء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الفوري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لسبيل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الأشخاص المحتجزين أو المسجونين بسبب ممارس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ة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حري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تهم في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التعبير من خلال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>مشارك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احتجاجات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 xml:space="preserve">سلمية 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820582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AC1AA7" w:rsidRPr="00456DE1" w:rsidRDefault="00AC1AA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استعراض قانون الجمعيات وقانون التظاهر بغية الامتثال للدستور ) </w:t>
      </w:r>
      <w:r w:rsidR="00831311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0B6589" w:rsidRPr="00B43665" w:rsidRDefault="000B6589" w:rsidP="000B6589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</w:t>
      </w:r>
    </w:p>
    <w:p w:rsidR="00804F2A" w:rsidRDefault="00F12D1D" w:rsidP="00804F2A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16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( 166/228 ) </w:t>
      </w:r>
    </w:p>
    <w:p w:rsidR="00902B0A" w:rsidRPr="00B43665" w:rsidRDefault="00456DE1" w:rsidP="00553AC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  <w:u w:val="single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تنقيح</w:t>
      </w:r>
      <w:r w:rsidR="00401FA9" w:rsidRPr="00B43665">
        <w:rPr>
          <w:rFonts w:asciiTheme="majorBidi" w:hAnsiTheme="majorBidi" w:cstheme="majorBidi"/>
          <w:sz w:val="28"/>
          <w:szCs w:val="28"/>
          <w:rtl/>
        </w:rPr>
        <w:t xml:space="preserve"> القانون الذي ينظم الحق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401FA9" w:rsidRPr="00B43665">
        <w:rPr>
          <w:rFonts w:asciiTheme="majorBidi" w:hAnsiTheme="majorBidi" w:cstheme="majorBidi"/>
          <w:sz w:val="28"/>
          <w:szCs w:val="28"/>
          <w:rtl/>
        </w:rPr>
        <w:t xml:space="preserve"> التجمع العام ،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 عن طريق جملة أمور منها</w:t>
      </w:r>
      <w:r w:rsidR="00401FA9" w:rsidRPr="00B43665">
        <w:rPr>
          <w:rFonts w:asciiTheme="majorBidi" w:hAnsiTheme="majorBidi" w:cstheme="majorBidi"/>
          <w:sz w:val="28"/>
          <w:szCs w:val="28"/>
          <w:rtl/>
        </w:rPr>
        <w:t xml:space="preserve"> تحديد السلوك المحظور وإلغاء العقوبات المفرطة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من أجل </w:t>
      </w:r>
      <w:r w:rsidR="00401FA9" w:rsidRPr="00B43665">
        <w:rPr>
          <w:rFonts w:asciiTheme="majorBidi" w:hAnsiTheme="majorBidi" w:cstheme="majorBidi"/>
          <w:sz w:val="28"/>
          <w:szCs w:val="28"/>
          <w:rtl/>
        </w:rPr>
        <w:t xml:space="preserve">ضمان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401FA9" w:rsidRPr="00B43665">
        <w:rPr>
          <w:rFonts w:asciiTheme="majorBidi" w:hAnsiTheme="majorBidi" w:cstheme="majorBidi"/>
          <w:sz w:val="28"/>
          <w:szCs w:val="28"/>
          <w:rtl/>
        </w:rPr>
        <w:t>امتثال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 xml:space="preserve"> على نحو</w:t>
      </w:r>
      <w:r w:rsidR="00401FA9" w:rsidRPr="00B43665">
        <w:rPr>
          <w:rFonts w:asciiTheme="majorBidi" w:hAnsiTheme="majorBidi" w:cstheme="majorBidi"/>
          <w:sz w:val="28"/>
          <w:szCs w:val="28"/>
          <w:rtl/>
        </w:rPr>
        <w:t xml:space="preserve"> أفضل للمعايير الدولية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401FA9" w:rsidRPr="00B43665">
        <w:rPr>
          <w:rFonts w:asciiTheme="majorBidi" w:hAnsiTheme="majorBidi" w:cstheme="majorBidi"/>
          <w:sz w:val="28"/>
          <w:szCs w:val="28"/>
          <w:u w:val="single"/>
          <w:rtl/>
        </w:rPr>
        <w:t>.</w:t>
      </w:r>
    </w:p>
    <w:p w:rsidR="00804F2A" w:rsidRPr="00456DE1" w:rsidRDefault="00804F2A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820582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تنقيح القانون الذي ينظم الحق في التجمع العام ) .</w:t>
      </w:r>
    </w:p>
    <w:p w:rsidR="000B6589" w:rsidRPr="00B43665" w:rsidRDefault="000B6589" w:rsidP="000B6589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</w:t>
      </w:r>
    </w:p>
    <w:p w:rsidR="00447777" w:rsidRDefault="00F12D1D" w:rsidP="003C4D6D">
      <w:pPr>
        <w:pStyle w:val="ListParagraph"/>
        <w:spacing w:line="360" w:lineRule="auto"/>
        <w:ind w:left="312"/>
        <w:rPr>
          <w:rFonts w:cs="PT Bold Heading"/>
          <w:u w:val="single"/>
        </w:rPr>
      </w:pPr>
      <w:r>
        <w:rPr>
          <w:rFonts w:cs="Mudir MT" w:hint="cs"/>
          <w:rtl/>
        </w:rPr>
        <w:t xml:space="preserve">17- </w:t>
      </w:r>
      <w:r w:rsidR="00902B0A" w:rsidRPr="00497F89">
        <w:rPr>
          <w:rFonts w:cs="Mudir MT" w:hint="cs"/>
          <w:rtl/>
        </w:rPr>
        <w:t xml:space="preserve"> </w:t>
      </w:r>
      <w:r w:rsidR="00902B0A" w:rsidRPr="007F5065">
        <w:rPr>
          <w:rFonts w:cs="PT Bold Heading" w:hint="cs"/>
          <w:u w:val="single"/>
          <w:rtl/>
        </w:rPr>
        <w:t xml:space="preserve">التوصية رقم ( 166 / 231 ) </w:t>
      </w:r>
    </w:p>
    <w:p w:rsidR="00902B0A" w:rsidRPr="00456DE1" w:rsidRDefault="00456DE1" w:rsidP="00E86939">
      <w:pPr>
        <w:pStyle w:val="ListParagraph"/>
        <w:tabs>
          <w:tab w:val="right" w:pos="596"/>
        </w:tabs>
        <w:spacing w:after="200" w:line="360" w:lineRule="auto"/>
        <w:ind w:left="312"/>
        <w:rPr>
          <w:rFonts w:cs="Mudir MT"/>
        </w:rPr>
      </w:pPr>
      <w:r>
        <w:rPr>
          <w:rFonts w:cs="Mudir MT" w:hint="cs"/>
          <w:rtl/>
        </w:rPr>
        <w:t>(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حماية حرية التجمع وتكوين الجمعيات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من خلال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تنقيح  قانون التظاهر ، والقضاء على جميع أشكال التدخل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تسجيل وعمل المنظمات غير الحكومية وضمان حقهم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3AC9">
        <w:rPr>
          <w:rFonts w:asciiTheme="majorBidi" w:hAnsiTheme="majorBidi" w:cstheme="majorBidi" w:hint="cs"/>
          <w:sz w:val="28"/>
          <w:szCs w:val="28"/>
          <w:rtl/>
        </w:rPr>
        <w:t>التماس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التمويل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 وتلقيه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، و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التو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>قف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 عن اصدار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إ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>نذارات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 نهائية 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للمنظمات غير الحكومية غير المسجلة 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447777" w:rsidRPr="00456DE1" w:rsidRDefault="0044777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حماية حرية التجمع وتكوين الجمعيات ) . </w:t>
      </w:r>
    </w:p>
    <w:p w:rsidR="000B6589" w:rsidRPr="00B43665" w:rsidRDefault="000B6589" w:rsidP="000B6589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0B6589" w:rsidRPr="00B43665" w:rsidRDefault="000B6589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456DE1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</w:t>
      </w:r>
    </w:p>
    <w:p w:rsidR="00447777" w:rsidRDefault="00F12D1D" w:rsidP="00447777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18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233 )  </w:t>
      </w:r>
    </w:p>
    <w:p w:rsidR="00902B0A" w:rsidRPr="00B43665" w:rsidRDefault="00456DE1" w:rsidP="00476EE0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إعادة صياغة قانون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ا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لمنظمات غير الحكومية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0615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جديد بحيث يسمح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بالممارسة الكاملة للحق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حرية تكوين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ا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لمنظمات المحلية والدولية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با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ستقلالية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ودون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مخاطر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على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>استمرار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B43665">
        <w:rPr>
          <w:rFonts w:asciiTheme="majorBidi" w:hAnsiTheme="majorBidi" w:cstheme="majorBidi"/>
          <w:sz w:val="28"/>
          <w:szCs w:val="28"/>
          <w:rtl/>
        </w:rPr>
        <w:t>)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447777" w:rsidRPr="00456DE1" w:rsidRDefault="00447777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456DE1" w:rsidRDefault="00902B0A" w:rsidP="004B00E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( اعادة صياغة قانون المنظمات غير الحكومية جديد )  . </w:t>
      </w:r>
    </w:p>
    <w:p w:rsidR="004B00E5" w:rsidRPr="00B43665" w:rsidRDefault="004B00E5" w:rsidP="004B00E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4B00E5" w:rsidRPr="00A33583" w:rsidRDefault="004B00E5" w:rsidP="004B00E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</w:p>
    <w:p w:rsidR="00B21FA2" w:rsidRDefault="00F12D1D" w:rsidP="00B21FA2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19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166 / 235 ) </w:t>
      </w:r>
    </w:p>
    <w:p w:rsidR="00902B0A" w:rsidRPr="00B43665" w:rsidRDefault="00456DE1" w:rsidP="00E8693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  <w:u w:val="single"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تسهيل عمل الجهات الفاعلة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المجتمع </w:t>
      </w:r>
      <w:r w:rsidR="007F6E3A" w:rsidRPr="00B43665">
        <w:rPr>
          <w:rFonts w:asciiTheme="majorBidi" w:hAnsiTheme="majorBidi" w:cstheme="majorBidi" w:hint="cs"/>
          <w:sz w:val="28"/>
          <w:szCs w:val="28"/>
          <w:rtl/>
        </w:rPr>
        <w:t>المدني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عن طريق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إزالة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الشروط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المبالغ فيها المفروضة على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تسجيل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عملها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وتمويل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 xml:space="preserve"> وموائمة قانون الجمعيات مع الدستور</w:t>
      </w:r>
      <w:r w:rsidRPr="00B43665">
        <w:rPr>
          <w:rFonts w:asciiTheme="majorBidi" w:hAnsiTheme="majorBidi" w:cstheme="majorBidi"/>
          <w:sz w:val="28"/>
          <w:szCs w:val="28"/>
          <w:u w:val="single"/>
          <w:rtl/>
        </w:rPr>
        <w:t>)</w:t>
      </w:r>
      <w:r w:rsidR="0030431C" w:rsidRPr="00B43665">
        <w:rPr>
          <w:rFonts w:asciiTheme="majorBidi" w:hAnsiTheme="majorBidi" w:cstheme="majorBidi"/>
          <w:sz w:val="28"/>
          <w:szCs w:val="28"/>
          <w:u w:val="single"/>
          <w:rtl/>
        </w:rPr>
        <w:t>.</w:t>
      </w:r>
    </w:p>
    <w:p w:rsidR="00B21FA2" w:rsidRPr="00456DE1" w:rsidRDefault="00B21FA2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E86939">
        <w:rPr>
          <w:rFonts w:asciiTheme="majorBidi" w:hAnsiTheme="majorBidi" w:cstheme="majorBidi"/>
          <w:sz w:val="28"/>
          <w:szCs w:val="28"/>
          <w:rtl/>
        </w:rPr>
        <w:t xml:space="preserve">( تسهيل عمل الجهات الفاعلة من المجتمع المدني ، وموائمة قانون الجمعيات مع الدستور ) . </w:t>
      </w:r>
    </w:p>
    <w:p w:rsidR="004B00E5" w:rsidRPr="004B00E5" w:rsidRDefault="004B00E5" w:rsidP="004B00E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AF64D0" w:rsidRDefault="00AF64D0" w:rsidP="00AF64D0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--------------------------------</w:t>
      </w:r>
    </w:p>
    <w:p w:rsidR="00B21FA2" w:rsidRDefault="00F12D1D" w:rsidP="00B21FA2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20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 / 237 ) </w:t>
      </w:r>
    </w:p>
    <w:p w:rsidR="00902B0A" w:rsidRPr="00456DE1" w:rsidRDefault="00456DE1" w:rsidP="00E8693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سن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قانون للمنظمات غير الحكومية يسمح للمنظمات غير الحكومية الدولية والوطنية لحقوق الإنسان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بال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عمل دون تدخل بما يتماشى مع المعايير الدولية 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>.</w:t>
      </w:r>
    </w:p>
    <w:p w:rsidR="00B21FA2" w:rsidRPr="00456DE1" w:rsidRDefault="00B21FA2" w:rsidP="003C4D6D">
      <w:pPr>
        <w:pStyle w:val="ListParagraph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456DE1" w:rsidRDefault="00902B0A" w:rsidP="004B00E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E86939">
        <w:rPr>
          <w:rFonts w:asciiTheme="majorBidi" w:hAnsiTheme="majorBidi" w:cstheme="majorBidi"/>
          <w:sz w:val="28"/>
          <w:szCs w:val="28"/>
          <w:rtl/>
        </w:rPr>
        <w:t xml:space="preserve">( سن قانون للمنظمات غير الحكومية يسمح للمنظمات غير الحكومية الوطنية لحقوق الإنسان بالعمل ) </w:t>
      </w:r>
    </w:p>
    <w:p w:rsidR="004B00E5" w:rsidRPr="00E86939" w:rsidRDefault="004B00E5" w:rsidP="001B12D1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902B0A" w:rsidRDefault="00456DE1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</w:t>
      </w:r>
      <w:r w:rsidR="00902B0A" w:rsidRPr="00497F89">
        <w:rPr>
          <w:rFonts w:cs="Mudir MT" w:hint="cs"/>
          <w:rtl/>
        </w:rPr>
        <w:t>.</w:t>
      </w:r>
    </w:p>
    <w:p w:rsidR="00B21FA2" w:rsidRDefault="00F12D1D" w:rsidP="00B21FA2">
      <w:pPr>
        <w:pStyle w:val="ListParagraph"/>
        <w:tabs>
          <w:tab w:val="right" w:pos="596"/>
        </w:tabs>
        <w:spacing w:after="200" w:line="360" w:lineRule="auto"/>
        <w:ind w:left="31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>21</w:t>
      </w:r>
      <w:r>
        <w:rPr>
          <w:rFonts w:hint="cs"/>
          <w:u w:val="single"/>
          <w:rtl/>
        </w:rPr>
        <w:t xml:space="preserve">- </w:t>
      </w:r>
      <w:r w:rsidR="00902B0A" w:rsidRPr="007F5065">
        <w:rPr>
          <w:rFonts w:cs="PT Bold Heading" w:hint="cs"/>
          <w:u w:val="single"/>
          <w:rtl/>
        </w:rPr>
        <w:t xml:space="preserve">التوصية رقم ( 166/238 ) </w:t>
      </w:r>
    </w:p>
    <w:p w:rsidR="00902B0A" w:rsidRPr="00456DE1" w:rsidRDefault="00456DE1" w:rsidP="00E8693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رفع القيود </w:t>
      </w:r>
      <w:r w:rsidR="007F6E3A" w:rsidRPr="00456DE1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تعوق عمل منظمات المجتمع </w:t>
      </w:r>
      <w:r w:rsidR="007F6E3A" w:rsidRPr="00456DE1">
        <w:rPr>
          <w:rFonts w:asciiTheme="majorBidi" w:hAnsiTheme="majorBidi" w:cstheme="majorBidi" w:hint="cs"/>
          <w:sz w:val="28"/>
          <w:szCs w:val="28"/>
          <w:rtl/>
        </w:rPr>
        <w:t>المدني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>، و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لا سيما فيما يتعلق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ب</w:t>
      </w:r>
      <w:r w:rsidR="00E86939" w:rsidRPr="00456DE1">
        <w:rPr>
          <w:rFonts w:asciiTheme="majorBidi" w:hAnsiTheme="majorBidi" w:cstheme="majorBidi" w:hint="cs"/>
          <w:sz w:val="28"/>
          <w:szCs w:val="28"/>
          <w:rtl/>
        </w:rPr>
        <w:t>تلقي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التمويل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لتتمكن من أداء 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>عملها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F6E3A" w:rsidRPr="00456DE1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الدفاع عن حقوق الإنسان</w:t>
      </w:r>
      <w:r w:rsidR="00E86939">
        <w:rPr>
          <w:rFonts w:asciiTheme="majorBidi" w:hAnsiTheme="majorBidi" w:cstheme="majorBidi" w:hint="cs"/>
          <w:sz w:val="28"/>
          <w:szCs w:val="28"/>
          <w:rtl/>
        </w:rPr>
        <w:t xml:space="preserve"> على نحو فعال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>.</w:t>
      </w:r>
    </w:p>
    <w:p w:rsidR="00B21FA2" w:rsidRPr="00456DE1" w:rsidRDefault="00B21FA2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652A35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رفع القيود التي تعوق عمل منظمات المجتمع المدني ) .</w:t>
      </w:r>
    </w:p>
    <w:p w:rsidR="00902B0A" w:rsidRPr="00652A35" w:rsidRDefault="00652A35" w:rsidP="00652A3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456DE1" w:rsidRDefault="00652A35" w:rsidP="00456DE1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</w:t>
      </w:r>
      <w:r w:rsidR="00456DE1">
        <w:rPr>
          <w:rFonts w:cs="Mudir MT" w:hint="cs"/>
          <w:rtl/>
        </w:rPr>
        <w:t>--------------------------</w:t>
      </w:r>
    </w:p>
    <w:p w:rsidR="00B21FA2" w:rsidRPr="00F12D1D" w:rsidRDefault="00902B0A" w:rsidP="00F12D1D">
      <w:pPr>
        <w:pStyle w:val="ListParagraph"/>
        <w:numPr>
          <w:ilvl w:val="0"/>
          <w:numId w:val="28"/>
        </w:numPr>
        <w:tabs>
          <w:tab w:val="right" w:pos="596"/>
        </w:tabs>
        <w:spacing w:after="200" w:line="360" w:lineRule="auto"/>
        <w:rPr>
          <w:rFonts w:cs="PT Bold Heading"/>
          <w:u w:val="single"/>
        </w:rPr>
      </w:pPr>
      <w:r w:rsidRPr="00F12D1D">
        <w:rPr>
          <w:rFonts w:cs="PT Bold Heading" w:hint="cs"/>
          <w:u w:val="single"/>
          <w:rtl/>
        </w:rPr>
        <w:t xml:space="preserve">التوصية رقم ( 166 / 243 ) </w:t>
      </w:r>
    </w:p>
    <w:p w:rsidR="00902B0A" w:rsidRPr="00456DE1" w:rsidRDefault="00456DE1" w:rsidP="00611570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تعديل قانون الجمعيات 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>امتثالا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للمعايير الدولية ، بما </w:t>
      </w:r>
      <w:r w:rsidR="007F6E3A" w:rsidRPr="00456DE1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ذلك السماح للمنظمات غير الحكومية بالعمل دون عوائق 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>من قبيل الحصول على إذن مسبق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، ومراقبة تمويل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 xml:space="preserve">حلها 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>اداريًا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B21FA2" w:rsidRPr="00456DE1" w:rsidRDefault="00B21FA2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902B0A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تعديل قانون الجمعيات )</w:t>
      </w:r>
      <w:r w:rsidR="0030431C" w:rsidRPr="00B43665">
        <w:rPr>
          <w:rFonts w:asciiTheme="majorBidi" w:hAnsiTheme="majorBidi" w:cstheme="majorBidi"/>
          <w:sz w:val="28"/>
          <w:szCs w:val="28"/>
          <w:rtl/>
        </w:rPr>
        <w:t>.</w:t>
      </w:r>
    </w:p>
    <w:p w:rsidR="00652A35" w:rsidRPr="00652A35" w:rsidRDefault="00652A35" w:rsidP="00652A3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A33583" w:rsidRPr="00652A35" w:rsidRDefault="00456DE1" w:rsidP="00652A35">
      <w:pPr>
        <w:pStyle w:val="ListParagraph"/>
        <w:spacing w:line="360" w:lineRule="auto"/>
        <w:ind w:left="312"/>
        <w:jc w:val="center"/>
        <w:rPr>
          <w:rFonts w:cs="Mudir MT"/>
          <w:rtl/>
        </w:rPr>
      </w:pPr>
      <w:r>
        <w:rPr>
          <w:rFonts w:cs="Mudir MT" w:hint="cs"/>
          <w:rtl/>
        </w:rPr>
        <w:t>-------------------------------</w:t>
      </w:r>
    </w:p>
    <w:p w:rsidR="005D2913" w:rsidRPr="00A33583" w:rsidRDefault="00902B0A" w:rsidP="00A33583">
      <w:pPr>
        <w:pStyle w:val="ListParagraph"/>
        <w:numPr>
          <w:ilvl w:val="0"/>
          <w:numId w:val="28"/>
        </w:numPr>
        <w:tabs>
          <w:tab w:val="right" w:pos="596"/>
        </w:tabs>
        <w:spacing w:after="200" w:line="360" w:lineRule="auto"/>
        <w:rPr>
          <w:rFonts w:cs="PT Bold Heading"/>
          <w:u w:val="single"/>
        </w:rPr>
      </w:pPr>
      <w:r w:rsidRPr="00A33583">
        <w:rPr>
          <w:rFonts w:cs="PT Bold Heading" w:hint="cs"/>
          <w:u w:val="single"/>
          <w:rtl/>
        </w:rPr>
        <w:t xml:space="preserve">التوصية رقم 166/247 ) </w:t>
      </w:r>
    </w:p>
    <w:p w:rsidR="00902B0A" w:rsidRPr="00456DE1" w:rsidRDefault="00456DE1" w:rsidP="00765799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>حماية حرية تكوين الجمعيات ، وفق</w:t>
      </w:r>
      <w:r w:rsidR="00765799">
        <w:rPr>
          <w:rFonts w:asciiTheme="majorBidi" w:hAnsiTheme="majorBidi" w:cstheme="majorBidi" w:hint="cs"/>
          <w:sz w:val="28"/>
          <w:szCs w:val="28"/>
          <w:rtl/>
        </w:rPr>
        <w:t xml:space="preserve">ًا 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للدستور </w:t>
      </w:r>
      <w:r w:rsidR="007F6E3A" w:rsidRPr="00456DE1">
        <w:rPr>
          <w:rFonts w:asciiTheme="majorBidi" w:hAnsiTheme="majorBidi" w:cstheme="majorBidi" w:hint="cs"/>
          <w:sz w:val="28"/>
          <w:szCs w:val="28"/>
          <w:rtl/>
        </w:rPr>
        <w:t>المصري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،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 xml:space="preserve"> وذلك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>ب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اعتماد قانون جديد للمنظمات غير الحكومية يتماشى تماما مع المعايير الدولية وأفضل الممارسات ، بما </w:t>
      </w:r>
      <w:r w:rsidR="00285EF1" w:rsidRPr="00456DE1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ذلك </w:t>
      </w:r>
      <w:r w:rsidR="00611570">
        <w:rPr>
          <w:rFonts w:asciiTheme="majorBidi" w:hAnsiTheme="majorBidi" w:cstheme="majorBidi" w:hint="cs"/>
          <w:sz w:val="28"/>
          <w:szCs w:val="28"/>
          <w:rtl/>
        </w:rPr>
        <w:t xml:space="preserve"> فيما يتعلق ب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التمويل </w:t>
      </w:r>
      <w:r w:rsidR="007F6E3A" w:rsidRPr="00456DE1">
        <w:rPr>
          <w:rFonts w:asciiTheme="majorBidi" w:hAnsiTheme="majorBidi" w:cstheme="majorBidi" w:hint="cs"/>
          <w:sz w:val="28"/>
          <w:szCs w:val="28"/>
          <w:rtl/>
        </w:rPr>
        <w:t>الأجنبي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5D2913" w:rsidRPr="00456DE1" w:rsidRDefault="005D2913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652A35" w:rsidRDefault="00902B0A" w:rsidP="00137F0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>( حماية حرية تكون الجمعيات وفقًا للدستور المصري وذلك باعتماد قانون جديد للمنظمات غير الحكومية يتماشى تمامًا مع أفضل الممارسات الدولية) .</w:t>
      </w:r>
    </w:p>
    <w:p w:rsidR="00902B0A" w:rsidRPr="00652A35" w:rsidRDefault="00902B0A" w:rsidP="00652A3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B436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2A35"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AF64D0" w:rsidRPr="00B43665" w:rsidRDefault="00AF64D0" w:rsidP="00AF64D0">
      <w:pPr>
        <w:pStyle w:val="ListParagraph"/>
        <w:spacing w:line="360" w:lineRule="auto"/>
        <w:ind w:left="312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----------------------------------</w:t>
      </w:r>
    </w:p>
    <w:p w:rsidR="005D2913" w:rsidRDefault="00902B0A" w:rsidP="00F12D1D">
      <w:pPr>
        <w:pStyle w:val="ListParagraph"/>
        <w:numPr>
          <w:ilvl w:val="0"/>
          <w:numId w:val="28"/>
        </w:numPr>
        <w:tabs>
          <w:tab w:val="right" w:pos="596"/>
        </w:tabs>
        <w:spacing w:after="200" w:line="360" w:lineRule="auto"/>
        <w:rPr>
          <w:rFonts w:cs="PT Bold Heading"/>
          <w:u w:val="single"/>
        </w:rPr>
      </w:pPr>
      <w:r w:rsidRPr="007F5065">
        <w:rPr>
          <w:rFonts w:cs="PT Bold Heading" w:hint="cs"/>
          <w:u w:val="single"/>
          <w:rtl/>
        </w:rPr>
        <w:t xml:space="preserve">التوصية رقم ( 166 / 285 ) </w:t>
      </w:r>
    </w:p>
    <w:p w:rsidR="00902B0A" w:rsidRPr="00456DE1" w:rsidRDefault="00456DE1" w:rsidP="00456DE1">
      <w:pPr>
        <w:pStyle w:val="ListParagraph"/>
        <w:tabs>
          <w:tab w:val="right" w:pos="596"/>
        </w:tabs>
        <w:spacing w:after="200" w:line="360" w:lineRule="auto"/>
        <w:ind w:left="3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>تعزيز التسامح وحماية الأقليات والفئات الضعيفة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30431C" w:rsidRPr="00456DE1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5D2913" w:rsidRPr="00456DE1" w:rsidRDefault="005D2913" w:rsidP="00AC1AA7">
      <w:pPr>
        <w:pStyle w:val="ListParagraph"/>
        <w:spacing w:line="360" w:lineRule="auto"/>
        <w:ind w:left="312"/>
        <w:rPr>
          <w:rFonts w:cs="PT Bold Heading"/>
          <w:rtl/>
        </w:rPr>
      </w:pPr>
      <w:r w:rsidRPr="00456DE1">
        <w:rPr>
          <w:rFonts w:cs="PT Bold Heading" w:hint="cs"/>
          <w:u w:val="single"/>
          <w:rtl/>
        </w:rPr>
        <w:t>المقبول من التوصية  .</w:t>
      </w:r>
    </w:p>
    <w:p w:rsidR="006334E3" w:rsidRDefault="00902B0A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56DE1">
        <w:rPr>
          <w:rFonts w:asciiTheme="majorBidi" w:hAnsiTheme="majorBidi" w:cstheme="majorBidi"/>
          <w:sz w:val="28"/>
          <w:szCs w:val="28"/>
          <w:rtl/>
        </w:rPr>
        <w:t xml:space="preserve">( تعزيز التسامح وحماية الفئات الضعيفة ) . </w:t>
      </w:r>
    </w:p>
    <w:p w:rsidR="00652A35" w:rsidRPr="00652A35" w:rsidRDefault="00652A35" w:rsidP="00652A35">
      <w:pPr>
        <w:pStyle w:val="ListParagraph"/>
        <w:spacing w:line="360" w:lineRule="auto"/>
        <w:ind w:left="312"/>
        <w:rPr>
          <w:rFonts w:asciiTheme="majorBidi" w:hAnsiTheme="majorBidi" w:cstheme="majorBidi"/>
          <w:sz w:val="28"/>
          <w:szCs w:val="28"/>
          <w:rtl/>
        </w:rPr>
      </w:pPr>
      <w:r w:rsidRPr="001956AF">
        <w:rPr>
          <w:rFonts w:asciiTheme="majorBidi" w:hAnsiTheme="majorBidi" w:cs="PT Bold Heading" w:hint="cs"/>
          <w:u w:val="single"/>
          <w:rtl/>
        </w:rPr>
        <w:t>باقي أجزاء التوصية( أخذ علم)</w:t>
      </w:r>
    </w:p>
    <w:p w:rsidR="00652A35" w:rsidRDefault="00652A35" w:rsidP="00AC1AA7">
      <w:pPr>
        <w:pStyle w:val="ListParagraph"/>
        <w:spacing w:line="360" w:lineRule="auto"/>
        <w:ind w:left="312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F64D0" w:rsidRPr="00456DE1" w:rsidRDefault="00AF64D0" w:rsidP="00AF64D0">
      <w:pPr>
        <w:pStyle w:val="ListParagraph"/>
        <w:spacing w:line="360" w:lineRule="auto"/>
        <w:ind w:left="31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</w:t>
      </w:r>
    </w:p>
    <w:sectPr w:rsidR="00AF64D0" w:rsidRPr="00456DE1" w:rsidSect="001074B0">
      <w:headerReference w:type="default" r:id="rId9"/>
      <w:pgSz w:w="11906" w:h="16838"/>
      <w:pgMar w:top="1440" w:right="1106" w:bottom="1440" w:left="99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9D" w:rsidRDefault="00C0589D" w:rsidP="00EE5498">
      <w:r>
        <w:separator/>
      </w:r>
    </w:p>
  </w:endnote>
  <w:endnote w:type="continuationSeparator" w:id="0">
    <w:p w:rsidR="00C0589D" w:rsidRDefault="00C0589D" w:rsidP="00EE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9D" w:rsidRDefault="00C0589D" w:rsidP="00EE5498">
      <w:r>
        <w:separator/>
      </w:r>
    </w:p>
  </w:footnote>
  <w:footnote w:type="continuationSeparator" w:id="0">
    <w:p w:rsidR="00C0589D" w:rsidRDefault="00C0589D" w:rsidP="00EE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38174"/>
      <w:docPartObj>
        <w:docPartGallery w:val="Page Numbers (Top of Page)"/>
        <w:docPartUnique/>
      </w:docPartObj>
    </w:sdtPr>
    <w:sdtEndPr/>
    <w:sdtContent>
      <w:p w:rsidR="00EE5498" w:rsidRDefault="001B2C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498" w:rsidRDefault="00EE5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28"/>
    <w:multiLevelType w:val="hybridMultilevel"/>
    <w:tmpl w:val="2AB23AE0"/>
    <w:lvl w:ilvl="0" w:tplc="FCF87536">
      <w:start w:val="1"/>
      <w:numFmt w:val="arabicAlpha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0B37E2C"/>
    <w:multiLevelType w:val="hybridMultilevel"/>
    <w:tmpl w:val="7B8629C4"/>
    <w:lvl w:ilvl="0" w:tplc="4694F862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463995"/>
    <w:multiLevelType w:val="hybridMultilevel"/>
    <w:tmpl w:val="136EC434"/>
    <w:lvl w:ilvl="0" w:tplc="9F448FA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5123B"/>
    <w:multiLevelType w:val="hybridMultilevel"/>
    <w:tmpl w:val="FF842C70"/>
    <w:lvl w:ilvl="0" w:tplc="8B42F8A2">
      <w:start w:val="1"/>
      <w:numFmt w:val="arabicAlpha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09DC69C1"/>
    <w:multiLevelType w:val="hybridMultilevel"/>
    <w:tmpl w:val="9964FB98"/>
    <w:lvl w:ilvl="0" w:tplc="D3B093C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A104A"/>
    <w:multiLevelType w:val="hybridMultilevel"/>
    <w:tmpl w:val="BCDE083E"/>
    <w:lvl w:ilvl="0" w:tplc="8F10CAAC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C7CEC"/>
    <w:multiLevelType w:val="hybridMultilevel"/>
    <w:tmpl w:val="C5782C12"/>
    <w:lvl w:ilvl="0" w:tplc="4DCE2C24">
      <w:start w:val="1"/>
      <w:numFmt w:val="arabicAlpha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122A7DC0"/>
    <w:multiLevelType w:val="hybridMultilevel"/>
    <w:tmpl w:val="1E66A08A"/>
    <w:lvl w:ilvl="0" w:tplc="66508B4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870F9"/>
    <w:multiLevelType w:val="hybridMultilevel"/>
    <w:tmpl w:val="CC64AC00"/>
    <w:lvl w:ilvl="0" w:tplc="BAE8DA5E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353BC"/>
    <w:multiLevelType w:val="hybridMultilevel"/>
    <w:tmpl w:val="A3C2F8DE"/>
    <w:lvl w:ilvl="0" w:tplc="A6245F12">
      <w:start w:val="3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64085A"/>
    <w:multiLevelType w:val="hybridMultilevel"/>
    <w:tmpl w:val="5E10F366"/>
    <w:lvl w:ilvl="0" w:tplc="885A622A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101AA"/>
    <w:multiLevelType w:val="hybridMultilevel"/>
    <w:tmpl w:val="1122C29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1DCA7C8D"/>
    <w:multiLevelType w:val="hybridMultilevel"/>
    <w:tmpl w:val="E7C0472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044A98"/>
    <w:multiLevelType w:val="hybridMultilevel"/>
    <w:tmpl w:val="AD2C1A44"/>
    <w:lvl w:ilvl="0" w:tplc="234A424C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F7036"/>
    <w:multiLevelType w:val="hybridMultilevel"/>
    <w:tmpl w:val="CB5AB584"/>
    <w:lvl w:ilvl="0" w:tplc="77102B2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C07CC9"/>
    <w:multiLevelType w:val="hybridMultilevel"/>
    <w:tmpl w:val="84E4C5C6"/>
    <w:lvl w:ilvl="0" w:tplc="0D2A839C">
      <w:start w:val="1"/>
      <w:numFmt w:val="decimal"/>
      <w:lvlText w:val="%1-"/>
      <w:lvlJc w:val="left"/>
      <w:pPr>
        <w:ind w:left="1080" w:hanging="360"/>
      </w:pPr>
      <w:rPr>
        <w:rFonts w:cs="mohammad bold art 1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A1AAC"/>
    <w:multiLevelType w:val="hybridMultilevel"/>
    <w:tmpl w:val="55368DBE"/>
    <w:lvl w:ilvl="0" w:tplc="AEBAB3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92F4C"/>
    <w:multiLevelType w:val="hybridMultilevel"/>
    <w:tmpl w:val="8028EF56"/>
    <w:lvl w:ilvl="0" w:tplc="E792559A">
      <w:start w:val="1"/>
      <w:numFmt w:val="arabicAlpha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>
    <w:nsid w:val="50AB64DD"/>
    <w:multiLevelType w:val="hybridMultilevel"/>
    <w:tmpl w:val="D310B010"/>
    <w:lvl w:ilvl="0" w:tplc="62BC30A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1C0854"/>
    <w:multiLevelType w:val="hybridMultilevel"/>
    <w:tmpl w:val="C2E4308A"/>
    <w:lvl w:ilvl="0" w:tplc="CA76C18C">
      <w:start w:val="1"/>
      <w:numFmt w:val="arabicAlpha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A4B27B6"/>
    <w:multiLevelType w:val="hybridMultilevel"/>
    <w:tmpl w:val="1B04DFEA"/>
    <w:lvl w:ilvl="0" w:tplc="F1E8EA82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5C4514C1"/>
    <w:multiLevelType w:val="hybridMultilevel"/>
    <w:tmpl w:val="9C18E03C"/>
    <w:lvl w:ilvl="0" w:tplc="EAD2098C">
      <w:start w:val="1"/>
      <w:numFmt w:val="arabicAlpha"/>
      <w:lvlText w:val="%1."/>
      <w:lvlJc w:val="left"/>
      <w:pPr>
        <w:ind w:left="15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2">
    <w:nsid w:val="66B02C31"/>
    <w:multiLevelType w:val="hybridMultilevel"/>
    <w:tmpl w:val="969A08FE"/>
    <w:lvl w:ilvl="0" w:tplc="1F44EDB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5F688D"/>
    <w:multiLevelType w:val="hybridMultilevel"/>
    <w:tmpl w:val="E7205296"/>
    <w:lvl w:ilvl="0" w:tplc="E95629D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28700B6"/>
    <w:multiLevelType w:val="hybridMultilevel"/>
    <w:tmpl w:val="7A8CBE68"/>
    <w:lvl w:ilvl="0" w:tplc="334669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F2188"/>
    <w:multiLevelType w:val="hybridMultilevel"/>
    <w:tmpl w:val="897A9DC4"/>
    <w:lvl w:ilvl="0" w:tplc="10F6F6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24932"/>
    <w:multiLevelType w:val="hybridMultilevel"/>
    <w:tmpl w:val="13E0ED54"/>
    <w:lvl w:ilvl="0" w:tplc="1D56C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E393C"/>
    <w:multiLevelType w:val="hybridMultilevel"/>
    <w:tmpl w:val="42CAA636"/>
    <w:lvl w:ilvl="0" w:tplc="3B78DC9E">
      <w:numFmt w:val="bullet"/>
      <w:lvlText w:val="-"/>
      <w:lvlJc w:val="left"/>
      <w:pPr>
        <w:ind w:left="1260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22"/>
  </w:num>
  <w:num w:numId="8">
    <w:abstractNumId w:val="14"/>
  </w:num>
  <w:num w:numId="9">
    <w:abstractNumId w:val="20"/>
  </w:num>
  <w:num w:numId="10">
    <w:abstractNumId w:val="17"/>
  </w:num>
  <w:num w:numId="11">
    <w:abstractNumId w:val="0"/>
  </w:num>
  <w:num w:numId="12">
    <w:abstractNumId w:val="3"/>
  </w:num>
  <w:num w:numId="13">
    <w:abstractNumId w:val="6"/>
  </w:num>
  <w:num w:numId="14">
    <w:abstractNumId w:val="19"/>
  </w:num>
  <w:num w:numId="15">
    <w:abstractNumId w:val="21"/>
  </w:num>
  <w:num w:numId="16">
    <w:abstractNumId w:val="1"/>
  </w:num>
  <w:num w:numId="17">
    <w:abstractNumId w:val="27"/>
  </w:num>
  <w:num w:numId="18">
    <w:abstractNumId w:val="5"/>
  </w:num>
  <w:num w:numId="19">
    <w:abstractNumId w:val="8"/>
  </w:num>
  <w:num w:numId="20">
    <w:abstractNumId w:val="25"/>
  </w:num>
  <w:num w:numId="21">
    <w:abstractNumId w:val="16"/>
  </w:num>
  <w:num w:numId="22">
    <w:abstractNumId w:val="26"/>
  </w:num>
  <w:num w:numId="23">
    <w:abstractNumId w:val="13"/>
  </w:num>
  <w:num w:numId="24">
    <w:abstractNumId w:val="24"/>
  </w:num>
  <w:num w:numId="25">
    <w:abstractNumId w:val="23"/>
  </w:num>
  <w:num w:numId="26">
    <w:abstractNumId w:val="1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46"/>
    <w:rsid w:val="0000759F"/>
    <w:rsid w:val="00013219"/>
    <w:rsid w:val="0001386C"/>
    <w:rsid w:val="00031F78"/>
    <w:rsid w:val="000322E9"/>
    <w:rsid w:val="00034B94"/>
    <w:rsid w:val="00040119"/>
    <w:rsid w:val="00083D71"/>
    <w:rsid w:val="00090143"/>
    <w:rsid w:val="000B61BD"/>
    <w:rsid w:val="000B6589"/>
    <w:rsid w:val="000C119F"/>
    <w:rsid w:val="000C21F3"/>
    <w:rsid w:val="000C3625"/>
    <w:rsid w:val="000E4506"/>
    <w:rsid w:val="000F0D2D"/>
    <w:rsid w:val="001061E1"/>
    <w:rsid w:val="001074B0"/>
    <w:rsid w:val="00115646"/>
    <w:rsid w:val="00127EE4"/>
    <w:rsid w:val="00137F05"/>
    <w:rsid w:val="00150040"/>
    <w:rsid w:val="00162DAE"/>
    <w:rsid w:val="00172D5B"/>
    <w:rsid w:val="0017692E"/>
    <w:rsid w:val="001874AA"/>
    <w:rsid w:val="001956AF"/>
    <w:rsid w:val="001A1630"/>
    <w:rsid w:val="001A58A3"/>
    <w:rsid w:val="001A5A08"/>
    <w:rsid w:val="001B12D1"/>
    <w:rsid w:val="001B207C"/>
    <w:rsid w:val="001B2CD8"/>
    <w:rsid w:val="001D5276"/>
    <w:rsid w:val="001E0615"/>
    <w:rsid w:val="001E1F9C"/>
    <w:rsid w:val="001F40CD"/>
    <w:rsid w:val="00201F71"/>
    <w:rsid w:val="002035D8"/>
    <w:rsid w:val="00220EBE"/>
    <w:rsid w:val="0023594F"/>
    <w:rsid w:val="00245D3A"/>
    <w:rsid w:val="0024683D"/>
    <w:rsid w:val="002606E7"/>
    <w:rsid w:val="00264286"/>
    <w:rsid w:val="00285EF1"/>
    <w:rsid w:val="00287773"/>
    <w:rsid w:val="00297427"/>
    <w:rsid w:val="0029755B"/>
    <w:rsid w:val="002B5C9C"/>
    <w:rsid w:val="002B6469"/>
    <w:rsid w:val="002E19F6"/>
    <w:rsid w:val="002E5864"/>
    <w:rsid w:val="002F0158"/>
    <w:rsid w:val="0030431C"/>
    <w:rsid w:val="00330E97"/>
    <w:rsid w:val="0035678E"/>
    <w:rsid w:val="00360A2F"/>
    <w:rsid w:val="00377040"/>
    <w:rsid w:val="003846FC"/>
    <w:rsid w:val="00386F61"/>
    <w:rsid w:val="003A6943"/>
    <w:rsid w:val="003C4D6D"/>
    <w:rsid w:val="003D3987"/>
    <w:rsid w:val="003D6835"/>
    <w:rsid w:val="003F3982"/>
    <w:rsid w:val="00401FA9"/>
    <w:rsid w:val="00403FF2"/>
    <w:rsid w:val="004116AA"/>
    <w:rsid w:val="00412350"/>
    <w:rsid w:val="00415360"/>
    <w:rsid w:val="004211CE"/>
    <w:rsid w:val="00421808"/>
    <w:rsid w:val="00430615"/>
    <w:rsid w:val="004472A8"/>
    <w:rsid w:val="00447777"/>
    <w:rsid w:val="00447C9C"/>
    <w:rsid w:val="00454A73"/>
    <w:rsid w:val="00456DE1"/>
    <w:rsid w:val="00460330"/>
    <w:rsid w:val="00460EEF"/>
    <w:rsid w:val="00470174"/>
    <w:rsid w:val="00470606"/>
    <w:rsid w:val="00473ACA"/>
    <w:rsid w:val="004755F5"/>
    <w:rsid w:val="00476EE0"/>
    <w:rsid w:val="00480EC5"/>
    <w:rsid w:val="00485E29"/>
    <w:rsid w:val="00490C9C"/>
    <w:rsid w:val="00496F89"/>
    <w:rsid w:val="004A748C"/>
    <w:rsid w:val="004B00E5"/>
    <w:rsid w:val="004B3C63"/>
    <w:rsid w:val="004B5BB2"/>
    <w:rsid w:val="004C27B6"/>
    <w:rsid w:val="004C55B7"/>
    <w:rsid w:val="004D43CC"/>
    <w:rsid w:val="004D4572"/>
    <w:rsid w:val="004D4C35"/>
    <w:rsid w:val="004D5397"/>
    <w:rsid w:val="004F5394"/>
    <w:rsid w:val="00506E0F"/>
    <w:rsid w:val="00512300"/>
    <w:rsid w:val="00516E7F"/>
    <w:rsid w:val="00524B28"/>
    <w:rsid w:val="00542DAB"/>
    <w:rsid w:val="005438BE"/>
    <w:rsid w:val="00553AC9"/>
    <w:rsid w:val="00570E23"/>
    <w:rsid w:val="00576704"/>
    <w:rsid w:val="00581914"/>
    <w:rsid w:val="00597726"/>
    <w:rsid w:val="005A1DEE"/>
    <w:rsid w:val="005A5AD7"/>
    <w:rsid w:val="005B0C0A"/>
    <w:rsid w:val="005B337D"/>
    <w:rsid w:val="005B3E4A"/>
    <w:rsid w:val="005C4AC1"/>
    <w:rsid w:val="005C4D14"/>
    <w:rsid w:val="005C59FB"/>
    <w:rsid w:val="005C5B3D"/>
    <w:rsid w:val="005D2913"/>
    <w:rsid w:val="005E7564"/>
    <w:rsid w:val="005F095F"/>
    <w:rsid w:val="00603B5A"/>
    <w:rsid w:val="00606E2B"/>
    <w:rsid w:val="00611570"/>
    <w:rsid w:val="00615FE6"/>
    <w:rsid w:val="00616FB4"/>
    <w:rsid w:val="006304B9"/>
    <w:rsid w:val="006334E3"/>
    <w:rsid w:val="0064014C"/>
    <w:rsid w:val="006408BE"/>
    <w:rsid w:val="00652A35"/>
    <w:rsid w:val="00655740"/>
    <w:rsid w:val="00673B40"/>
    <w:rsid w:val="00674038"/>
    <w:rsid w:val="006802CE"/>
    <w:rsid w:val="00682760"/>
    <w:rsid w:val="00683DE6"/>
    <w:rsid w:val="00683E7C"/>
    <w:rsid w:val="00690C59"/>
    <w:rsid w:val="0069136E"/>
    <w:rsid w:val="006A3D2C"/>
    <w:rsid w:val="006C7739"/>
    <w:rsid w:val="006D0FB5"/>
    <w:rsid w:val="006D48CB"/>
    <w:rsid w:val="006D4CB5"/>
    <w:rsid w:val="006D4F87"/>
    <w:rsid w:val="006E4144"/>
    <w:rsid w:val="006E501D"/>
    <w:rsid w:val="006E521F"/>
    <w:rsid w:val="006F1361"/>
    <w:rsid w:val="006F4CE4"/>
    <w:rsid w:val="00714333"/>
    <w:rsid w:val="00722F12"/>
    <w:rsid w:val="00732CA5"/>
    <w:rsid w:val="0074753A"/>
    <w:rsid w:val="00754BCD"/>
    <w:rsid w:val="00754C45"/>
    <w:rsid w:val="00757DF9"/>
    <w:rsid w:val="00765799"/>
    <w:rsid w:val="0077561A"/>
    <w:rsid w:val="0077771D"/>
    <w:rsid w:val="00780138"/>
    <w:rsid w:val="00787B67"/>
    <w:rsid w:val="007905AC"/>
    <w:rsid w:val="007A5361"/>
    <w:rsid w:val="007A5A48"/>
    <w:rsid w:val="007B5E52"/>
    <w:rsid w:val="007C24C9"/>
    <w:rsid w:val="007C683A"/>
    <w:rsid w:val="007D1557"/>
    <w:rsid w:val="007D1575"/>
    <w:rsid w:val="007E65F2"/>
    <w:rsid w:val="007F6C3D"/>
    <w:rsid w:val="007F6E3A"/>
    <w:rsid w:val="00804F2A"/>
    <w:rsid w:val="00807DA6"/>
    <w:rsid w:val="00811CCF"/>
    <w:rsid w:val="00813C2F"/>
    <w:rsid w:val="0081691C"/>
    <w:rsid w:val="00820582"/>
    <w:rsid w:val="00826509"/>
    <w:rsid w:val="00831311"/>
    <w:rsid w:val="008448BF"/>
    <w:rsid w:val="0085167A"/>
    <w:rsid w:val="008615B4"/>
    <w:rsid w:val="0087016A"/>
    <w:rsid w:val="008859F3"/>
    <w:rsid w:val="00886987"/>
    <w:rsid w:val="008913DB"/>
    <w:rsid w:val="008A24AB"/>
    <w:rsid w:val="008A70DC"/>
    <w:rsid w:val="008A7154"/>
    <w:rsid w:val="008B43C0"/>
    <w:rsid w:val="008B43FE"/>
    <w:rsid w:val="008B5747"/>
    <w:rsid w:val="008C140A"/>
    <w:rsid w:val="008C36AE"/>
    <w:rsid w:val="008D42B4"/>
    <w:rsid w:val="008E39D8"/>
    <w:rsid w:val="008E3A67"/>
    <w:rsid w:val="008F3D8D"/>
    <w:rsid w:val="00901F8D"/>
    <w:rsid w:val="009025E8"/>
    <w:rsid w:val="00902B0A"/>
    <w:rsid w:val="00907949"/>
    <w:rsid w:val="00911D1A"/>
    <w:rsid w:val="009260FD"/>
    <w:rsid w:val="0093718B"/>
    <w:rsid w:val="009400C7"/>
    <w:rsid w:val="00944C5A"/>
    <w:rsid w:val="00947402"/>
    <w:rsid w:val="009501F9"/>
    <w:rsid w:val="00960C7B"/>
    <w:rsid w:val="00961515"/>
    <w:rsid w:val="0097597D"/>
    <w:rsid w:val="00992418"/>
    <w:rsid w:val="009A0A68"/>
    <w:rsid w:val="009A238E"/>
    <w:rsid w:val="009A633C"/>
    <w:rsid w:val="009B6BB5"/>
    <w:rsid w:val="009B7804"/>
    <w:rsid w:val="009C17A4"/>
    <w:rsid w:val="009E7A5F"/>
    <w:rsid w:val="009F16A2"/>
    <w:rsid w:val="009F73BD"/>
    <w:rsid w:val="00A026DB"/>
    <w:rsid w:val="00A04674"/>
    <w:rsid w:val="00A135BB"/>
    <w:rsid w:val="00A14FFF"/>
    <w:rsid w:val="00A15C7A"/>
    <w:rsid w:val="00A2455A"/>
    <w:rsid w:val="00A33583"/>
    <w:rsid w:val="00A40D75"/>
    <w:rsid w:val="00A40FAB"/>
    <w:rsid w:val="00A4252E"/>
    <w:rsid w:val="00A6354A"/>
    <w:rsid w:val="00A66088"/>
    <w:rsid w:val="00A83F63"/>
    <w:rsid w:val="00A97FE0"/>
    <w:rsid w:val="00AA18E0"/>
    <w:rsid w:val="00AB3267"/>
    <w:rsid w:val="00AB75AF"/>
    <w:rsid w:val="00AC1AA7"/>
    <w:rsid w:val="00AC2728"/>
    <w:rsid w:val="00AC61EB"/>
    <w:rsid w:val="00AD168E"/>
    <w:rsid w:val="00AD3164"/>
    <w:rsid w:val="00AD7815"/>
    <w:rsid w:val="00AE20FB"/>
    <w:rsid w:val="00AE28BD"/>
    <w:rsid w:val="00AE6CD8"/>
    <w:rsid w:val="00AF64D0"/>
    <w:rsid w:val="00B21FA2"/>
    <w:rsid w:val="00B22C17"/>
    <w:rsid w:val="00B24E0E"/>
    <w:rsid w:val="00B30F8E"/>
    <w:rsid w:val="00B3337F"/>
    <w:rsid w:val="00B3532C"/>
    <w:rsid w:val="00B3705F"/>
    <w:rsid w:val="00B379EE"/>
    <w:rsid w:val="00B43665"/>
    <w:rsid w:val="00B54216"/>
    <w:rsid w:val="00B6113D"/>
    <w:rsid w:val="00B679C3"/>
    <w:rsid w:val="00B84099"/>
    <w:rsid w:val="00B85797"/>
    <w:rsid w:val="00B86E9E"/>
    <w:rsid w:val="00B92014"/>
    <w:rsid w:val="00BA38B8"/>
    <w:rsid w:val="00BA77F3"/>
    <w:rsid w:val="00BC525C"/>
    <w:rsid w:val="00BE4219"/>
    <w:rsid w:val="00BE5089"/>
    <w:rsid w:val="00C0589D"/>
    <w:rsid w:val="00C06519"/>
    <w:rsid w:val="00C06A3C"/>
    <w:rsid w:val="00C1576C"/>
    <w:rsid w:val="00C162B5"/>
    <w:rsid w:val="00C22D17"/>
    <w:rsid w:val="00C26FE2"/>
    <w:rsid w:val="00C302DC"/>
    <w:rsid w:val="00C363DB"/>
    <w:rsid w:val="00C43FEC"/>
    <w:rsid w:val="00C4559C"/>
    <w:rsid w:val="00C45D13"/>
    <w:rsid w:val="00C50D5F"/>
    <w:rsid w:val="00C55D4E"/>
    <w:rsid w:val="00C702D4"/>
    <w:rsid w:val="00C7269F"/>
    <w:rsid w:val="00C81C52"/>
    <w:rsid w:val="00C920E0"/>
    <w:rsid w:val="00C94A3A"/>
    <w:rsid w:val="00CC6887"/>
    <w:rsid w:val="00CE6B80"/>
    <w:rsid w:val="00CF221D"/>
    <w:rsid w:val="00CF33DF"/>
    <w:rsid w:val="00CF5112"/>
    <w:rsid w:val="00D20BEB"/>
    <w:rsid w:val="00D24258"/>
    <w:rsid w:val="00D4499D"/>
    <w:rsid w:val="00D51D59"/>
    <w:rsid w:val="00D535B0"/>
    <w:rsid w:val="00D62CE1"/>
    <w:rsid w:val="00D64BA2"/>
    <w:rsid w:val="00D722B8"/>
    <w:rsid w:val="00D84ADF"/>
    <w:rsid w:val="00DA39B5"/>
    <w:rsid w:val="00DB6613"/>
    <w:rsid w:val="00DC620D"/>
    <w:rsid w:val="00DD197F"/>
    <w:rsid w:val="00DF40DE"/>
    <w:rsid w:val="00DF4B10"/>
    <w:rsid w:val="00E239BF"/>
    <w:rsid w:val="00E23AA0"/>
    <w:rsid w:val="00E2463F"/>
    <w:rsid w:val="00E36EAC"/>
    <w:rsid w:val="00E4427A"/>
    <w:rsid w:val="00E46460"/>
    <w:rsid w:val="00E565CE"/>
    <w:rsid w:val="00E57256"/>
    <w:rsid w:val="00E64F26"/>
    <w:rsid w:val="00E667A5"/>
    <w:rsid w:val="00E67619"/>
    <w:rsid w:val="00E86939"/>
    <w:rsid w:val="00E90CD9"/>
    <w:rsid w:val="00EA1013"/>
    <w:rsid w:val="00EA46D3"/>
    <w:rsid w:val="00EA5538"/>
    <w:rsid w:val="00EA6BDA"/>
    <w:rsid w:val="00EB7565"/>
    <w:rsid w:val="00EC0017"/>
    <w:rsid w:val="00EE32DD"/>
    <w:rsid w:val="00EE4209"/>
    <w:rsid w:val="00EE5498"/>
    <w:rsid w:val="00EE613B"/>
    <w:rsid w:val="00EE686C"/>
    <w:rsid w:val="00EF402C"/>
    <w:rsid w:val="00F000B7"/>
    <w:rsid w:val="00F0110B"/>
    <w:rsid w:val="00F12D1D"/>
    <w:rsid w:val="00F207C5"/>
    <w:rsid w:val="00F209C8"/>
    <w:rsid w:val="00F24809"/>
    <w:rsid w:val="00F25B32"/>
    <w:rsid w:val="00F34E3D"/>
    <w:rsid w:val="00F4430F"/>
    <w:rsid w:val="00F44D96"/>
    <w:rsid w:val="00F518B9"/>
    <w:rsid w:val="00F6223D"/>
    <w:rsid w:val="00F70AE3"/>
    <w:rsid w:val="00F7164D"/>
    <w:rsid w:val="00F767BA"/>
    <w:rsid w:val="00F77373"/>
    <w:rsid w:val="00F85817"/>
    <w:rsid w:val="00F919A8"/>
    <w:rsid w:val="00FA3952"/>
    <w:rsid w:val="00FA73C1"/>
    <w:rsid w:val="00FB04A3"/>
    <w:rsid w:val="00FB5402"/>
    <w:rsid w:val="00FC2389"/>
    <w:rsid w:val="00FD094A"/>
    <w:rsid w:val="00FE4D17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56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15646"/>
    <w:rPr>
      <w:rFonts w:ascii="Times New Roman" w:eastAsia="Times New Roman" w:hAnsi="Times New Roman" w:cs="Times New Roman"/>
      <w:b/>
      <w:bCs/>
      <w:lang w:bidi="ar-EG"/>
    </w:rPr>
  </w:style>
  <w:style w:type="paragraph" w:styleId="ListParagraph">
    <w:name w:val="List Paragraph"/>
    <w:basedOn w:val="Normal"/>
    <w:uiPriority w:val="34"/>
    <w:qFormat/>
    <w:rsid w:val="00115646"/>
    <w:pPr>
      <w:ind w:left="720"/>
      <w:contextualSpacing/>
    </w:pPr>
  </w:style>
  <w:style w:type="table" w:styleId="TableGrid">
    <w:name w:val="Table Grid"/>
    <w:basedOn w:val="TableNormal"/>
    <w:uiPriority w:val="59"/>
    <w:rsid w:val="00F44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7B6"/>
    <w:rPr>
      <w:strike w:val="0"/>
      <w:dstrike w:val="0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C27B6"/>
    <w:pPr>
      <w:bidi w:val="0"/>
      <w:spacing w:before="240" w:after="240"/>
    </w:pPr>
    <w:rPr>
      <w:lang w:bidi="ar-SA"/>
    </w:rPr>
  </w:style>
  <w:style w:type="character" w:customStyle="1" w:styleId="usercontentsecondary">
    <w:name w:val="usercontentsecondary"/>
    <w:basedOn w:val="DefaultParagraphFont"/>
    <w:rsid w:val="004C27B6"/>
  </w:style>
  <w:style w:type="character" w:customStyle="1" w:styleId="textexposedhide4">
    <w:name w:val="text_exposed_hide4"/>
    <w:basedOn w:val="DefaultParagraphFont"/>
    <w:rsid w:val="00287773"/>
  </w:style>
  <w:style w:type="character" w:customStyle="1" w:styleId="textexposedshow2">
    <w:name w:val="text_exposed_show2"/>
    <w:basedOn w:val="DefaultParagraphFont"/>
    <w:rsid w:val="00287773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E5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9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EE5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49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15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56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15646"/>
    <w:rPr>
      <w:rFonts w:ascii="Times New Roman" w:eastAsia="Times New Roman" w:hAnsi="Times New Roman" w:cs="Times New Roman"/>
      <w:b/>
      <w:bCs/>
      <w:lang w:bidi="ar-EG"/>
    </w:rPr>
  </w:style>
  <w:style w:type="paragraph" w:styleId="ListParagraph">
    <w:name w:val="List Paragraph"/>
    <w:basedOn w:val="Normal"/>
    <w:uiPriority w:val="34"/>
    <w:qFormat/>
    <w:rsid w:val="00115646"/>
    <w:pPr>
      <w:ind w:left="720"/>
      <w:contextualSpacing/>
    </w:pPr>
  </w:style>
  <w:style w:type="table" w:styleId="TableGrid">
    <w:name w:val="Table Grid"/>
    <w:basedOn w:val="TableNormal"/>
    <w:uiPriority w:val="59"/>
    <w:rsid w:val="00F44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7B6"/>
    <w:rPr>
      <w:strike w:val="0"/>
      <w:dstrike w:val="0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C27B6"/>
    <w:pPr>
      <w:bidi w:val="0"/>
      <w:spacing w:before="240" w:after="240"/>
    </w:pPr>
    <w:rPr>
      <w:lang w:bidi="ar-SA"/>
    </w:rPr>
  </w:style>
  <w:style w:type="character" w:customStyle="1" w:styleId="usercontentsecondary">
    <w:name w:val="usercontentsecondary"/>
    <w:basedOn w:val="DefaultParagraphFont"/>
    <w:rsid w:val="004C27B6"/>
  </w:style>
  <w:style w:type="character" w:customStyle="1" w:styleId="textexposedhide4">
    <w:name w:val="text_exposed_hide4"/>
    <w:basedOn w:val="DefaultParagraphFont"/>
    <w:rsid w:val="00287773"/>
  </w:style>
  <w:style w:type="character" w:customStyle="1" w:styleId="textexposedshow2">
    <w:name w:val="text_exposed_show2"/>
    <w:basedOn w:val="DefaultParagraphFont"/>
    <w:rsid w:val="00287773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E5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9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EE5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49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15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65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759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119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15573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9333">
                                                                  <w:marLeft w:val="0"/>
                                                                  <w:marRight w:val="-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9EAED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812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22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E7D32-BF11-450B-BB72-9D0A16B98C01}"/>
</file>

<file path=customXml/itemProps2.xml><?xml version="1.0" encoding="utf-8"?>
<ds:datastoreItem xmlns:ds="http://schemas.openxmlformats.org/officeDocument/2006/customXml" ds:itemID="{B7869EE1-85EA-46F2-BA1E-4A0E22B3666F}"/>
</file>

<file path=customXml/itemProps3.xml><?xml version="1.0" encoding="utf-8"?>
<ds:datastoreItem xmlns:ds="http://schemas.openxmlformats.org/officeDocument/2006/customXml" ds:itemID="{F9C4DB6A-1C6C-44C9-9E60-8AB95A2437B5}"/>
</file>

<file path=customXml/itemProps4.xml><?xml version="1.0" encoding="utf-8"?>
<ds:datastoreItem xmlns:ds="http://schemas.openxmlformats.org/officeDocument/2006/customXml" ds:itemID="{5A867AEC-D970-4107-8D5F-A8740A54D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mcit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 to the Report of the WG from Egypt in Arabic</dc:title>
  <dc:creator>admintest</dc:creator>
  <cp:lastModifiedBy>Sumiko IHARA</cp:lastModifiedBy>
  <cp:revision>2</cp:revision>
  <cp:lastPrinted>2015-03-17T10:00:00Z</cp:lastPrinted>
  <dcterms:created xsi:type="dcterms:W3CDTF">2015-03-19T15:44:00Z</dcterms:created>
  <dcterms:modified xsi:type="dcterms:W3CDTF">2015-03-19T15:44:00Z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1357900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