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625E5" w14:textId="77777777" w:rsidR="00447CE6" w:rsidRPr="00447CE6" w:rsidRDefault="00447CE6" w:rsidP="00F10EEF">
      <w:pPr>
        <w:jc w:val="center"/>
        <w:rPr>
          <w:rFonts w:ascii="Arial" w:hAnsi="Arial" w:cs="Arial"/>
          <w:b/>
          <w:sz w:val="24"/>
          <w:szCs w:val="24"/>
          <w:u w:val="single"/>
        </w:rPr>
      </w:pPr>
      <w:bookmarkStart w:id="0" w:name="_GoBack"/>
      <w:bookmarkEnd w:id="0"/>
    </w:p>
    <w:p w14:paraId="2298A6D2" w14:textId="77777777" w:rsidR="00F10EEF" w:rsidRPr="00447CE6" w:rsidRDefault="00F10EEF" w:rsidP="00F10EEF">
      <w:pPr>
        <w:jc w:val="center"/>
        <w:rPr>
          <w:rFonts w:ascii="Arial" w:hAnsi="Arial" w:cs="Arial"/>
          <w:b/>
          <w:sz w:val="24"/>
          <w:szCs w:val="24"/>
          <w:u w:val="single"/>
        </w:rPr>
      </w:pPr>
      <w:r w:rsidRPr="00447CE6">
        <w:rPr>
          <w:rFonts w:ascii="Arial" w:hAnsi="Arial" w:cs="Arial"/>
          <w:b/>
          <w:sz w:val="24"/>
          <w:szCs w:val="24"/>
          <w:u w:val="single"/>
        </w:rPr>
        <w:t xml:space="preserve">Internal Displacement Monitoring Centre </w:t>
      </w:r>
    </w:p>
    <w:p w14:paraId="55449E07" w14:textId="77777777" w:rsidR="00A97628" w:rsidRPr="00447CE6" w:rsidRDefault="00DD1BF7" w:rsidP="00F10EEF">
      <w:pPr>
        <w:jc w:val="center"/>
        <w:rPr>
          <w:rFonts w:ascii="Arial" w:hAnsi="Arial" w:cs="Arial"/>
          <w:b/>
          <w:sz w:val="24"/>
          <w:szCs w:val="24"/>
          <w:u w:val="single"/>
        </w:rPr>
      </w:pPr>
      <w:r w:rsidRPr="00447CE6">
        <w:rPr>
          <w:rFonts w:ascii="Arial" w:hAnsi="Arial" w:cs="Arial"/>
          <w:b/>
          <w:sz w:val="24"/>
          <w:szCs w:val="24"/>
          <w:u w:val="single"/>
        </w:rPr>
        <w:t>Up</w:t>
      </w:r>
      <w:r w:rsidR="00F10EEF" w:rsidRPr="00447CE6">
        <w:rPr>
          <w:rFonts w:ascii="Arial" w:hAnsi="Arial" w:cs="Arial"/>
          <w:b/>
          <w:sz w:val="24"/>
          <w:szCs w:val="24"/>
          <w:u w:val="single"/>
        </w:rPr>
        <w:t>-dated s</w:t>
      </w:r>
      <w:r w:rsidR="00AA21F3" w:rsidRPr="00447CE6">
        <w:rPr>
          <w:rFonts w:ascii="Arial" w:hAnsi="Arial" w:cs="Arial"/>
          <w:b/>
          <w:sz w:val="24"/>
          <w:szCs w:val="24"/>
          <w:u w:val="single"/>
        </w:rPr>
        <w:t>ubmission to the Universal Periodic Review  Israel</w:t>
      </w:r>
    </w:p>
    <w:p w14:paraId="446F6748" w14:textId="77777777" w:rsidR="00F7678F" w:rsidRPr="00447CE6" w:rsidRDefault="00F7678F" w:rsidP="00F10EEF">
      <w:pPr>
        <w:jc w:val="center"/>
        <w:rPr>
          <w:rFonts w:ascii="Arial" w:hAnsi="Arial" w:cs="Arial"/>
          <w:b/>
          <w:sz w:val="24"/>
          <w:szCs w:val="24"/>
          <w:u w:val="single"/>
        </w:rPr>
      </w:pPr>
    </w:p>
    <w:p w14:paraId="00DA0ED9" w14:textId="77777777" w:rsidR="00F10EEF" w:rsidRPr="00447CE6" w:rsidRDefault="00F10EEF" w:rsidP="00F10EEF">
      <w:pPr>
        <w:jc w:val="center"/>
        <w:rPr>
          <w:rFonts w:ascii="Arial" w:hAnsi="Arial" w:cs="Arial"/>
          <w:b/>
          <w:sz w:val="24"/>
          <w:szCs w:val="24"/>
          <w:u w:val="single"/>
        </w:rPr>
      </w:pPr>
    </w:p>
    <w:p w14:paraId="48785E91" w14:textId="77777777" w:rsidR="001B2CE8" w:rsidRPr="00447CE6" w:rsidRDefault="00A64E64" w:rsidP="007012DC">
      <w:pPr>
        <w:pStyle w:val="ListParagraph"/>
        <w:numPr>
          <w:ilvl w:val="0"/>
          <w:numId w:val="12"/>
        </w:numPr>
        <w:spacing w:line="240" w:lineRule="auto"/>
        <w:ind w:left="426"/>
        <w:jc w:val="both"/>
        <w:rPr>
          <w:rFonts w:ascii="Arial" w:hAnsi="Arial" w:cs="Arial"/>
          <w:bCs/>
          <w:sz w:val="24"/>
          <w:szCs w:val="24"/>
        </w:rPr>
      </w:pPr>
      <w:r w:rsidRPr="00447CE6">
        <w:rPr>
          <w:rFonts w:ascii="Arial" w:hAnsi="Arial" w:cs="Arial"/>
          <w:bCs/>
          <w:sz w:val="24"/>
          <w:szCs w:val="24"/>
        </w:rPr>
        <w:t>Israel</w:t>
      </w:r>
      <w:r w:rsidR="00FF30AD" w:rsidRPr="00447CE6">
        <w:rPr>
          <w:rFonts w:ascii="Arial" w:hAnsi="Arial" w:cs="Arial"/>
          <w:bCs/>
          <w:sz w:val="24"/>
          <w:szCs w:val="24"/>
        </w:rPr>
        <w:t>,</w:t>
      </w:r>
      <w:r w:rsidRPr="00447CE6">
        <w:rPr>
          <w:rFonts w:ascii="Arial" w:hAnsi="Arial" w:cs="Arial"/>
          <w:bCs/>
          <w:sz w:val="24"/>
          <w:szCs w:val="24"/>
        </w:rPr>
        <w:t xml:space="preserve"> as the occupying power of the Palestinian territories</w:t>
      </w:r>
      <w:r w:rsidR="00FF30AD" w:rsidRPr="00447CE6">
        <w:rPr>
          <w:rFonts w:ascii="Arial" w:hAnsi="Arial" w:cs="Arial"/>
          <w:bCs/>
          <w:sz w:val="24"/>
          <w:szCs w:val="24"/>
        </w:rPr>
        <w:t>,</w:t>
      </w:r>
      <w:r w:rsidRPr="00447CE6">
        <w:rPr>
          <w:rFonts w:ascii="Arial" w:hAnsi="Arial" w:cs="Arial"/>
          <w:bCs/>
          <w:sz w:val="24"/>
          <w:szCs w:val="24"/>
        </w:rPr>
        <w:t xml:space="preserve"> is bound by </w:t>
      </w:r>
      <w:r w:rsidR="00A07E34" w:rsidRPr="00447CE6">
        <w:rPr>
          <w:rFonts w:ascii="Arial" w:hAnsi="Arial" w:cs="Arial"/>
          <w:bCs/>
          <w:sz w:val="24"/>
          <w:szCs w:val="24"/>
        </w:rPr>
        <w:t>International Humanitarian Law</w:t>
      </w:r>
      <w:r w:rsidR="00DC0C3C" w:rsidRPr="00447CE6">
        <w:rPr>
          <w:rFonts w:ascii="Arial" w:hAnsi="Arial" w:cs="Arial"/>
          <w:bCs/>
          <w:sz w:val="24"/>
          <w:szCs w:val="24"/>
        </w:rPr>
        <w:t>.</w:t>
      </w:r>
      <w:r w:rsidRPr="00447CE6">
        <w:rPr>
          <w:rFonts w:ascii="Arial" w:hAnsi="Arial" w:cs="Arial"/>
          <w:bCs/>
          <w:sz w:val="24"/>
          <w:szCs w:val="24"/>
        </w:rPr>
        <w:t xml:space="preserve"> </w:t>
      </w:r>
      <w:r w:rsidR="00DC0C3C" w:rsidRPr="00447CE6">
        <w:rPr>
          <w:rFonts w:ascii="Arial" w:hAnsi="Arial" w:cs="Arial"/>
          <w:bCs/>
          <w:sz w:val="24"/>
          <w:szCs w:val="24"/>
        </w:rPr>
        <w:t>I</w:t>
      </w:r>
      <w:r w:rsidRPr="00447CE6">
        <w:rPr>
          <w:rFonts w:ascii="Arial" w:hAnsi="Arial" w:cs="Arial"/>
          <w:bCs/>
          <w:sz w:val="24"/>
          <w:szCs w:val="24"/>
        </w:rPr>
        <w:t>nternational human rights law also applies in the occupied Palestinian territory (oPt) due to Israel’s effective jurisdiction over the territory</w:t>
      </w:r>
      <w:r w:rsidR="00B95725" w:rsidRPr="00447CE6">
        <w:rPr>
          <w:rStyle w:val="EndnoteReference"/>
          <w:rFonts w:ascii="Arial" w:hAnsi="Arial" w:cs="Arial"/>
          <w:bCs/>
          <w:sz w:val="24"/>
          <w:szCs w:val="24"/>
        </w:rPr>
        <w:endnoteReference w:id="1"/>
      </w:r>
      <w:r w:rsidR="00797C7C" w:rsidRPr="00447CE6">
        <w:rPr>
          <w:rFonts w:ascii="Arial" w:hAnsi="Arial" w:cs="Arial"/>
          <w:bCs/>
          <w:sz w:val="24"/>
          <w:szCs w:val="24"/>
        </w:rPr>
        <w:t>.</w:t>
      </w:r>
      <w:r w:rsidRPr="00447CE6">
        <w:rPr>
          <w:rFonts w:ascii="Arial" w:hAnsi="Arial" w:cs="Arial"/>
          <w:bCs/>
          <w:sz w:val="24"/>
          <w:szCs w:val="24"/>
        </w:rPr>
        <w:t xml:space="preserve"> Israel has the obligation to administer the occupied territory to the benefit of t</w:t>
      </w:r>
      <w:r w:rsidR="00DC0C3C" w:rsidRPr="00447CE6">
        <w:rPr>
          <w:rFonts w:ascii="Arial" w:hAnsi="Arial" w:cs="Arial"/>
          <w:bCs/>
          <w:sz w:val="24"/>
          <w:szCs w:val="24"/>
        </w:rPr>
        <w:t xml:space="preserve">he local Palestinian population and </w:t>
      </w:r>
      <w:r w:rsidR="00A07E34" w:rsidRPr="00447CE6">
        <w:rPr>
          <w:rFonts w:ascii="Arial" w:hAnsi="Arial" w:cs="Arial"/>
          <w:bCs/>
          <w:sz w:val="24"/>
          <w:szCs w:val="24"/>
        </w:rPr>
        <w:t xml:space="preserve">needs </w:t>
      </w:r>
      <w:r w:rsidR="004346C1" w:rsidRPr="00447CE6">
        <w:rPr>
          <w:rFonts w:ascii="Arial" w:hAnsi="Arial" w:cs="Arial"/>
          <w:bCs/>
          <w:sz w:val="24"/>
          <w:szCs w:val="24"/>
        </w:rPr>
        <w:t>to put in place</w:t>
      </w:r>
      <w:r w:rsidR="00DC0C3C" w:rsidRPr="00447CE6">
        <w:rPr>
          <w:rFonts w:ascii="Arial" w:hAnsi="Arial" w:cs="Arial"/>
          <w:bCs/>
          <w:sz w:val="24"/>
          <w:szCs w:val="24"/>
        </w:rPr>
        <w:t xml:space="preserve"> </w:t>
      </w:r>
      <w:r w:rsidR="004346C1" w:rsidRPr="00447CE6">
        <w:rPr>
          <w:rFonts w:ascii="Arial" w:hAnsi="Arial" w:cs="Arial"/>
          <w:bCs/>
          <w:sz w:val="24"/>
          <w:szCs w:val="24"/>
        </w:rPr>
        <w:t>the necessary regulatory and administrati</w:t>
      </w:r>
      <w:r w:rsidR="00DC0C3C" w:rsidRPr="00447CE6">
        <w:rPr>
          <w:rFonts w:ascii="Arial" w:hAnsi="Arial" w:cs="Arial"/>
          <w:bCs/>
          <w:sz w:val="24"/>
          <w:szCs w:val="24"/>
        </w:rPr>
        <w:t>ve measures to ensure the right</w:t>
      </w:r>
      <w:r w:rsidR="004346C1" w:rsidRPr="00447CE6">
        <w:rPr>
          <w:rFonts w:ascii="Arial" w:hAnsi="Arial" w:cs="Arial"/>
          <w:bCs/>
          <w:sz w:val="24"/>
          <w:szCs w:val="24"/>
        </w:rPr>
        <w:t xml:space="preserve"> to an adequate standard of living</w:t>
      </w:r>
      <w:r w:rsidR="00F10EEF" w:rsidRPr="00447CE6">
        <w:rPr>
          <w:rFonts w:ascii="Arial" w:hAnsi="Arial" w:cs="Arial"/>
          <w:bCs/>
          <w:sz w:val="24"/>
          <w:szCs w:val="24"/>
        </w:rPr>
        <w:t xml:space="preserve"> </w:t>
      </w:r>
      <w:r w:rsidR="004346C1" w:rsidRPr="00447CE6">
        <w:rPr>
          <w:rFonts w:ascii="Arial" w:hAnsi="Arial" w:cs="Arial"/>
          <w:bCs/>
          <w:sz w:val="24"/>
          <w:szCs w:val="24"/>
        </w:rPr>
        <w:t>for pe</w:t>
      </w:r>
      <w:r w:rsidR="00A07E34" w:rsidRPr="00447CE6">
        <w:rPr>
          <w:rFonts w:ascii="Arial" w:hAnsi="Arial" w:cs="Arial"/>
          <w:bCs/>
          <w:sz w:val="24"/>
          <w:szCs w:val="24"/>
        </w:rPr>
        <w:t>ople</w:t>
      </w:r>
      <w:r w:rsidR="004346C1" w:rsidRPr="00447CE6">
        <w:rPr>
          <w:rFonts w:ascii="Arial" w:hAnsi="Arial" w:cs="Arial"/>
          <w:bCs/>
          <w:sz w:val="24"/>
          <w:szCs w:val="24"/>
        </w:rPr>
        <w:t xml:space="preserve"> under its control</w:t>
      </w:r>
      <w:r w:rsidR="00F10EEF" w:rsidRPr="00447CE6">
        <w:rPr>
          <w:rFonts w:ascii="Arial" w:hAnsi="Arial" w:cs="Arial"/>
          <w:bCs/>
          <w:sz w:val="24"/>
          <w:szCs w:val="24"/>
          <w:lang w:val="en-GB"/>
        </w:rPr>
        <w:t>,</w:t>
      </w:r>
      <w:r w:rsidR="004346C1" w:rsidRPr="00447CE6">
        <w:rPr>
          <w:rFonts w:ascii="Arial" w:hAnsi="Arial" w:cs="Arial"/>
          <w:bCs/>
          <w:sz w:val="24"/>
          <w:szCs w:val="24"/>
        </w:rPr>
        <w:t xml:space="preserve"> </w:t>
      </w:r>
    </w:p>
    <w:p w14:paraId="4CD0C24F" w14:textId="77777777" w:rsidR="00DC0C3C" w:rsidRPr="00447CE6" w:rsidRDefault="00DC0C3C" w:rsidP="00DC0C3C">
      <w:pPr>
        <w:pStyle w:val="ListParagraph"/>
        <w:spacing w:line="240" w:lineRule="auto"/>
        <w:ind w:left="426"/>
        <w:jc w:val="both"/>
        <w:rPr>
          <w:rFonts w:ascii="Arial" w:hAnsi="Arial" w:cs="Arial"/>
          <w:bCs/>
          <w:sz w:val="24"/>
          <w:szCs w:val="24"/>
        </w:rPr>
      </w:pPr>
    </w:p>
    <w:p w14:paraId="7FBB29A3" w14:textId="77777777" w:rsidR="000E5749" w:rsidRPr="00447CE6" w:rsidRDefault="00F860CF" w:rsidP="004346C1">
      <w:pPr>
        <w:pStyle w:val="ListParagraph"/>
        <w:numPr>
          <w:ilvl w:val="0"/>
          <w:numId w:val="12"/>
        </w:numPr>
        <w:spacing w:line="240" w:lineRule="auto"/>
        <w:ind w:left="426"/>
        <w:jc w:val="both"/>
        <w:rPr>
          <w:rFonts w:ascii="Arial" w:hAnsi="Arial" w:cs="Arial"/>
          <w:bCs/>
          <w:sz w:val="24"/>
          <w:szCs w:val="24"/>
        </w:rPr>
      </w:pPr>
      <w:r w:rsidRPr="00447CE6">
        <w:rPr>
          <w:rFonts w:ascii="Arial" w:hAnsi="Arial" w:cs="Arial"/>
          <w:bCs/>
          <w:sz w:val="24"/>
          <w:szCs w:val="24"/>
        </w:rPr>
        <w:t>Of particular concern</w:t>
      </w:r>
      <w:r w:rsidR="00715365" w:rsidRPr="00447CE6">
        <w:rPr>
          <w:rFonts w:ascii="Arial" w:hAnsi="Arial" w:cs="Arial"/>
          <w:bCs/>
          <w:sz w:val="24"/>
          <w:szCs w:val="24"/>
        </w:rPr>
        <w:t xml:space="preserve"> since Israel’s last Universal Periodic Review in 2009, </w:t>
      </w:r>
      <w:r w:rsidRPr="00447CE6">
        <w:rPr>
          <w:rFonts w:ascii="Arial" w:hAnsi="Arial" w:cs="Arial"/>
          <w:bCs/>
          <w:sz w:val="24"/>
          <w:szCs w:val="24"/>
        </w:rPr>
        <w:t>are Israel’s policies</w:t>
      </w:r>
      <w:r w:rsidR="00580825" w:rsidRPr="00447CE6">
        <w:rPr>
          <w:rFonts w:ascii="Arial" w:hAnsi="Arial" w:cs="Arial"/>
          <w:bCs/>
          <w:sz w:val="24"/>
          <w:szCs w:val="24"/>
        </w:rPr>
        <w:t xml:space="preserve"> and practices</w:t>
      </w:r>
      <w:r w:rsidR="00FC2AD3" w:rsidRPr="00447CE6">
        <w:rPr>
          <w:rFonts w:ascii="Arial" w:hAnsi="Arial" w:cs="Arial"/>
          <w:bCs/>
          <w:sz w:val="24"/>
          <w:szCs w:val="24"/>
        </w:rPr>
        <w:t>,</w:t>
      </w:r>
      <w:r w:rsidR="00715365" w:rsidRPr="00447CE6">
        <w:rPr>
          <w:rFonts w:ascii="Arial" w:hAnsi="Arial" w:cs="Arial"/>
          <w:bCs/>
          <w:sz w:val="24"/>
          <w:szCs w:val="24"/>
        </w:rPr>
        <w:t xml:space="preserve"> which </w:t>
      </w:r>
      <w:r w:rsidR="00580825" w:rsidRPr="00447CE6">
        <w:rPr>
          <w:rFonts w:ascii="Arial" w:hAnsi="Arial" w:cs="Arial"/>
          <w:bCs/>
          <w:sz w:val="24"/>
          <w:szCs w:val="24"/>
        </w:rPr>
        <w:t>individually and in combination</w:t>
      </w:r>
      <w:r w:rsidR="00FC2AD3" w:rsidRPr="00447CE6">
        <w:rPr>
          <w:rFonts w:ascii="Arial" w:hAnsi="Arial" w:cs="Arial"/>
          <w:bCs/>
          <w:sz w:val="24"/>
          <w:szCs w:val="24"/>
        </w:rPr>
        <w:t>,</w:t>
      </w:r>
      <w:r w:rsidR="00715365" w:rsidRPr="00447CE6">
        <w:rPr>
          <w:rFonts w:ascii="Arial" w:hAnsi="Arial" w:cs="Arial"/>
          <w:bCs/>
          <w:sz w:val="24"/>
          <w:szCs w:val="24"/>
        </w:rPr>
        <w:t xml:space="preserve"> cause</w:t>
      </w:r>
      <w:r w:rsidRPr="00447CE6">
        <w:rPr>
          <w:rFonts w:ascii="Arial" w:hAnsi="Arial" w:cs="Arial"/>
          <w:bCs/>
          <w:sz w:val="24"/>
          <w:szCs w:val="24"/>
        </w:rPr>
        <w:t xml:space="preserve"> the forced d</w:t>
      </w:r>
      <w:r w:rsidR="00580825" w:rsidRPr="00447CE6">
        <w:rPr>
          <w:rFonts w:ascii="Arial" w:hAnsi="Arial" w:cs="Arial"/>
          <w:bCs/>
          <w:sz w:val="24"/>
          <w:szCs w:val="24"/>
        </w:rPr>
        <w:t>isplacement of Palestinians in</w:t>
      </w:r>
      <w:r w:rsidRPr="00447CE6">
        <w:rPr>
          <w:rFonts w:ascii="Arial" w:hAnsi="Arial" w:cs="Arial"/>
          <w:bCs/>
          <w:sz w:val="24"/>
          <w:szCs w:val="24"/>
        </w:rPr>
        <w:t xml:space="preserve"> </w:t>
      </w:r>
      <w:r w:rsidR="00715365" w:rsidRPr="00447CE6">
        <w:rPr>
          <w:rFonts w:ascii="Arial" w:hAnsi="Arial" w:cs="Arial"/>
          <w:bCs/>
          <w:sz w:val="24"/>
          <w:szCs w:val="24"/>
        </w:rPr>
        <w:t>oPt</w:t>
      </w:r>
      <w:r w:rsidR="00A64E64" w:rsidRPr="00447CE6">
        <w:rPr>
          <w:rFonts w:ascii="Arial" w:hAnsi="Arial" w:cs="Arial"/>
          <w:bCs/>
          <w:sz w:val="24"/>
          <w:szCs w:val="24"/>
        </w:rPr>
        <w:t xml:space="preserve">. </w:t>
      </w:r>
      <w:r w:rsidR="00CE44BE">
        <w:rPr>
          <w:rFonts w:ascii="Arial" w:hAnsi="Arial" w:cs="Arial"/>
          <w:bCs/>
          <w:sz w:val="24"/>
          <w:szCs w:val="24"/>
        </w:rPr>
        <w:t>Forced d</w:t>
      </w:r>
      <w:r w:rsidR="00A64E64" w:rsidRPr="00447CE6">
        <w:rPr>
          <w:rFonts w:ascii="Arial" w:hAnsi="Arial" w:cs="Arial"/>
          <w:bCs/>
          <w:sz w:val="24"/>
          <w:szCs w:val="24"/>
        </w:rPr>
        <w:t>isplacement</w:t>
      </w:r>
      <w:r w:rsidR="00580825" w:rsidRPr="00447CE6">
        <w:rPr>
          <w:rFonts w:ascii="Arial" w:hAnsi="Arial" w:cs="Arial"/>
          <w:bCs/>
          <w:sz w:val="24"/>
          <w:szCs w:val="24"/>
        </w:rPr>
        <w:t xml:space="preserve"> </w:t>
      </w:r>
      <w:proofErr w:type="gramStart"/>
      <w:r w:rsidR="00CE44BE">
        <w:rPr>
          <w:rFonts w:ascii="Arial" w:hAnsi="Arial" w:cs="Arial"/>
          <w:bCs/>
          <w:sz w:val="24"/>
          <w:szCs w:val="24"/>
        </w:rPr>
        <w:t>occurs  as</w:t>
      </w:r>
      <w:proofErr w:type="gramEnd"/>
      <w:r w:rsidR="00CE44BE">
        <w:rPr>
          <w:rFonts w:ascii="Arial" w:hAnsi="Arial" w:cs="Arial"/>
          <w:bCs/>
          <w:sz w:val="24"/>
          <w:szCs w:val="24"/>
        </w:rPr>
        <w:t xml:space="preserve"> a result of </w:t>
      </w:r>
      <w:r w:rsidR="00580825" w:rsidRPr="00447CE6">
        <w:rPr>
          <w:rFonts w:ascii="Arial" w:hAnsi="Arial" w:cs="Arial"/>
          <w:bCs/>
          <w:sz w:val="24"/>
          <w:szCs w:val="24"/>
        </w:rPr>
        <w:t xml:space="preserve">demolition of civilian property, forced evictions, land expropriation, </w:t>
      </w:r>
      <w:r w:rsidR="00CE44BE">
        <w:rPr>
          <w:rFonts w:ascii="Arial" w:hAnsi="Arial" w:cs="Arial"/>
          <w:bCs/>
          <w:sz w:val="24"/>
          <w:szCs w:val="24"/>
        </w:rPr>
        <w:t xml:space="preserve">the establishment and /or expansion of illegal Israeli </w:t>
      </w:r>
      <w:r w:rsidR="00580825" w:rsidRPr="00447CE6">
        <w:rPr>
          <w:rFonts w:ascii="Arial" w:hAnsi="Arial" w:cs="Arial"/>
          <w:bCs/>
          <w:sz w:val="24"/>
          <w:szCs w:val="24"/>
        </w:rPr>
        <w:t>settlement</w:t>
      </w:r>
      <w:r w:rsidR="00CE44BE">
        <w:rPr>
          <w:rFonts w:ascii="Arial" w:hAnsi="Arial" w:cs="Arial"/>
          <w:bCs/>
          <w:sz w:val="24"/>
          <w:szCs w:val="24"/>
        </w:rPr>
        <w:t>s</w:t>
      </w:r>
      <w:r w:rsidR="00580825" w:rsidRPr="00447CE6">
        <w:rPr>
          <w:rFonts w:ascii="Arial" w:hAnsi="Arial" w:cs="Arial"/>
          <w:bCs/>
          <w:sz w:val="24"/>
          <w:szCs w:val="24"/>
        </w:rPr>
        <w:t xml:space="preserve">, construction of the Wall, </w:t>
      </w:r>
      <w:r w:rsidR="00A64E64" w:rsidRPr="00447CE6">
        <w:rPr>
          <w:rFonts w:ascii="Arial" w:hAnsi="Arial" w:cs="Arial"/>
          <w:bCs/>
          <w:sz w:val="24"/>
          <w:szCs w:val="24"/>
        </w:rPr>
        <w:t>movement and access restrictions</w:t>
      </w:r>
      <w:r w:rsidR="00580825" w:rsidRPr="00447CE6">
        <w:rPr>
          <w:rFonts w:ascii="Arial" w:hAnsi="Arial" w:cs="Arial"/>
          <w:bCs/>
          <w:sz w:val="24"/>
          <w:szCs w:val="24"/>
        </w:rPr>
        <w:t xml:space="preserve">, settler violence and military operations. </w:t>
      </w:r>
      <w:r w:rsidR="006E65F3" w:rsidRPr="00447CE6">
        <w:rPr>
          <w:rFonts w:ascii="Arial" w:hAnsi="Arial" w:cs="Arial"/>
          <w:bCs/>
          <w:sz w:val="24"/>
          <w:szCs w:val="24"/>
        </w:rPr>
        <w:t>A</w:t>
      </w:r>
      <w:r w:rsidR="00580825" w:rsidRPr="00447CE6">
        <w:rPr>
          <w:rFonts w:ascii="Arial" w:hAnsi="Arial" w:cs="Arial"/>
          <w:bCs/>
          <w:sz w:val="24"/>
          <w:szCs w:val="24"/>
        </w:rPr>
        <w:t>ffecting</w:t>
      </w:r>
      <w:r w:rsidR="00AD0235" w:rsidRPr="00447CE6">
        <w:rPr>
          <w:rFonts w:ascii="Arial" w:hAnsi="Arial" w:cs="Arial"/>
          <w:bCs/>
          <w:sz w:val="24"/>
          <w:szCs w:val="24"/>
        </w:rPr>
        <w:t xml:space="preserve"> both</w:t>
      </w:r>
      <w:r w:rsidR="00580825" w:rsidRPr="00447CE6">
        <w:rPr>
          <w:rFonts w:ascii="Arial" w:hAnsi="Arial" w:cs="Arial"/>
          <w:bCs/>
          <w:sz w:val="24"/>
          <w:szCs w:val="24"/>
        </w:rPr>
        <w:t xml:space="preserve"> urban </w:t>
      </w:r>
      <w:r w:rsidR="006E65F3" w:rsidRPr="00447CE6">
        <w:rPr>
          <w:rFonts w:ascii="Arial" w:hAnsi="Arial" w:cs="Arial"/>
          <w:bCs/>
          <w:sz w:val="24"/>
          <w:szCs w:val="24"/>
        </w:rPr>
        <w:t>and</w:t>
      </w:r>
      <w:r w:rsidR="00580825" w:rsidRPr="00447CE6">
        <w:rPr>
          <w:rFonts w:ascii="Arial" w:hAnsi="Arial" w:cs="Arial"/>
          <w:bCs/>
          <w:sz w:val="24"/>
          <w:szCs w:val="24"/>
        </w:rPr>
        <w:t xml:space="preserve"> rural communities, </w:t>
      </w:r>
      <w:r w:rsidR="006E65F3" w:rsidRPr="00447CE6">
        <w:rPr>
          <w:rFonts w:ascii="Arial" w:hAnsi="Arial" w:cs="Arial"/>
          <w:bCs/>
          <w:sz w:val="24"/>
          <w:szCs w:val="24"/>
        </w:rPr>
        <w:t xml:space="preserve">displacement </w:t>
      </w:r>
      <w:r w:rsidR="00AD0235" w:rsidRPr="00447CE6">
        <w:rPr>
          <w:rFonts w:ascii="Arial" w:hAnsi="Arial" w:cs="Arial"/>
          <w:bCs/>
          <w:sz w:val="24"/>
          <w:szCs w:val="24"/>
        </w:rPr>
        <w:t xml:space="preserve">negatively </w:t>
      </w:r>
      <w:r w:rsidR="00580825" w:rsidRPr="00447CE6">
        <w:rPr>
          <w:rFonts w:ascii="Arial" w:hAnsi="Arial" w:cs="Arial"/>
          <w:bCs/>
          <w:sz w:val="24"/>
          <w:szCs w:val="24"/>
        </w:rPr>
        <w:t>impact</w:t>
      </w:r>
      <w:r w:rsidR="00AD0235" w:rsidRPr="00447CE6">
        <w:rPr>
          <w:rFonts w:ascii="Arial" w:hAnsi="Arial" w:cs="Arial"/>
          <w:bCs/>
          <w:sz w:val="24"/>
          <w:szCs w:val="24"/>
        </w:rPr>
        <w:t>s</w:t>
      </w:r>
      <w:r w:rsidR="00580825" w:rsidRPr="00447CE6">
        <w:rPr>
          <w:rFonts w:ascii="Arial" w:hAnsi="Arial" w:cs="Arial"/>
          <w:bCs/>
          <w:sz w:val="24"/>
          <w:szCs w:val="24"/>
        </w:rPr>
        <w:t xml:space="preserve"> on a range of fundamental human rights</w:t>
      </w:r>
      <w:r w:rsidR="000E5749" w:rsidRPr="00447CE6">
        <w:rPr>
          <w:rFonts w:ascii="Arial" w:hAnsi="Arial" w:cs="Arial"/>
          <w:bCs/>
          <w:sz w:val="24"/>
          <w:szCs w:val="24"/>
        </w:rPr>
        <w:t>, including:</w:t>
      </w:r>
      <w:r w:rsidR="00580825" w:rsidRPr="00447CE6">
        <w:rPr>
          <w:rFonts w:ascii="Arial" w:hAnsi="Arial" w:cs="Arial"/>
          <w:bCs/>
          <w:sz w:val="24"/>
          <w:szCs w:val="24"/>
        </w:rPr>
        <w:t xml:space="preserve"> </w:t>
      </w:r>
      <w:r w:rsidR="000E5749" w:rsidRPr="00447CE6">
        <w:rPr>
          <w:rFonts w:ascii="Arial" w:hAnsi="Arial" w:cs="Arial"/>
          <w:bCs/>
          <w:sz w:val="24"/>
          <w:szCs w:val="24"/>
        </w:rPr>
        <w:t>freedom of movement and choice of residence; respect for privacy, the home and the family; health and education; and an adequate standard of living, including housing,</w:t>
      </w:r>
      <w:r w:rsidR="00580825" w:rsidRPr="00447CE6">
        <w:rPr>
          <w:rFonts w:ascii="Arial" w:hAnsi="Arial" w:cs="Arial"/>
          <w:bCs/>
          <w:sz w:val="24"/>
          <w:szCs w:val="24"/>
        </w:rPr>
        <w:t xml:space="preserve"> water, food and </w:t>
      </w:r>
      <w:r w:rsidR="000E5749" w:rsidRPr="00447CE6">
        <w:rPr>
          <w:rFonts w:ascii="Arial" w:hAnsi="Arial" w:cs="Arial"/>
          <w:bCs/>
          <w:sz w:val="24"/>
          <w:szCs w:val="24"/>
        </w:rPr>
        <w:t>development. Discrimination on ethnic, racial, national or religious grounds is at all times prohibited</w:t>
      </w:r>
      <w:r w:rsidR="007012DC" w:rsidRPr="00447CE6">
        <w:rPr>
          <w:rFonts w:ascii="Arial" w:hAnsi="Arial" w:cs="Arial"/>
          <w:bCs/>
          <w:sz w:val="24"/>
          <w:szCs w:val="24"/>
        </w:rPr>
        <w:t xml:space="preserve">, </w:t>
      </w:r>
      <w:r w:rsidR="007012DC" w:rsidRPr="00447CE6">
        <w:rPr>
          <w:rFonts w:ascii="Arial" w:hAnsi="Arial" w:cs="Arial"/>
          <w:bCs/>
          <w:sz w:val="24"/>
          <w:szCs w:val="24"/>
          <w:lang w:val="en-GB"/>
        </w:rPr>
        <w:t xml:space="preserve">as recalled by the Committee on the Elimination of Racial </w:t>
      </w:r>
      <w:r w:rsidR="00DD1BF7" w:rsidRPr="00447CE6">
        <w:rPr>
          <w:rFonts w:ascii="Arial" w:hAnsi="Arial" w:cs="Arial"/>
          <w:bCs/>
          <w:sz w:val="24"/>
          <w:szCs w:val="24"/>
          <w:lang w:val="en-GB"/>
        </w:rPr>
        <w:t>Discrimination</w:t>
      </w:r>
      <w:r w:rsidR="007012DC" w:rsidRPr="00447CE6">
        <w:rPr>
          <w:rFonts w:ascii="Arial" w:hAnsi="Arial" w:cs="Arial"/>
          <w:bCs/>
          <w:sz w:val="24"/>
          <w:szCs w:val="24"/>
          <w:lang w:val="en-GB"/>
        </w:rPr>
        <w:t xml:space="preserve"> of 9 March 2012 (</w:t>
      </w:r>
      <w:proofErr w:type="spellStart"/>
      <w:r w:rsidR="007012DC" w:rsidRPr="00447CE6">
        <w:rPr>
          <w:rFonts w:ascii="Arial" w:hAnsi="Arial" w:cs="Arial"/>
          <w:bCs/>
          <w:sz w:val="24"/>
          <w:szCs w:val="24"/>
          <w:lang w:val="en-GB"/>
        </w:rPr>
        <w:t>cerd</w:t>
      </w:r>
      <w:proofErr w:type="spellEnd"/>
      <w:r w:rsidR="007012DC" w:rsidRPr="00447CE6">
        <w:rPr>
          <w:rFonts w:ascii="Arial" w:hAnsi="Arial" w:cs="Arial"/>
          <w:bCs/>
          <w:sz w:val="24"/>
          <w:szCs w:val="24"/>
          <w:lang w:val="en-GB"/>
        </w:rPr>
        <w:t>/c/</w:t>
      </w:r>
      <w:proofErr w:type="spellStart"/>
      <w:r w:rsidR="007012DC" w:rsidRPr="00447CE6">
        <w:rPr>
          <w:rFonts w:ascii="Arial" w:hAnsi="Arial" w:cs="Arial"/>
          <w:bCs/>
          <w:sz w:val="24"/>
          <w:szCs w:val="24"/>
          <w:lang w:val="en-GB"/>
        </w:rPr>
        <w:t>isr</w:t>
      </w:r>
      <w:proofErr w:type="spellEnd"/>
      <w:r w:rsidR="007012DC" w:rsidRPr="00447CE6">
        <w:rPr>
          <w:rFonts w:ascii="Arial" w:hAnsi="Arial" w:cs="Arial"/>
          <w:bCs/>
          <w:sz w:val="24"/>
          <w:szCs w:val="24"/>
          <w:lang w:val="en-GB"/>
        </w:rPr>
        <w:t>/co/14-16)</w:t>
      </w:r>
      <w:r w:rsidR="007012DC" w:rsidRPr="00447CE6">
        <w:rPr>
          <w:rFonts w:ascii="Arial" w:hAnsi="Arial" w:cs="Arial"/>
          <w:bCs/>
          <w:sz w:val="24"/>
          <w:szCs w:val="24"/>
        </w:rPr>
        <w:t xml:space="preserve">. </w:t>
      </w:r>
      <w:r w:rsidR="000E5749" w:rsidRPr="00447CE6">
        <w:rPr>
          <w:rFonts w:ascii="Arial" w:hAnsi="Arial" w:cs="Arial"/>
          <w:bCs/>
          <w:sz w:val="24"/>
          <w:szCs w:val="24"/>
        </w:rPr>
        <w:t>.</w:t>
      </w:r>
    </w:p>
    <w:p w14:paraId="4A39435B" w14:textId="77777777" w:rsidR="00902DBA" w:rsidRPr="00447CE6" w:rsidRDefault="00902DBA" w:rsidP="00D86541">
      <w:pPr>
        <w:pStyle w:val="ListParagraph"/>
        <w:spacing w:line="240" w:lineRule="auto"/>
        <w:ind w:left="426"/>
        <w:jc w:val="both"/>
        <w:rPr>
          <w:rFonts w:ascii="Arial" w:hAnsi="Arial" w:cs="Arial"/>
          <w:bCs/>
          <w:sz w:val="24"/>
          <w:szCs w:val="24"/>
        </w:rPr>
      </w:pPr>
    </w:p>
    <w:p w14:paraId="11D9DEB1" w14:textId="77777777" w:rsidR="00AD6252" w:rsidRPr="00447CE6" w:rsidRDefault="00FF30AD" w:rsidP="004346C1">
      <w:pPr>
        <w:pStyle w:val="ListParagraph"/>
        <w:numPr>
          <w:ilvl w:val="0"/>
          <w:numId w:val="12"/>
        </w:numPr>
        <w:spacing w:line="240" w:lineRule="auto"/>
        <w:ind w:left="426"/>
        <w:jc w:val="both"/>
        <w:rPr>
          <w:rFonts w:ascii="Arial" w:hAnsi="Arial" w:cs="Arial"/>
          <w:bCs/>
          <w:sz w:val="24"/>
          <w:szCs w:val="24"/>
        </w:rPr>
      </w:pPr>
      <w:r w:rsidRPr="00447CE6">
        <w:rPr>
          <w:rFonts w:ascii="Arial" w:hAnsi="Arial" w:cs="Arial"/>
          <w:bCs/>
          <w:sz w:val="24"/>
          <w:szCs w:val="24"/>
        </w:rPr>
        <w:t xml:space="preserve">The military, </w:t>
      </w:r>
      <w:r w:rsidR="00784DEF" w:rsidRPr="00447CE6">
        <w:rPr>
          <w:rFonts w:ascii="Arial" w:hAnsi="Arial" w:cs="Arial"/>
          <w:bCs/>
          <w:sz w:val="24"/>
          <w:szCs w:val="24"/>
        </w:rPr>
        <w:t>and</w:t>
      </w:r>
      <w:r w:rsidRPr="00447CE6">
        <w:rPr>
          <w:rFonts w:ascii="Arial" w:hAnsi="Arial" w:cs="Arial"/>
          <w:bCs/>
          <w:sz w:val="24"/>
          <w:szCs w:val="24"/>
        </w:rPr>
        <w:t xml:space="preserve"> </w:t>
      </w:r>
      <w:r w:rsidR="00FC2AD3" w:rsidRPr="00447CE6">
        <w:rPr>
          <w:rFonts w:ascii="Arial" w:hAnsi="Arial" w:cs="Arial"/>
          <w:bCs/>
          <w:sz w:val="24"/>
          <w:szCs w:val="24"/>
        </w:rPr>
        <w:t xml:space="preserve">particularly </w:t>
      </w:r>
      <w:r w:rsidRPr="00447CE6">
        <w:rPr>
          <w:rFonts w:ascii="Arial" w:hAnsi="Arial" w:cs="Arial"/>
          <w:bCs/>
          <w:sz w:val="24"/>
          <w:szCs w:val="24"/>
        </w:rPr>
        <w:t xml:space="preserve">the Israeli Civil Administration (ICA) </w:t>
      </w:r>
      <w:r w:rsidR="00784DEF" w:rsidRPr="00447CE6">
        <w:rPr>
          <w:rFonts w:ascii="Arial" w:hAnsi="Arial" w:cs="Arial"/>
          <w:bCs/>
          <w:sz w:val="24"/>
          <w:szCs w:val="24"/>
        </w:rPr>
        <w:t xml:space="preserve">which </w:t>
      </w:r>
      <w:r w:rsidRPr="00447CE6">
        <w:rPr>
          <w:rFonts w:ascii="Arial" w:hAnsi="Arial" w:cs="Arial"/>
          <w:bCs/>
          <w:sz w:val="24"/>
          <w:szCs w:val="24"/>
        </w:rPr>
        <w:t>deal</w:t>
      </w:r>
      <w:r w:rsidR="00784DEF" w:rsidRPr="00447CE6">
        <w:rPr>
          <w:rFonts w:ascii="Arial" w:hAnsi="Arial" w:cs="Arial"/>
          <w:bCs/>
          <w:sz w:val="24"/>
          <w:szCs w:val="24"/>
        </w:rPr>
        <w:t>s</w:t>
      </w:r>
      <w:r w:rsidRPr="00447CE6">
        <w:rPr>
          <w:rFonts w:ascii="Arial" w:hAnsi="Arial" w:cs="Arial"/>
          <w:bCs/>
          <w:sz w:val="24"/>
          <w:szCs w:val="24"/>
        </w:rPr>
        <w:t xml:space="preserve"> with all aspects of civilian life in areas under its control, has authority over planning and zoning. </w:t>
      </w:r>
      <w:r w:rsidR="004F46D0" w:rsidRPr="00447CE6">
        <w:rPr>
          <w:rFonts w:ascii="Arial" w:hAnsi="Arial" w:cs="Arial"/>
          <w:bCs/>
          <w:sz w:val="24"/>
          <w:szCs w:val="24"/>
        </w:rPr>
        <w:t xml:space="preserve">Israel’s freeze on land registration procedures in the West Bank, introduced by military order in 1968, prevented the finalization of </w:t>
      </w:r>
      <w:r w:rsidRPr="00447CE6">
        <w:rPr>
          <w:rFonts w:ascii="Arial" w:hAnsi="Arial" w:cs="Arial"/>
          <w:bCs/>
          <w:sz w:val="24"/>
          <w:szCs w:val="24"/>
        </w:rPr>
        <w:t>these</w:t>
      </w:r>
      <w:r w:rsidR="004F46D0" w:rsidRPr="00447CE6">
        <w:rPr>
          <w:rFonts w:ascii="Arial" w:hAnsi="Arial" w:cs="Arial"/>
          <w:bCs/>
          <w:sz w:val="24"/>
          <w:szCs w:val="24"/>
        </w:rPr>
        <w:t xml:space="preserve"> </w:t>
      </w:r>
      <w:r w:rsidR="00784DEF" w:rsidRPr="00447CE6">
        <w:rPr>
          <w:rFonts w:ascii="Arial" w:hAnsi="Arial" w:cs="Arial"/>
          <w:bCs/>
          <w:sz w:val="24"/>
          <w:szCs w:val="24"/>
        </w:rPr>
        <w:t xml:space="preserve">registration </w:t>
      </w:r>
      <w:r w:rsidR="004F46D0" w:rsidRPr="00447CE6">
        <w:rPr>
          <w:rFonts w:ascii="Arial" w:hAnsi="Arial" w:cs="Arial"/>
          <w:bCs/>
          <w:sz w:val="24"/>
          <w:szCs w:val="24"/>
        </w:rPr>
        <w:t xml:space="preserve">procedures </w:t>
      </w:r>
      <w:r w:rsidRPr="00447CE6">
        <w:rPr>
          <w:rFonts w:ascii="Arial" w:hAnsi="Arial" w:cs="Arial"/>
          <w:bCs/>
          <w:sz w:val="24"/>
          <w:szCs w:val="24"/>
        </w:rPr>
        <w:t>and prohibited future Palestinian land settlement</w:t>
      </w:r>
      <w:r w:rsidR="004F46D0" w:rsidRPr="00447CE6">
        <w:rPr>
          <w:rFonts w:ascii="Arial" w:hAnsi="Arial" w:cs="Arial"/>
          <w:bCs/>
          <w:sz w:val="24"/>
          <w:szCs w:val="24"/>
        </w:rPr>
        <w:t xml:space="preserve">. </w:t>
      </w:r>
      <w:r w:rsidRPr="00447CE6">
        <w:rPr>
          <w:rFonts w:ascii="Arial" w:hAnsi="Arial" w:cs="Arial"/>
          <w:bCs/>
          <w:sz w:val="24"/>
          <w:szCs w:val="24"/>
        </w:rPr>
        <w:t>Therefore</w:t>
      </w:r>
      <w:r w:rsidR="00E64668" w:rsidRPr="00447CE6">
        <w:rPr>
          <w:rFonts w:ascii="Arial" w:hAnsi="Arial" w:cs="Arial"/>
          <w:bCs/>
          <w:sz w:val="24"/>
          <w:szCs w:val="24"/>
        </w:rPr>
        <w:t>, nearly 70%</w:t>
      </w:r>
      <w:r w:rsidR="00E26302" w:rsidRPr="00447CE6">
        <w:rPr>
          <w:rFonts w:ascii="Arial" w:hAnsi="Arial" w:cs="Arial"/>
          <w:bCs/>
          <w:sz w:val="24"/>
          <w:szCs w:val="24"/>
        </w:rPr>
        <w:t xml:space="preserve"> </w:t>
      </w:r>
      <w:r w:rsidR="004F46D0" w:rsidRPr="00447CE6">
        <w:rPr>
          <w:rFonts w:ascii="Arial" w:hAnsi="Arial" w:cs="Arial"/>
          <w:bCs/>
          <w:sz w:val="24"/>
          <w:szCs w:val="24"/>
        </w:rPr>
        <w:t>of land in the West Bank remains unregistered in the Land Registry,</w:t>
      </w:r>
      <w:r w:rsidR="004F46D0" w:rsidRPr="00447CE6">
        <w:rPr>
          <w:rFonts w:ascii="Arial" w:hAnsi="Arial" w:cs="Arial"/>
          <w:bCs/>
          <w:sz w:val="24"/>
          <w:szCs w:val="24"/>
          <w:vertAlign w:val="superscript"/>
        </w:rPr>
        <w:footnoteReference w:id="1"/>
      </w:r>
      <w:r w:rsidR="004F46D0" w:rsidRPr="00447CE6">
        <w:rPr>
          <w:rFonts w:ascii="Arial" w:hAnsi="Arial" w:cs="Arial"/>
          <w:bCs/>
          <w:sz w:val="24"/>
          <w:szCs w:val="24"/>
        </w:rPr>
        <w:t xml:space="preserve"> leaving the traditional owners/residents of the land vulnerable to confiscation or expropriation by </w:t>
      </w:r>
      <w:r w:rsidRPr="00447CE6">
        <w:rPr>
          <w:rFonts w:ascii="Arial" w:hAnsi="Arial" w:cs="Arial"/>
          <w:bCs/>
          <w:sz w:val="24"/>
          <w:szCs w:val="24"/>
        </w:rPr>
        <w:t xml:space="preserve">the </w:t>
      </w:r>
      <w:r w:rsidR="004F46D0" w:rsidRPr="00447CE6">
        <w:rPr>
          <w:rFonts w:ascii="Arial" w:hAnsi="Arial" w:cs="Arial"/>
          <w:bCs/>
          <w:sz w:val="24"/>
          <w:szCs w:val="24"/>
        </w:rPr>
        <w:t xml:space="preserve">Israeli authorities. </w:t>
      </w:r>
      <w:r w:rsidR="004F46D0" w:rsidRPr="00447CE6">
        <w:rPr>
          <w:rFonts w:ascii="Arial" w:hAnsi="Arial" w:cs="Arial"/>
          <w:sz w:val="24"/>
          <w:szCs w:val="24"/>
        </w:rPr>
        <w:t xml:space="preserve">The lack of land registration makes it difficult for </w:t>
      </w:r>
      <w:r w:rsidRPr="00447CE6">
        <w:rPr>
          <w:rFonts w:ascii="Arial" w:hAnsi="Arial" w:cs="Arial"/>
          <w:sz w:val="24"/>
          <w:szCs w:val="24"/>
        </w:rPr>
        <w:t>Palestinian</w:t>
      </w:r>
      <w:r w:rsidR="00FC2AD3" w:rsidRPr="00447CE6">
        <w:rPr>
          <w:rFonts w:ascii="Arial" w:hAnsi="Arial" w:cs="Arial"/>
          <w:sz w:val="24"/>
          <w:szCs w:val="24"/>
        </w:rPr>
        <w:t>s</w:t>
      </w:r>
      <w:r w:rsidRPr="00447CE6">
        <w:rPr>
          <w:rFonts w:ascii="Arial" w:hAnsi="Arial" w:cs="Arial"/>
          <w:sz w:val="24"/>
          <w:szCs w:val="24"/>
        </w:rPr>
        <w:t xml:space="preserve"> </w:t>
      </w:r>
      <w:r w:rsidR="004F46D0" w:rsidRPr="00447CE6">
        <w:rPr>
          <w:rFonts w:ascii="Arial" w:hAnsi="Arial" w:cs="Arial"/>
          <w:sz w:val="24"/>
          <w:szCs w:val="24"/>
        </w:rPr>
        <w:t>to develop</w:t>
      </w:r>
      <w:r w:rsidR="00784DEF" w:rsidRPr="00447CE6">
        <w:rPr>
          <w:rFonts w:ascii="Arial" w:hAnsi="Arial" w:cs="Arial"/>
          <w:sz w:val="24"/>
          <w:szCs w:val="24"/>
        </w:rPr>
        <w:t xml:space="preserve"> </w:t>
      </w:r>
      <w:r w:rsidR="00CE44BE">
        <w:rPr>
          <w:rFonts w:ascii="Arial" w:hAnsi="Arial" w:cs="Arial"/>
          <w:sz w:val="24"/>
          <w:szCs w:val="24"/>
        </w:rPr>
        <w:t xml:space="preserve">the land they occupy </w:t>
      </w:r>
      <w:r w:rsidR="00784DEF" w:rsidRPr="00447CE6">
        <w:rPr>
          <w:rFonts w:ascii="Arial" w:hAnsi="Arial" w:cs="Arial"/>
          <w:sz w:val="24"/>
          <w:szCs w:val="24"/>
        </w:rPr>
        <w:t>legally</w:t>
      </w:r>
      <w:r w:rsidR="004F46D0" w:rsidRPr="00447CE6">
        <w:rPr>
          <w:rFonts w:ascii="Arial" w:hAnsi="Arial" w:cs="Arial"/>
          <w:sz w:val="24"/>
          <w:szCs w:val="24"/>
        </w:rPr>
        <w:t xml:space="preserve">, as proof of registration is often required. </w:t>
      </w:r>
    </w:p>
    <w:p w14:paraId="6E40DD9A" w14:textId="77777777" w:rsidR="00AD6252" w:rsidRPr="00447CE6" w:rsidRDefault="00AD6252" w:rsidP="00AD6252">
      <w:pPr>
        <w:pStyle w:val="ListParagraph"/>
        <w:rPr>
          <w:rFonts w:ascii="Arial" w:hAnsi="Arial" w:cs="Arial"/>
          <w:bCs/>
          <w:sz w:val="24"/>
          <w:szCs w:val="24"/>
        </w:rPr>
      </w:pPr>
    </w:p>
    <w:p w14:paraId="49824AB7" w14:textId="77777777" w:rsidR="001D314A" w:rsidRPr="00DD1BF7" w:rsidRDefault="00E26302" w:rsidP="007012DC">
      <w:pPr>
        <w:pStyle w:val="ListParagraph"/>
        <w:numPr>
          <w:ilvl w:val="0"/>
          <w:numId w:val="12"/>
        </w:numPr>
        <w:spacing w:line="240" w:lineRule="auto"/>
        <w:ind w:left="426"/>
        <w:jc w:val="both"/>
        <w:rPr>
          <w:rFonts w:ascii="Arial" w:hAnsi="Arial" w:cs="Arial"/>
          <w:bCs/>
          <w:sz w:val="24"/>
          <w:szCs w:val="24"/>
        </w:rPr>
      </w:pPr>
      <w:r w:rsidRPr="00447CE6">
        <w:rPr>
          <w:rFonts w:ascii="Arial" w:hAnsi="Arial" w:cs="Arial"/>
          <w:bCs/>
          <w:sz w:val="24"/>
          <w:szCs w:val="24"/>
        </w:rPr>
        <w:lastRenderedPageBreak/>
        <w:t>Large parts of</w:t>
      </w:r>
      <w:r w:rsidR="0058654D" w:rsidRPr="00447CE6">
        <w:rPr>
          <w:rFonts w:ascii="Arial" w:hAnsi="Arial" w:cs="Arial"/>
          <w:bCs/>
          <w:sz w:val="24"/>
          <w:szCs w:val="24"/>
        </w:rPr>
        <w:t xml:space="preserve"> unregistered land have come under the control of Israel </w:t>
      </w:r>
      <w:r w:rsidR="00035EBF" w:rsidRPr="00447CE6">
        <w:rPr>
          <w:rFonts w:ascii="Arial" w:hAnsi="Arial" w:cs="Arial"/>
          <w:bCs/>
          <w:sz w:val="24"/>
          <w:szCs w:val="24"/>
        </w:rPr>
        <w:t xml:space="preserve">(as </w:t>
      </w:r>
      <w:r w:rsidR="001D314A" w:rsidRPr="00447CE6">
        <w:rPr>
          <w:rFonts w:ascii="Arial" w:hAnsi="Arial" w:cs="Arial"/>
          <w:bCs/>
          <w:sz w:val="24"/>
          <w:szCs w:val="24"/>
        </w:rPr>
        <w:t>‘</w:t>
      </w:r>
      <w:r w:rsidR="00035EBF" w:rsidRPr="00447CE6">
        <w:rPr>
          <w:rFonts w:ascii="Arial" w:hAnsi="Arial" w:cs="Arial"/>
          <w:bCs/>
          <w:sz w:val="24"/>
          <w:szCs w:val="24"/>
        </w:rPr>
        <w:t>state lands</w:t>
      </w:r>
      <w:r w:rsidR="001D314A" w:rsidRPr="00447CE6">
        <w:rPr>
          <w:rFonts w:ascii="Arial" w:hAnsi="Arial" w:cs="Arial"/>
          <w:bCs/>
          <w:sz w:val="24"/>
          <w:szCs w:val="24"/>
        </w:rPr>
        <w:t>’</w:t>
      </w:r>
      <w:r w:rsidR="00035EBF" w:rsidRPr="00447CE6">
        <w:rPr>
          <w:rFonts w:ascii="Arial" w:hAnsi="Arial" w:cs="Arial"/>
          <w:bCs/>
          <w:sz w:val="24"/>
          <w:szCs w:val="24"/>
        </w:rPr>
        <w:t>)</w:t>
      </w:r>
      <w:r w:rsidR="00C16285" w:rsidRPr="00447CE6">
        <w:rPr>
          <w:rFonts w:ascii="Arial" w:hAnsi="Arial" w:cs="Arial"/>
          <w:bCs/>
          <w:sz w:val="24"/>
          <w:szCs w:val="24"/>
        </w:rPr>
        <w:t xml:space="preserve"> </w:t>
      </w:r>
      <w:r w:rsidR="0058654D" w:rsidRPr="00447CE6">
        <w:rPr>
          <w:rFonts w:ascii="Arial" w:hAnsi="Arial" w:cs="Arial"/>
          <w:bCs/>
          <w:sz w:val="24"/>
          <w:szCs w:val="24"/>
        </w:rPr>
        <w:t xml:space="preserve">and continue to do so. </w:t>
      </w:r>
      <w:r w:rsidR="0059204D" w:rsidRPr="00447CE6">
        <w:rPr>
          <w:rFonts w:ascii="Arial" w:hAnsi="Arial" w:cs="Arial"/>
          <w:bCs/>
          <w:sz w:val="24"/>
          <w:szCs w:val="24"/>
        </w:rPr>
        <w:t xml:space="preserve">Between 1967 and 2011, the percentage of land in oPt declared as </w:t>
      </w:r>
      <w:r w:rsidR="001D314A" w:rsidRPr="00447CE6">
        <w:rPr>
          <w:rFonts w:ascii="Arial" w:hAnsi="Arial" w:cs="Arial"/>
          <w:bCs/>
          <w:sz w:val="24"/>
          <w:szCs w:val="24"/>
        </w:rPr>
        <w:t>‘</w:t>
      </w:r>
      <w:r w:rsidR="0059204D" w:rsidRPr="00447CE6">
        <w:rPr>
          <w:rFonts w:ascii="Arial" w:hAnsi="Arial" w:cs="Arial"/>
          <w:bCs/>
          <w:sz w:val="24"/>
          <w:szCs w:val="24"/>
        </w:rPr>
        <w:t>state land</w:t>
      </w:r>
      <w:r w:rsidR="001D314A" w:rsidRPr="00447CE6">
        <w:rPr>
          <w:rFonts w:ascii="Arial" w:hAnsi="Arial" w:cs="Arial"/>
          <w:bCs/>
          <w:sz w:val="24"/>
          <w:szCs w:val="24"/>
        </w:rPr>
        <w:t>’</w:t>
      </w:r>
      <w:r w:rsidR="0059204D" w:rsidRPr="00447CE6">
        <w:rPr>
          <w:rFonts w:ascii="Arial" w:hAnsi="Arial" w:cs="Arial"/>
          <w:bCs/>
          <w:sz w:val="24"/>
          <w:szCs w:val="24"/>
        </w:rPr>
        <w:t xml:space="preserve"> has more than doubled from 700,000 </w:t>
      </w:r>
      <w:proofErr w:type="spellStart"/>
      <w:r w:rsidR="0059204D" w:rsidRPr="00447CE6">
        <w:rPr>
          <w:rFonts w:ascii="Arial" w:hAnsi="Arial" w:cs="Arial"/>
          <w:bCs/>
          <w:sz w:val="24"/>
          <w:szCs w:val="24"/>
        </w:rPr>
        <w:t>dunums</w:t>
      </w:r>
      <w:proofErr w:type="spellEnd"/>
      <w:r w:rsidR="0059204D" w:rsidRPr="00447CE6">
        <w:rPr>
          <w:rFonts w:ascii="Arial" w:hAnsi="Arial" w:cs="Arial"/>
          <w:bCs/>
          <w:sz w:val="24"/>
          <w:szCs w:val="24"/>
        </w:rPr>
        <w:t xml:space="preserve"> (70,000 hectares) to over 1.4 million </w:t>
      </w:r>
      <w:proofErr w:type="spellStart"/>
      <w:r w:rsidR="0059204D" w:rsidRPr="00447CE6">
        <w:rPr>
          <w:rFonts w:ascii="Arial" w:hAnsi="Arial" w:cs="Arial"/>
          <w:bCs/>
          <w:sz w:val="24"/>
          <w:szCs w:val="24"/>
        </w:rPr>
        <w:t>dunums</w:t>
      </w:r>
      <w:proofErr w:type="spellEnd"/>
      <w:r w:rsidR="0059204D" w:rsidRPr="00447CE6">
        <w:rPr>
          <w:rFonts w:ascii="Arial" w:hAnsi="Arial" w:cs="Arial"/>
          <w:bCs/>
          <w:sz w:val="24"/>
          <w:szCs w:val="24"/>
        </w:rPr>
        <w:t xml:space="preserve">. </w:t>
      </w:r>
      <w:r w:rsidR="001D314A" w:rsidRPr="00447CE6">
        <w:rPr>
          <w:rFonts w:ascii="Arial" w:hAnsi="Arial" w:cs="Arial"/>
          <w:bCs/>
          <w:sz w:val="24"/>
          <w:szCs w:val="24"/>
        </w:rPr>
        <w:t>T</w:t>
      </w:r>
      <w:r w:rsidR="0059204D" w:rsidRPr="00447CE6">
        <w:rPr>
          <w:rFonts w:ascii="Arial" w:hAnsi="Arial" w:cs="Arial"/>
          <w:bCs/>
          <w:sz w:val="24"/>
          <w:szCs w:val="24"/>
        </w:rPr>
        <w:t xml:space="preserve">his resulted in a decrease in land available to Palestinian communities, </w:t>
      </w:r>
      <w:r w:rsidRPr="00447CE6">
        <w:rPr>
          <w:rFonts w:ascii="Arial" w:hAnsi="Arial" w:cs="Arial"/>
          <w:bCs/>
          <w:sz w:val="24"/>
          <w:szCs w:val="24"/>
        </w:rPr>
        <w:t>while</w:t>
      </w:r>
      <w:r w:rsidR="0059204D" w:rsidRPr="00447CE6">
        <w:rPr>
          <w:rFonts w:ascii="Arial" w:hAnsi="Arial" w:cs="Arial"/>
          <w:bCs/>
          <w:sz w:val="24"/>
          <w:szCs w:val="24"/>
        </w:rPr>
        <w:t xml:space="preserve"> the majority of Israeli settlements in the West Bank</w:t>
      </w:r>
      <w:r w:rsidR="003B5BED" w:rsidRPr="00447CE6">
        <w:rPr>
          <w:rFonts w:ascii="Arial" w:hAnsi="Arial" w:cs="Arial"/>
          <w:bCs/>
          <w:sz w:val="24"/>
          <w:szCs w:val="24"/>
        </w:rPr>
        <w:t>– illegal under international law –</w:t>
      </w:r>
      <w:r w:rsidR="0059204D" w:rsidRPr="00447CE6">
        <w:rPr>
          <w:rFonts w:ascii="Arial" w:hAnsi="Arial" w:cs="Arial"/>
          <w:bCs/>
          <w:sz w:val="24"/>
          <w:szCs w:val="24"/>
        </w:rPr>
        <w:t xml:space="preserve"> are located on </w:t>
      </w:r>
      <w:r w:rsidR="001D314A" w:rsidRPr="00447CE6">
        <w:rPr>
          <w:rFonts w:ascii="Arial" w:hAnsi="Arial" w:cs="Arial"/>
          <w:bCs/>
          <w:sz w:val="24"/>
          <w:szCs w:val="24"/>
        </w:rPr>
        <w:t>‘</w:t>
      </w:r>
      <w:r w:rsidR="0059204D" w:rsidRPr="00447CE6">
        <w:rPr>
          <w:rFonts w:ascii="Arial" w:hAnsi="Arial" w:cs="Arial"/>
          <w:bCs/>
          <w:sz w:val="24"/>
          <w:szCs w:val="24"/>
        </w:rPr>
        <w:t>state land</w:t>
      </w:r>
      <w:r w:rsidR="001D314A" w:rsidRPr="00447CE6">
        <w:rPr>
          <w:rFonts w:ascii="Arial" w:hAnsi="Arial" w:cs="Arial"/>
          <w:bCs/>
          <w:sz w:val="24"/>
          <w:szCs w:val="24"/>
        </w:rPr>
        <w:t>’</w:t>
      </w:r>
      <w:r w:rsidR="0059204D" w:rsidRPr="00447CE6">
        <w:rPr>
          <w:rFonts w:ascii="Arial" w:hAnsi="Arial" w:cs="Arial"/>
          <w:bCs/>
          <w:sz w:val="24"/>
          <w:szCs w:val="24"/>
        </w:rPr>
        <w:t>.</w:t>
      </w:r>
      <w:r w:rsidR="00F370D0" w:rsidRPr="00447CE6">
        <w:rPr>
          <w:rFonts w:ascii="Arial" w:hAnsi="Arial" w:cs="Arial"/>
          <w:bCs/>
          <w:sz w:val="24"/>
          <w:szCs w:val="24"/>
        </w:rPr>
        <w:t xml:space="preserve"> </w:t>
      </w:r>
      <w:r w:rsidR="00DD1BF7" w:rsidRPr="00DD1BF7">
        <w:rPr>
          <w:rFonts w:ascii="Arial" w:hAnsi="Arial" w:cs="Arial"/>
          <w:bCs/>
          <w:sz w:val="24"/>
          <w:szCs w:val="24"/>
        </w:rPr>
        <w:t>A Freedom of Information request put to the Israeli Civil Administration governing the West Bank has revealed</w:t>
      </w:r>
      <w:r w:rsidR="00F370D0" w:rsidRPr="00DD1BF7">
        <w:rPr>
          <w:rFonts w:ascii="Arial" w:hAnsi="Arial" w:cs="Arial"/>
          <w:bCs/>
          <w:sz w:val="24"/>
          <w:szCs w:val="24"/>
        </w:rPr>
        <w:t xml:space="preserve"> revealed that </w:t>
      </w:r>
      <w:r w:rsidR="009C6721" w:rsidRPr="00DD1BF7">
        <w:rPr>
          <w:rFonts w:ascii="Arial" w:hAnsi="Arial" w:cs="Arial"/>
          <w:bCs/>
          <w:sz w:val="24"/>
          <w:szCs w:val="24"/>
        </w:rPr>
        <w:t xml:space="preserve">since 1967 </w:t>
      </w:r>
      <w:r w:rsidR="00F370D0" w:rsidRPr="00DD1BF7">
        <w:rPr>
          <w:rFonts w:ascii="Arial" w:hAnsi="Arial" w:cs="Arial"/>
          <w:bCs/>
          <w:sz w:val="24"/>
          <w:szCs w:val="24"/>
        </w:rPr>
        <w:t xml:space="preserve">only 0.7% of ‘state land’ </w:t>
      </w:r>
      <w:r w:rsidR="00616FB3" w:rsidRPr="00DD1BF7">
        <w:rPr>
          <w:rFonts w:ascii="Arial" w:hAnsi="Arial" w:cs="Arial"/>
          <w:bCs/>
          <w:sz w:val="24"/>
          <w:szCs w:val="24"/>
        </w:rPr>
        <w:t>in the West Bank has</w:t>
      </w:r>
      <w:r w:rsidR="00F370D0" w:rsidRPr="00DD1BF7">
        <w:rPr>
          <w:rFonts w:ascii="Arial" w:hAnsi="Arial" w:cs="Arial"/>
          <w:bCs/>
          <w:sz w:val="24"/>
          <w:szCs w:val="24"/>
        </w:rPr>
        <w:t xml:space="preserve"> been allocated to Palestinians. </w:t>
      </w:r>
      <w:r w:rsidR="0059204D" w:rsidRPr="00DD1BF7">
        <w:rPr>
          <w:rFonts w:ascii="Arial" w:hAnsi="Arial" w:cs="Arial"/>
          <w:bCs/>
          <w:sz w:val="24"/>
          <w:szCs w:val="24"/>
        </w:rPr>
        <w:t xml:space="preserve"> </w:t>
      </w:r>
    </w:p>
    <w:p w14:paraId="26792C5E" w14:textId="77777777" w:rsidR="001D314A" w:rsidRPr="00DD1BF7" w:rsidRDefault="001D314A" w:rsidP="001D314A">
      <w:pPr>
        <w:pStyle w:val="ListParagraph"/>
        <w:rPr>
          <w:rFonts w:ascii="Arial" w:hAnsi="Arial" w:cs="Arial"/>
          <w:bCs/>
          <w:sz w:val="24"/>
          <w:szCs w:val="24"/>
        </w:rPr>
      </w:pPr>
    </w:p>
    <w:p w14:paraId="11A7DC7B" w14:textId="77777777" w:rsidR="005D5531" w:rsidRPr="00DD1BF7" w:rsidRDefault="00FD178D" w:rsidP="004346C1">
      <w:pPr>
        <w:pStyle w:val="ListParagraph"/>
        <w:numPr>
          <w:ilvl w:val="0"/>
          <w:numId w:val="12"/>
        </w:numPr>
        <w:spacing w:line="240" w:lineRule="auto"/>
        <w:ind w:left="426"/>
        <w:jc w:val="both"/>
        <w:rPr>
          <w:rFonts w:ascii="Arial" w:hAnsi="Arial" w:cs="Arial"/>
          <w:bCs/>
          <w:sz w:val="24"/>
          <w:szCs w:val="24"/>
        </w:rPr>
      </w:pPr>
      <w:r w:rsidRPr="00DD1BF7">
        <w:rPr>
          <w:rFonts w:ascii="Arial" w:hAnsi="Arial" w:cs="Arial"/>
          <w:bCs/>
          <w:sz w:val="24"/>
          <w:szCs w:val="24"/>
        </w:rPr>
        <w:t>Area C – the area under complete Israeli control</w:t>
      </w:r>
      <w:r w:rsidRPr="00DD1BF7">
        <w:rPr>
          <w:rStyle w:val="FootnoteReference"/>
          <w:rFonts w:ascii="Arial" w:hAnsi="Arial" w:cs="Arial"/>
          <w:bCs/>
          <w:sz w:val="24"/>
          <w:szCs w:val="24"/>
        </w:rPr>
        <w:footnoteReference w:id="2"/>
      </w:r>
      <w:r w:rsidRPr="00DD1BF7">
        <w:rPr>
          <w:rFonts w:ascii="Arial" w:hAnsi="Arial" w:cs="Arial"/>
          <w:bCs/>
          <w:sz w:val="24"/>
          <w:szCs w:val="24"/>
        </w:rPr>
        <w:t xml:space="preserve"> – constitutes 60% of the West Bank and is crucial for the development and territorial contiguity of the Palestinian state, as well as the Palestinians’ right to self-determination. However, Israeli policies resulted in the increased fragmentation </w:t>
      </w:r>
      <w:r w:rsidR="00E26302" w:rsidRPr="00DD1BF7">
        <w:rPr>
          <w:rFonts w:ascii="Arial" w:hAnsi="Arial" w:cs="Arial"/>
          <w:bCs/>
          <w:sz w:val="24"/>
          <w:szCs w:val="24"/>
        </w:rPr>
        <w:t xml:space="preserve">of </w:t>
      </w:r>
      <w:r w:rsidRPr="00DD1BF7">
        <w:rPr>
          <w:rFonts w:ascii="Arial" w:hAnsi="Arial" w:cs="Arial"/>
          <w:bCs/>
          <w:sz w:val="24"/>
          <w:szCs w:val="24"/>
        </w:rPr>
        <w:t xml:space="preserve">Palestinian land and are threatening the presence of approximately 150,000 Palestinians in Area C. </w:t>
      </w:r>
      <w:r w:rsidR="00E64668" w:rsidRPr="00DD1BF7">
        <w:rPr>
          <w:rFonts w:ascii="Arial" w:hAnsi="Arial" w:cs="Arial"/>
          <w:bCs/>
          <w:sz w:val="24"/>
          <w:szCs w:val="24"/>
        </w:rPr>
        <w:t>Seventy percent of Area C has been allocated for settlements or other Israeli military and civilian purposes.</w:t>
      </w:r>
      <w:r w:rsidR="007A0ABD" w:rsidRPr="00DD1BF7">
        <w:rPr>
          <w:rFonts w:ascii="Arial" w:hAnsi="Arial" w:cs="Arial"/>
          <w:sz w:val="24"/>
          <w:szCs w:val="24"/>
          <w:vertAlign w:val="superscript"/>
        </w:rPr>
        <w:footnoteReference w:id="3"/>
      </w:r>
      <w:r w:rsidR="00E26302" w:rsidRPr="00DD1BF7">
        <w:rPr>
          <w:rFonts w:ascii="Arial" w:hAnsi="Arial" w:cs="Arial"/>
          <w:bCs/>
          <w:sz w:val="24"/>
          <w:szCs w:val="24"/>
        </w:rPr>
        <w:t xml:space="preserve"> </w:t>
      </w:r>
      <w:r w:rsidR="00E64668" w:rsidRPr="00DD1BF7">
        <w:rPr>
          <w:rFonts w:ascii="Arial" w:hAnsi="Arial" w:cs="Arial"/>
          <w:bCs/>
          <w:sz w:val="24"/>
          <w:szCs w:val="24"/>
        </w:rPr>
        <w:t>Of the remaining 30</w:t>
      </w:r>
      <w:r w:rsidR="007012DC" w:rsidRPr="00DD1BF7">
        <w:rPr>
          <w:rFonts w:ascii="Arial" w:hAnsi="Arial" w:cs="Arial"/>
          <w:bCs/>
          <w:sz w:val="24"/>
          <w:szCs w:val="24"/>
        </w:rPr>
        <w:t xml:space="preserve"> percent</w:t>
      </w:r>
      <w:r w:rsidR="00E64668" w:rsidRPr="00DD1BF7">
        <w:rPr>
          <w:rFonts w:ascii="Arial" w:hAnsi="Arial" w:cs="Arial"/>
          <w:bCs/>
          <w:sz w:val="24"/>
          <w:szCs w:val="24"/>
        </w:rPr>
        <w:t xml:space="preserve"> of Area C, only </w:t>
      </w:r>
      <w:r w:rsidR="00CE44BE">
        <w:rPr>
          <w:rFonts w:ascii="Arial" w:hAnsi="Arial" w:cs="Arial"/>
          <w:bCs/>
          <w:sz w:val="24"/>
          <w:szCs w:val="24"/>
        </w:rPr>
        <w:t>one</w:t>
      </w:r>
      <w:r w:rsidR="007012DC" w:rsidRPr="00DD1BF7">
        <w:rPr>
          <w:rFonts w:ascii="Arial" w:hAnsi="Arial" w:cs="Arial"/>
          <w:bCs/>
          <w:sz w:val="24"/>
          <w:szCs w:val="24"/>
        </w:rPr>
        <w:t xml:space="preserve"> percent</w:t>
      </w:r>
      <w:r w:rsidR="00E64668" w:rsidRPr="00DD1BF7">
        <w:rPr>
          <w:rFonts w:ascii="Arial" w:hAnsi="Arial" w:cs="Arial"/>
          <w:bCs/>
          <w:sz w:val="24"/>
          <w:szCs w:val="24"/>
        </w:rPr>
        <w:t xml:space="preserve"> is in practice, available for Palestinia</w:t>
      </w:r>
      <w:r w:rsidR="00E26302" w:rsidRPr="00DD1BF7">
        <w:rPr>
          <w:rFonts w:ascii="Arial" w:hAnsi="Arial" w:cs="Arial"/>
          <w:bCs/>
          <w:sz w:val="24"/>
          <w:szCs w:val="24"/>
        </w:rPr>
        <w:t xml:space="preserve">n development; </w:t>
      </w:r>
      <w:r w:rsidR="0012626E" w:rsidRPr="00DD1BF7">
        <w:rPr>
          <w:rFonts w:ascii="Arial" w:hAnsi="Arial" w:cs="Arial"/>
          <w:bCs/>
          <w:sz w:val="24"/>
          <w:szCs w:val="24"/>
        </w:rPr>
        <w:t>much of that</w:t>
      </w:r>
      <w:r w:rsidR="004E6E26" w:rsidRPr="00DD1BF7">
        <w:rPr>
          <w:rFonts w:ascii="Arial" w:hAnsi="Arial" w:cs="Arial"/>
          <w:bCs/>
          <w:sz w:val="24"/>
          <w:szCs w:val="24"/>
        </w:rPr>
        <w:t xml:space="preserve"> </w:t>
      </w:r>
      <w:r w:rsidR="00CE44BE">
        <w:rPr>
          <w:rFonts w:ascii="Arial" w:hAnsi="Arial" w:cs="Arial"/>
          <w:bCs/>
          <w:sz w:val="24"/>
          <w:szCs w:val="24"/>
        </w:rPr>
        <w:t>one</w:t>
      </w:r>
      <w:r w:rsidR="007012DC" w:rsidRPr="00DD1BF7">
        <w:rPr>
          <w:rFonts w:ascii="Arial" w:hAnsi="Arial" w:cs="Arial"/>
          <w:bCs/>
          <w:sz w:val="24"/>
          <w:szCs w:val="24"/>
        </w:rPr>
        <w:t xml:space="preserve"> percent </w:t>
      </w:r>
      <w:r w:rsidR="004E6E26" w:rsidRPr="00DD1BF7">
        <w:rPr>
          <w:rFonts w:ascii="Arial" w:hAnsi="Arial" w:cs="Arial"/>
          <w:bCs/>
          <w:sz w:val="24"/>
          <w:szCs w:val="24"/>
        </w:rPr>
        <w:t xml:space="preserve">is </w:t>
      </w:r>
      <w:r w:rsidR="008E7E9E" w:rsidRPr="00DD1BF7">
        <w:rPr>
          <w:rFonts w:ascii="Arial" w:hAnsi="Arial" w:cs="Arial"/>
          <w:bCs/>
          <w:sz w:val="24"/>
          <w:szCs w:val="24"/>
        </w:rPr>
        <w:t xml:space="preserve">already </w:t>
      </w:r>
      <w:r w:rsidR="004E6E26" w:rsidRPr="00DD1BF7">
        <w:rPr>
          <w:rFonts w:ascii="Arial" w:hAnsi="Arial" w:cs="Arial"/>
          <w:bCs/>
          <w:sz w:val="24"/>
          <w:szCs w:val="24"/>
        </w:rPr>
        <w:t>built-up</w:t>
      </w:r>
      <w:r w:rsidR="00E64668" w:rsidRPr="00DD1BF7">
        <w:rPr>
          <w:rFonts w:ascii="Arial" w:hAnsi="Arial" w:cs="Arial"/>
          <w:bCs/>
          <w:sz w:val="24"/>
          <w:szCs w:val="24"/>
        </w:rPr>
        <w:t xml:space="preserve">. </w:t>
      </w:r>
    </w:p>
    <w:p w14:paraId="6FC2155A" w14:textId="77777777" w:rsidR="005D5531" w:rsidRPr="00DD1BF7" w:rsidRDefault="005D5531" w:rsidP="005D5531">
      <w:pPr>
        <w:pStyle w:val="ListParagraph"/>
        <w:rPr>
          <w:rFonts w:ascii="Arial" w:hAnsi="Arial" w:cs="Arial"/>
          <w:bCs/>
          <w:sz w:val="24"/>
          <w:szCs w:val="24"/>
        </w:rPr>
      </w:pPr>
    </w:p>
    <w:p w14:paraId="03BA0028" w14:textId="77777777" w:rsidR="008B736B" w:rsidRPr="00DD1BF7" w:rsidRDefault="00E64668" w:rsidP="007012DC">
      <w:pPr>
        <w:pStyle w:val="ListParagraph"/>
        <w:numPr>
          <w:ilvl w:val="0"/>
          <w:numId w:val="12"/>
        </w:numPr>
        <w:spacing w:line="240" w:lineRule="auto"/>
        <w:ind w:left="426"/>
        <w:jc w:val="both"/>
        <w:rPr>
          <w:rFonts w:ascii="Arial" w:hAnsi="Arial" w:cs="Arial"/>
          <w:sz w:val="24"/>
          <w:szCs w:val="24"/>
        </w:rPr>
      </w:pPr>
      <w:r w:rsidRPr="00DD1BF7">
        <w:rPr>
          <w:rFonts w:ascii="Arial" w:hAnsi="Arial" w:cs="Arial"/>
          <w:bCs/>
          <w:sz w:val="24"/>
          <w:szCs w:val="24"/>
        </w:rPr>
        <w:t>In East Jerusalem</w:t>
      </w:r>
      <w:r w:rsidR="0012626E" w:rsidRPr="00DD1BF7">
        <w:rPr>
          <w:rFonts w:ascii="Arial" w:hAnsi="Arial" w:cs="Arial"/>
          <w:bCs/>
          <w:sz w:val="24"/>
          <w:szCs w:val="24"/>
        </w:rPr>
        <w:t>,</w:t>
      </w:r>
      <w:r w:rsidRPr="00DD1BF7">
        <w:rPr>
          <w:rFonts w:ascii="Arial" w:hAnsi="Arial" w:cs="Arial"/>
          <w:bCs/>
          <w:sz w:val="24"/>
          <w:szCs w:val="24"/>
        </w:rPr>
        <w:t xml:space="preserve"> which Israel has unilaterally annexed and where it applies domestic law over the Palestinian residents in contravention of </w:t>
      </w:r>
      <w:r w:rsidR="007012DC" w:rsidRPr="00DD1BF7">
        <w:rPr>
          <w:rFonts w:ascii="Arial" w:hAnsi="Arial" w:cs="Arial"/>
          <w:bCs/>
          <w:sz w:val="24"/>
          <w:szCs w:val="24"/>
        </w:rPr>
        <w:t>Article 2 (4) of the UN Charter, the UNGA R2625 (XXV) of 1970 and the UNSC R478 of 1980</w:t>
      </w:r>
      <w:r w:rsidRPr="00DD1BF7">
        <w:rPr>
          <w:rFonts w:ascii="Arial" w:hAnsi="Arial" w:cs="Arial"/>
          <w:bCs/>
          <w:sz w:val="24"/>
          <w:szCs w:val="24"/>
        </w:rPr>
        <w:t xml:space="preserve">, </w:t>
      </w:r>
      <w:r w:rsidR="00941901" w:rsidRPr="00DD1BF7">
        <w:rPr>
          <w:rFonts w:ascii="Arial" w:hAnsi="Arial" w:cs="Arial"/>
          <w:sz w:val="24"/>
          <w:szCs w:val="24"/>
        </w:rPr>
        <w:t xml:space="preserve">the process for land registration is equally complicated and </w:t>
      </w:r>
      <w:r w:rsidR="00C417FF" w:rsidRPr="00DD1BF7">
        <w:rPr>
          <w:rFonts w:ascii="Arial" w:hAnsi="Arial" w:cs="Arial"/>
          <w:sz w:val="24"/>
          <w:szCs w:val="24"/>
        </w:rPr>
        <w:t xml:space="preserve">also </w:t>
      </w:r>
      <w:r w:rsidR="00941901" w:rsidRPr="00DD1BF7">
        <w:rPr>
          <w:rFonts w:ascii="Arial" w:hAnsi="Arial" w:cs="Arial"/>
          <w:sz w:val="24"/>
          <w:szCs w:val="24"/>
        </w:rPr>
        <w:t xml:space="preserve">requires proof of land ownership. For many Palestinians, ownership is insufficiently documented, leaving </w:t>
      </w:r>
      <w:r w:rsidR="00C417FF" w:rsidRPr="00DD1BF7">
        <w:rPr>
          <w:rFonts w:ascii="Arial" w:hAnsi="Arial" w:cs="Arial"/>
          <w:sz w:val="24"/>
          <w:szCs w:val="24"/>
        </w:rPr>
        <w:t>them</w:t>
      </w:r>
      <w:r w:rsidR="00941901" w:rsidRPr="00DD1BF7">
        <w:rPr>
          <w:rFonts w:ascii="Arial" w:hAnsi="Arial" w:cs="Arial"/>
          <w:sz w:val="24"/>
          <w:szCs w:val="24"/>
        </w:rPr>
        <w:t xml:space="preserve"> </w:t>
      </w:r>
      <w:r w:rsidR="00CE44BE">
        <w:rPr>
          <w:rFonts w:ascii="Arial" w:hAnsi="Arial" w:cs="Arial"/>
          <w:sz w:val="24"/>
          <w:szCs w:val="24"/>
        </w:rPr>
        <w:t xml:space="preserve">vulnerable to </w:t>
      </w:r>
      <w:r w:rsidR="00941901" w:rsidRPr="00DD1BF7">
        <w:rPr>
          <w:rFonts w:ascii="Arial" w:hAnsi="Arial" w:cs="Arial"/>
          <w:sz w:val="24"/>
          <w:szCs w:val="24"/>
        </w:rPr>
        <w:t xml:space="preserve">losing their property if their claims are called into question during the verification process. </w:t>
      </w:r>
      <w:r w:rsidR="00E26302" w:rsidRPr="00DD1BF7">
        <w:rPr>
          <w:rFonts w:ascii="Arial" w:hAnsi="Arial" w:cs="Arial"/>
          <w:sz w:val="24"/>
          <w:szCs w:val="24"/>
        </w:rPr>
        <w:t>Therefore</w:t>
      </w:r>
      <w:r w:rsidR="00941901" w:rsidRPr="00DD1BF7">
        <w:rPr>
          <w:rFonts w:ascii="Arial" w:hAnsi="Arial" w:cs="Arial"/>
          <w:sz w:val="24"/>
          <w:szCs w:val="24"/>
        </w:rPr>
        <w:t xml:space="preserve">, many Palestinians in East Jerusalem avoid registering their property. </w:t>
      </w:r>
      <w:r w:rsidR="0051452E" w:rsidRPr="00DD1BF7">
        <w:rPr>
          <w:rFonts w:ascii="Arial" w:hAnsi="Arial" w:cs="Arial"/>
          <w:sz w:val="24"/>
          <w:szCs w:val="24"/>
        </w:rPr>
        <w:t xml:space="preserve">Additionally, the Jerusalem Municipality is implementing discriminatory zoning and planning policies </w:t>
      </w:r>
      <w:r w:rsidR="00C417FF" w:rsidRPr="00DD1BF7">
        <w:rPr>
          <w:rFonts w:ascii="Arial" w:hAnsi="Arial" w:cs="Arial"/>
          <w:sz w:val="24"/>
          <w:szCs w:val="24"/>
        </w:rPr>
        <w:t xml:space="preserve">so as </w:t>
      </w:r>
      <w:r w:rsidR="0051452E" w:rsidRPr="00DD1BF7">
        <w:rPr>
          <w:rFonts w:ascii="Arial" w:hAnsi="Arial" w:cs="Arial"/>
          <w:sz w:val="24"/>
          <w:szCs w:val="24"/>
        </w:rPr>
        <w:t>maintain a “demographic balance”</w:t>
      </w:r>
      <w:r w:rsidR="00C417FF" w:rsidRPr="00DD1BF7">
        <w:rPr>
          <w:rFonts w:ascii="Arial" w:hAnsi="Arial" w:cs="Arial"/>
          <w:sz w:val="24"/>
          <w:szCs w:val="24"/>
        </w:rPr>
        <w:t>,</w:t>
      </w:r>
      <w:r w:rsidR="0051452E" w:rsidRPr="00DD1BF7">
        <w:rPr>
          <w:rFonts w:ascii="Arial" w:hAnsi="Arial" w:cs="Arial"/>
          <w:sz w:val="24"/>
          <w:szCs w:val="24"/>
        </w:rPr>
        <w:t xml:space="preserve"> </w:t>
      </w:r>
      <w:r w:rsidR="00C417FF" w:rsidRPr="00DD1BF7">
        <w:rPr>
          <w:rFonts w:ascii="Arial" w:hAnsi="Arial" w:cs="Arial"/>
          <w:sz w:val="24"/>
          <w:szCs w:val="24"/>
        </w:rPr>
        <w:t>as</w:t>
      </w:r>
      <w:r w:rsidR="0051452E" w:rsidRPr="00DD1BF7">
        <w:rPr>
          <w:rFonts w:ascii="Arial" w:hAnsi="Arial" w:cs="Arial"/>
          <w:sz w:val="24"/>
          <w:szCs w:val="24"/>
        </w:rPr>
        <w:t xml:space="preserve"> stated </w:t>
      </w:r>
      <w:r w:rsidR="008E7E9E" w:rsidRPr="00DD1BF7">
        <w:rPr>
          <w:rFonts w:ascii="Arial" w:hAnsi="Arial" w:cs="Arial"/>
          <w:sz w:val="24"/>
          <w:szCs w:val="24"/>
        </w:rPr>
        <w:t xml:space="preserve">in </w:t>
      </w:r>
      <w:r w:rsidR="0051452E" w:rsidRPr="00DD1BF7">
        <w:rPr>
          <w:rFonts w:ascii="Arial" w:hAnsi="Arial" w:cs="Arial"/>
          <w:sz w:val="24"/>
          <w:szCs w:val="24"/>
        </w:rPr>
        <w:t xml:space="preserve">official municipal planning </w:t>
      </w:r>
      <w:r w:rsidR="00C417FF" w:rsidRPr="00DD1BF7">
        <w:rPr>
          <w:rFonts w:ascii="Arial" w:hAnsi="Arial" w:cs="Arial"/>
          <w:sz w:val="24"/>
          <w:szCs w:val="24"/>
        </w:rPr>
        <w:t xml:space="preserve">policy </w:t>
      </w:r>
      <w:r w:rsidR="0051452E" w:rsidRPr="00DD1BF7">
        <w:rPr>
          <w:rFonts w:ascii="Arial" w:hAnsi="Arial" w:cs="Arial"/>
          <w:sz w:val="24"/>
          <w:szCs w:val="24"/>
        </w:rPr>
        <w:t>documents.</w:t>
      </w:r>
      <w:r w:rsidR="0051452E" w:rsidRPr="00DD1BF7">
        <w:rPr>
          <w:rFonts w:ascii="Arial" w:hAnsi="Arial" w:cs="Arial"/>
          <w:sz w:val="24"/>
          <w:szCs w:val="24"/>
          <w:vertAlign w:val="superscript"/>
        </w:rPr>
        <w:footnoteReference w:id="4"/>
      </w:r>
      <w:r w:rsidR="0051452E" w:rsidRPr="00DD1BF7">
        <w:rPr>
          <w:rFonts w:ascii="Arial" w:hAnsi="Arial" w:cs="Arial"/>
          <w:sz w:val="24"/>
          <w:szCs w:val="24"/>
        </w:rPr>
        <w:t xml:space="preserve"> The most rec</w:t>
      </w:r>
      <w:r w:rsidR="00E26302" w:rsidRPr="00DD1BF7">
        <w:rPr>
          <w:rFonts w:ascii="Arial" w:hAnsi="Arial" w:cs="Arial"/>
          <w:sz w:val="24"/>
          <w:szCs w:val="24"/>
        </w:rPr>
        <w:t>ently proposed city master plan</w:t>
      </w:r>
      <w:r w:rsidR="00E26302" w:rsidRPr="00DD1BF7">
        <w:rPr>
          <w:rStyle w:val="FootnoteReference"/>
          <w:rFonts w:ascii="Arial" w:hAnsi="Arial" w:cs="Arial"/>
          <w:sz w:val="24"/>
          <w:szCs w:val="24"/>
        </w:rPr>
        <w:footnoteReference w:id="5"/>
      </w:r>
      <w:r w:rsidR="00E26302" w:rsidRPr="00DD1BF7">
        <w:rPr>
          <w:rFonts w:ascii="Arial" w:hAnsi="Arial" w:cs="Arial"/>
          <w:sz w:val="24"/>
          <w:szCs w:val="24"/>
        </w:rPr>
        <w:t xml:space="preserve"> </w:t>
      </w:r>
      <w:r w:rsidR="00126C73" w:rsidRPr="00DD1BF7">
        <w:rPr>
          <w:rFonts w:ascii="Arial" w:hAnsi="Arial" w:cs="Arial"/>
          <w:sz w:val="24"/>
          <w:szCs w:val="24"/>
        </w:rPr>
        <w:t xml:space="preserve">calls for a 60% Israeli Jews to </w:t>
      </w:r>
      <w:r w:rsidR="0051452E" w:rsidRPr="00DD1BF7">
        <w:rPr>
          <w:rFonts w:ascii="Arial" w:hAnsi="Arial" w:cs="Arial"/>
          <w:sz w:val="24"/>
          <w:szCs w:val="24"/>
        </w:rPr>
        <w:t>40</w:t>
      </w:r>
      <w:r w:rsidR="00E26302" w:rsidRPr="00DD1BF7">
        <w:rPr>
          <w:rFonts w:ascii="Arial" w:hAnsi="Arial" w:cs="Arial"/>
          <w:sz w:val="24"/>
          <w:szCs w:val="24"/>
        </w:rPr>
        <w:t>%</w:t>
      </w:r>
      <w:r w:rsidR="0051452E" w:rsidRPr="00DD1BF7">
        <w:rPr>
          <w:rFonts w:ascii="Arial" w:hAnsi="Arial" w:cs="Arial"/>
          <w:sz w:val="24"/>
          <w:szCs w:val="24"/>
        </w:rPr>
        <w:t xml:space="preserve"> </w:t>
      </w:r>
      <w:r w:rsidR="00126C73" w:rsidRPr="00DD1BF7">
        <w:rPr>
          <w:rFonts w:ascii="Arial" w:hAnsi="Arial" w:cs="Arial"/>
          <w:sz w:val="24"/>
          <w:szCs w:val="24"/>
        </w:rPr>
        <w:t xml:space="preserve">Palestinians </w:t>
      </w:r>
      <w:r w:rsidR="0051452E" w:rsidRPr="00DD1BF7">
        <w:rPr>
          <w:rFonts w:ascii="Arial" w:hAnsi="Arial" w:cs="Arial"/>
          <w:sz w:val="24"/>
          <w:szCs w:val="24"/>
        </w:rPr>
        <w:t>demographic balance and stresses the importance of maintaining a Jewish majority.</w:t>
      </w:r>
      <w:r w:rsidR="0051452E" w:rsidRPr="00DD1BF7">
        <w:rPr>
          <w:rFonts w:ascii="Arial" w:hAnsi="Arial" w:cs="Arial"/>
          <w:sz w:val="24"/>
          <w:szCs w:val="24"/>
          <w:vertAlign w:val="superscript"/>
        </w:rPr>
        <w:footnoteReference w:id="6"/>
      </w:r>
      <w:r w:rsidR="00874460" w:rsidRPr="00DD1BF7">
        <w:rPr>
          <w:rFonts w:ascii="Arial" w:hAnsi="Arial" w:cs="Arial"/>
          <w:sz w:val="24"/>
          <w:szCs w:val="24"/>
        </w:rPr>
        <w:t xml:space="preserve"> </w:t>
      </w:r>
      <w:r w:rsidR="00475B7E" w:rsidRPr="00DD1BF7">
        <w:rPr>
          <w:rFonts w:ascii="Arial" w:hAnsi="Arial" w:cs="Arial"/>
          <w:sz w:val="24"/>
          <w:szCs w:val="24"/>
        </w:rPr>
        <w:t>J</w:t>
      </w:r>
      <w:r w:rsidRPr="00DD1BF7">
        <w:rPr>
          <w:rFonts w:ascii="Arial" w:hAnsi="Arial" w:cs="Arial"/>
          <w:bCs/>
          <w:sz w:val="24"/>
          <w:szCs w:val="24"/>
        </w:rPr>
        <w:t xml:space="preserve">ust 13% of </w:t>
      </w:r>
      <w:r w:rsidR="00941901" w:rsidRPr="00DD1BF7">
        <w:rPr>
          <w:rFonts w:ascii="Arial" w:hAnsi="Arial" w:cs="Arial"/>
          <w:bCs/>
          <w:sz w:val="24"/>
          <w:szCs w:val="24"/>
        </w:rPr>
        <w:t>East Jerusalem</w:t>
      </w:r>
      <w:r w:rsidRPr="00DD1BF7">
        <w:rPr>
          <w:rFonts w:ascii="Arial" w:hAnsi="Arial" w:cs="Arial"/>
          <w:bCs/>
          <w:sz w:val="24"/>
          <w:szCs w:val="24"/>
        </w:rPr>
        <w:t xml:space="preserve"> is zoned f</w:t>
      </w:r>
      <w:r w:rsidR="00720A30" w:rsidRPr="00DD1BF7">
        <w:rPr>
          <w:rFonts w:ascii="Arial" w:hAnsi="Arial" w:cs="Arial"/>
          <w:bCs/>
          <w:sz w:val="24"/>
          <w:szCs w:val="24"/>
        </w:rPr>
        <w:t>or Palestinian construction;</w:t>
      </w:r>
      <w:r w:rsidRPr="00DD1BF7">
        <w:rPr>
          <w:rFonts w:ascii="Arial" w:hAnsi="Arial" w:cs="Arial"/>
          <w:bCs/>
          <w:sz w:val="24"/>
          <w:szCs w:val="24"/>
        </w:rPr>
        <w:t xml:space="preserve"> </w:t>
      </w:r>
      <w:r w:rsidR="00720A30" w:rsidRPr="00DD1BF7">
        <w:rPr>
          <w:rFonts w:ascii="Arial" w:hAnsi="Arial" w:cs="Arial"/>
          <w:bCs/>
          <w:sz w:val="24"/>
          <w:szCs w:val="24"/>
        </w:rPr>
        <w:t>a</w:t>
      </w:r>
      <w:r w:rsidRPr="00DD1BF7">
        <w:rPr>
          <w:rFonts w:ascii="Arial" w:hAnsi="Arial" w:cs="Arial"/>
          <w:bCs/>
          <w:sz w:val="24"/>
          <w:szCs w:val="24"/>
        </w:rPr>
        <w:t xml:space="preserve">gain, </w:t>
      </w:r>
      <w:r w:rsidRPr="00DD1BF7">
        <w:rPr>
          <w:rFonts w:ascii="Arial" w:hAnsi="Arial" w:cs="Arial"/>
          <w:bCs/>
          <w:sz w:val="24"/>
          <w:szCs w:val="24"/>
        </w:rPr>
        <w:lastRenderedPageBreak/>
        <w:t xml:space="preserve">much of this </w:t>
      </w:r>
      <w:r w:rsidR="00475B7E" w:rsidRPr="00DD1BF7">
        <w:rPr>
          <w:rFonts w:ascii="Arial" w:hAnsi="Arial" w:cs="Arial"/>
          <w:bCs/>
          <w:sz w:val="24"/>
          <w:szCs w:val="24"/>
        </w:rPr>
        <w:t xml:space="preserve">area </w:t>
      </w:r>
      <w:r w:rsidR="00CE44BE">
        <w:rPr>
          <w:rFonts w:ascii="Arial" w:hAnsi="Arial" w:cs="Arial"/>
          <w:bCs/>
          <w:sz w:val="24"/>
          <w:szCs w:val="24"/>
        </w:rPr>
        <w:t>has</w:t>
      </w:r>
      <w:r w:rsidR="00CE44BE" w:rsidRPr="00DD1BF7">
        <w:rPr>
          <w:rFonts w:ascii="Arial" w:hAnsi="Arial" w:cs="Arial"/>
          <w:bCs/>
          <w:sz w:val="24"/>
          <w:szCs w:val="24"/>
        </w:rPr>
        <w:t xml:space="preserve"> </w:t>
      </w:r>
      <w:r w:rsidRPr="00DD1BF7">
        <w:rPr>
          <w:rFonts w:ascii="Arial" w:hAnsi="Arial" w:cs="Arial"/>
          <w:bCs/>
          <w:sz w:val="24"/>
          <w:szCs w:val="24"/>
        </w:rPr>
        <w:t xml:space="preserve">already </w:t>
      </w:r>
      <w:r w:rsidR="00CE44BE">
        <w:rPr>
          <w:rFonts w:ascii="Arial" w:hAnsi="Arial" w:cs="Arial"/>
          <w:bCs/>
          <w:sz w:val="24"/>
          <w:szCs w:val="24"/>
        </w:rPr>
        <w:t xml:space="preserve">been </w:t>
      </w:r>
      <w:r w:rsidRPr="00DD1BF7">
        <w:rPr>
          <w:rFonts w:ascii="Arial" w:hAnsi="Arial" w:cs="Arial"/>
          <w:bCs/>
          <w:sz w:val="24"/>
          <w:szCs w:val="24"/>
        </w:rPr>
        <w:t>developed.</w:t>
      </w:r>
      <w:r w:rsidR="0012626E" w:rsidRPr="00DD1BF7">
        <w:rPr>
          <w:rFonts w:ascii="Arial" w:hAnsi="Arial" w:cs="Arial"/>
          <w:bCs/>
          <w:sz w:val="24"/>
          <w:szCs w:val="24"/>
        </w:rPr>
        <w:t xml:space="preserve"> In comparison, 35% of East Jerusalem is zoned for settlement</w:t>
      </w:r>
      <w:r w:rsidR="00BD637E" w:rsidRPr="00DD1BF7">
        <w:rPr>
          <w:rFonts w:ascii="Arial" w:hAnsi="Arial" w:cs="Arial"/>
          <w:bCs/>
          <w:sz w:val="24"/>
          <w:szCs w:val="24"/>
        </w:rPr>
        <w:t>s</w:t>
      </w:r>
      <w:r w:rsidR="0012626E" w:rsidRPr="00DD1BF7">
        <w:rPr>
          <w:rFonts w:ascii="Arial" w:hAnsi="Arial" w:cs="Arial"/>
          <w:bCs/>
          <w:sz w:val="24"/>
          <w:szCs w:val="24"/>
        </w:rPr>
        <w:t>.</w:t>
      </w:r>
      <w:r w:rsidR="00941901" w:rsidRPr="00DD1BF7">
        <w:rPr>
          <w:rFonts w:ascii="Arial" w:hAnsi="Arial" w:cs="Arial"/>
          <w:bCs/>
          <w:sz w:val="24"/>
          <w:szCs w:val="24"/>
        </w:rPr>
        <w:t xml:space="preserve"> </w:t>
      </w:r>
    </w:p>
    <w:p w14:paraId="11A4A5B9" w14:textId="77777777" w:rsidR="008B736B" w:rsidRPr="00DD1BF7" w:rsidRDefault="008B736B" w:rsidP="008B736B">
      <w:pPr>
        <w:pStyle w:val="ListParagraph"/>
        <w:spacing w:line="240" w:lineRule="auto"/>
        <w:ind w:left="426"/>
        <w:jc w:val="both"/>
        <w:rPr>
          <w:rFonts w:ascii="Arial" w:hAnsi="Arial" w:cs="Arial"/>
          <w:sz w:val="24"/>
          <w:szCs w:val="24"/>
        </w:rPr>
      </w:pPr>
    </w:p>
    <w:p w14:paraId="74765D9B" w14:textId="77777777" w:rsidR="002A3686" w:rsidRPr="00DD1BF7" w:rsidRDefault="007636C7" w:rsidP="008E7E9E">
      <w:pPr>
        <w:pStyle w:val="ListParagraph"/>
        <w:numPr>
          <w:ilvl w:val="0"/>
          <w:numId w:val="12"/>
        </w:numPr>
        <w:spacing w:line="240" w:lineRule="auto"/>
        <w:ind w:left="426"/>
        <w:jc w:val="both"/>
        <w:rPr>
          <w:rFonts w:ascii="Arial" w:hAnsi="Arial" w:cs="Arial"/>
          <w:sz w:val="24"/>
          <w:szCs w:val="24"/>
        </w:rPr>
      </w:pPr>
      <w:r w:rsidRPr="00DD1BF7">
        <w:rPr>
          <w:rFonts w:ascii="Arial" w:hAnsi="Arial" w:cs="Arial"/>
          <w:sz w:val="24"/>
          <w:szCs w:val="24"/>
        </w:rPr>
        <w:t>The Absentee</w:t>
      </w:r>
      <w:r w:rsidR="002A3686" w:rsidRPr="00DD1BF7">
        <w:rPr>
          <w:rFonts w:ascii="Arial" w:hAnsi="Arial" w:cs="Arial"/>
          <w:sz w:val="24"/>
          <w:szCs w:val="24"/>
        </w:rPr>
        <w:t xml:space="preserve"> Property Law</w:t>
      </w:r>
      <w:r w:rsidR="008B736B" w:rsidRPr="00DD1BF7">
        <w:rPr>
          <w:rFonts w:ascii="Arial" w:hAnsi="Arial" w:cs="Arial"/>
          <w:sz w:val="24"/>
          <w:szCs w:val="24"/>
        </w:rPr>
        <w:t xml:space="preserve"> </w:t>
      </w:r>
      <w:r w:rsidR="002A3686" w:rsidRPr="00DD1BF7">
        <w:rPr>
          <w:rFonts w:ascii="Arial" w:hAnsi="Arial" w:cs="Arial"/>
          <w:sz w:val="24"/>
          <w:szCs w:val="24"/>
        </w:rPr>
        <w:t xml:space="preserve">constitutes </w:t>
      </w:r>
      <w:r w:rsidR="008B736B" w:rsidRPr="00DD1BF7">
        <w:rPr>
          <w:rFonts w:ascii="Arial" w:hAnsi="Arial" w:cs="Arial"/>
          <w:sz w:val="24"/>
          <w:szCs w:val="24"/>
        </w:rPr>
        <w:t>a further infringement of the right to secure tenure</w:t>
      </w:r>
      <w:r w:rsidR="002A3686" w:rsidRPr="00DD1BF7">
        <w:rPr>
          <w:rFonts w:ascii="Arial" w:hAnsi="Arial" w:cs="Arial"/>
          <w:sz w:val="24"/>
          <w:szCs w:val="24"/>
        </w:rPr>
        <w:t xml:space="preserve"> to land and property owned by Palestinians within Israel and </w:t>
      </w:r>
      <w:r w:rsidR="008E7E9E" w:rsidRPr="00DD1BF7">
        <w:rPr>
          <w:rFonts w:ascii="Arial" w:hAnsi="Arial" w:cs="Arial"/>
          <w:sz w:val="24"/>
          <w:szCs w:val="24"/>
        </w:rPr>
        <w:t>in</w:t>
      </w:r>
      <w:r w:rsidR="002A3686" w:rsidRPr="00DD1BF7">
        <w:rPr>
          <w:rFonts w:ascii="Arial" w:hAnsi="Arial" w:cs="Arial"/>
          <w:sz w:val="24"/>
          <w:szCs w:val="24"/>
        </w:rPr>
        <w:t xml:space="preserve"> East Jerusalem.</w:t>
      </w:r>
      <w:r w:rsidR="008B736B" w:rsidRPr="00DD1BF7">
        <w:rPr>
          <w:rFonts w:ascii="Arial" w:hAnsi="Arial" w:cs="Arial"/>
          <w:sz w:val="24"/>
          <w:szCs w:val="24"/>
        </w:rPr>
        <w:t xml:space="preserve"> </w:t>
      </w:r>
      <w:r w:rsidR="002A3686" w:rsidRPr="00DD1BF7">
        <w:rPr>
          <w:rFonts w:ascii="Arial" w:hAnsi="Arial" w:cs="Arial"/>
          <w:sz w:val="24"/>
          <w:szCs w:val="24"/>
        </w:rPr>
        <w:t>The law</w:t>
      </w:r>
      <w:r w:rsidR="008B736B" w:rsidRPr="00DD1BF7">
        <w:rPr>
          <w:rFonts w:ascii="Arial" w:hAnsi="Arial" w:cs="Arial"/>
          <w:sz w:val="24"/>
          <w:szCs w:val="24"/>
        </w:rPr>
        <w:t xml:space="preserve"> is used to deprive Palestinians of</w:t>
      </w:r>
      <w:r w:rsidR="002A3686" w:rsidRPr="00DD1BF7">
        <w:rPr>
          <w:rFonts w:ascii="Arial" w:hAnsi="Arial" w:cs="Arial"/>
          <w:sz w:val="24"/>
          <w:szCs w:val="24"/>
        </w:rPr>
        <w:t xml:space="preserve"> the</w:t>
      </w:r>
      <w:r w:rsidR="008B736B" w:rsidRPr="00DD1BF7">
        <w:rPr>
          <w:rFonts w:ascii="Arial" w:hAnsi="Arial" w:cs="Arial"/>
          <w:sz w:val="24"/>
          <w:szCs w:val="24"/>
        </w:rPr>
        <w:t xml:space="preserve"> use of, access to</w:t>
      </w:r>
      <w:r w:rsidR="0027646E" w:rsidRPr="00DD1BF7">
        <w:rPr>
          <w:rFonts w:ascii="Arial" w:hAnsi="Arial" w:cs="Arial"/>
          <w:sz w:val="24"/>
          <w:szCs w:val="24"/>
        </w:rPr>
        <w:t>,</w:t>
      </w:r>
      <w:r w:rsidR="008B736B" w:rsidRPr="00DD1BF7">
        <w:rPr>
          <w:rFonts w:ascii="Arial" w:hAnsi="Arial" w:cs="Arial"/>
          <w:sz w:val="24"/>
          <w:szCs w:val="24"/>
        </w:rPr>
        <w:t xml:space="preserve"> and ownership of their land and property in areas under Israeli </w:t>
      </w:r>
      <w:r w:rsidRPr="00DD1BF7">
        <w:rPr>
          <w:rFonts w:ascii="Arial" w:hAnsi="Arial" w:cs="Arial"/>
          <w:sz w:val="24"/>
          <w:szCs w:val="24"/>
        </w:rPr>
        <w:t>control</w:t>
      </w:r>
      <w:r w:rsidR="008B736B" w:rsidRPr="00DD1BF7">
        <w:rPr>
          <w:rFonts w:ascii="Arial" w:hAnsi="Arial" w:cs="Arial"/>
          <w:sz w:val="24"/>
          <w:szCs w:val="24"/>
        </w:rPr>
        <w:t xml:space="preserve">. </w:t>
      </w:r>
      <w:r w:rsidR="00AE7A4A">
        <w:rPr>
          <w:rFonts w:ascii="Arial" w:hAnsi="Arial" w:cs="Arial"/>
          <w:sz w:val="24"/>
          <w:szCs w:val="24"/>
        </w:rPr>
        <w:t>The</w:t>
      </w:r>
      <w:r w:rsidR="00CE44BE">
        <w:rPr>
          <w:rFonts w:ascii="Arial" w:hAnsi="Arial" w:cs="Arial"/>
          <w:sz w:val="24"/>
          <w:szCs w:val="24"/>
        </w:rPr>
        <w:t xml:space="preserve"> Absentee Property Law allows for </w:t>
      </w:r>
      <w:r w:rsidR="00AE7A4A">
        <w:rPr>
          <w:rFonts w:ascii="Arial" w:hAnsi="Arial" w:cs="Arial"/>
          <w:sz w:val="24"/>
          <w:szCs w:val="24"/>
        </w:rPr>
        <w:t>the</w:t>
      </w:r>
      <w:r w:rsidR="008B736B" w:rsidRPr="00DD1BF7">
        <w:rPr>
          <w:rFonts w:ascii="Arial" w:hAnsi="Arial" w:cs="Arial"/>
          <w:sz w:val="24"/>
          <w:szCs w:val="24"/>
        </w:rPr>
        <w:t xml:space="preserve"> transfer </w:t>
      </w:r>
      <w:r w:rsidR="00AE7A4A">
        <w:rPr>
          <w:rFonts w:ascii="Arial" w:hAnsi="Arial" w:cs="Arial"/>
          <w:sz w:val="24"/>
          <w:szCs w:val="24"/>
        </w:rPr>
        <w:t>of</w:t>
      </w:r>
      <w:r w:rsidR="00AE7A4A" w:rsidRPr="00DD1BF7">
        <w:rPr>
          <w:rFonts w:ascii="Arial" w:hAnsi="Arial" w:cs="Arial"/>
          <w:sz w:val="24"/>
          <w:szCs w:val="24"/>
        </w:rPr>
        <w:t xml:space="preserve"> </w:t>
      </w:r>
      <w:r w:rsidR="008B736B" w:rsidRPr="00DD1BF7">
        <w:rPr>
          <w:rFonts w:ascii="Arial" w:hAnsi="Arial" w:cs="Arial"/>
          <w:sz w:val="24"/>
          <w:szCs w:val="24"/>
        </w:rPr>
        <w:t xml:space="preserve">property left behind by Palestinians after they </w:t>
      </w:r>
      <w:r w:rsidRPr="00DD1BF7">
        <w:rPr>
          <w:rFonts w:ascii="Arial" w:hAnsi="Arial" w:cs="Arial"/>
          <w:sz w:val="24"/>
          <w:szCs w:val="24"/>
        </w:rPr>
        <w:t>fl</w:t>
      </w:r>
      <w:r w:rsidR="008B736B" w:rsidRPr="00DD1BF7">
        <w:rPr>
          <w:rFonts w:ascii="Arial" w:hAnsi="Arial" w:cs="Arial"/>
          <w:sz w:val="24"/>
          <w:szCs w:val="24"/>
        </w:rPr>
        <w:t xml:space="preserve">ed or were deported during the 1948 War to the </w:t>
      </w:r>
      <w:r w:rsidR="00AE7A4A">
        <w:rPr>
          <w:rFonts w:ascii="Arial" w:hAnsi="Arial" w:cs="Arial"/>
          <w:sz w:val="24"/>
          <w:szCs w:val="24"/>
        </w:rPr>
        <w:t>State</w:t>
      </w:r>
      <w:r w:rsidR="008B736B" w:rsidRPr="00DD1BF7">
        <w:rPr>
          <w:rFonts w:ascii="Arial" w:hAnsi="Arial" w:cs="Arial"/>
          <w:sz w:val="24"/>
          <w:szCs w:val="24"/>
        </w:rPr>
        <w:t xml:space="preserve"> of Israel. </w:t>
      </w:r>
      <w:r w:rsidR="008E7E9E" w:rsidRPr="00DD1BF7">
        <w:rPr>
          <w:rFonts w:ascii="Arial" w:hAnsi="Arial" w:cs="Arial"/>
          <w:sz w:val="24"/>
          <w:szCs w:val="24"/>
        </w:rPr>
        <w:t xml:space="preserve">The law </w:t>
      </w:r>
      <w:r w:rsidR="008B736B" w:rsidRPr="00DD1BF7">
        <w:rPr>
          <w:rFonts w:ascii="Arial" w:hAnsi="Arial" w:cs="Arial"/>
          <w:sz w:val="24"/>
          <w:szCs w:val="24"/>
        </w:rPr>
        <w:t>has been applied almost exclusively to Arab citizens</w:t>
      </w:r>
      <w:r w:rsidR="008E7E9E" w:rsidRPr="00DD1BF7">
        <w:rPr>
          <w:rFonts w:ascii="Arial" w:hAnsi="Arial" w:cs="Arial"/>
          <w:sz w:val="24"/>
          <w:szCs w:val="24"/>
        </w:rPr>
        <w:t xml:space="preserve"> and </w:t>
      </w:r>
      <w:r w:rsidR="008B736B" w:rsidRPr="00DD1BF7">
        <w:rPr>
          <w:rFonts w:ascii="Arial" w:hAnsi="Arial" w:cs="Arial"/>
          <w:sz w:val="24"/>
          <w:szCs w:val="24"/>
        </w:rPr>
        <w:t xml:space="preserve">residents of Israel and Palestinians living in </w:t>
      </w:r>
      <w:r w:rsidRPr="00DD1BF7">
        <w:rPr>
          <w:rFonts w:ascii="Arial" w:hAnsi="Arial" w:cs="Arial"/>
          <w:sz w:val="24"/>
          <w:szCs w:val="24"/>
        </w:rPr>
        <w:t>oPt,</w:t>
      </w:r>
      <w:r w:rsidR="008B736B" w:rsidRPr="00DD1BF7">
        <w:rPr>
          <w:rFonts w:ascii="Arial" w:hAnsi="Arial" w:cs="Arial"/>
          <w:sz w:val="24"/>
          <w:szCs w:val="24"/>
        </w:rPr>
        <w:t xml:space="preserve"> who under in</w:t>
      </w:r>
      <w:r w:rsidR="008E7E9E" w:rsidRPr="00DD1BF7">
        <w:rPr>
          <w:rFonts w:ascii="Arial" w:hAnsi="Arial" w:cs="Arial"/>
          <w:sz w:val="24"/>
          <w:szCs w:val="24"/>
        </w:rPr>
        <w:t xml:space="preserve">ternational </w:t>
      </w:r>
      <w:r w:rsidR="007012DC" w:rsidRPr="00DD1BF7">
        <w:rPr>
          <w:rFonts w:ascii="Arial" w:hAnsi="Arial" w:cs="Arial"/>
          <w:sz w:val="24"/>
          <w:szCs w:val="24"/>
        </w:rPr>
        <w:t xml:space="preserve">humanitarian </w:t>
      </w:r>
      <w:r w:rsidR="008E7E9E" w:rsidRPr="00DD1BF7">
        <w:rPr>
          <w:rFonts w:ascii="Arial" w:hAnsi="Arial" w:cs="Arial"/>
          <w:sz w:val="24"/>
          <w:szCs w:val="24"/>
        </w:rPr>
        <w:t>law, are protected persons</w:t>
      </w:r>
      <w:r w:rsidRPr="00DD1BF7">
        <w:rPr>
          <w:rFonts w:ascii="Arial" w:hAnsi="Arial" w:cs="Arial"/>
          <w:sz w:val="24"/>
          <w:szCs w:val="24"/>
        </w:rPr>
        <w:t>.</w:t>
      </w:r>
      <w:r w:rsidR="008B736B" w:rsidRPr="00DD1BF7">
        <w:rPr>
          <w:rFonts w:ascii="Arial" w:hAnsi="Arial" w:cs="Arial"/>
          <w:sz w:val="24"/>
          <w:szCs w:val="24"/>
        </w:rPr>
        <w:t xml:space="preserve"> </w:t>
      </w:r>
    </w:p>
    <w:p w14:paraId="7BF1F45F" w14:textId="77777777" w:rsidR="002A3686" w:rsidRPr="00DD1BF7" w:rsidRDefault="002A3686" w:rsidP="002A3686">
      <w:pPr>
        <w:pStyle w:val="ListParagraph"/>
        <w:rPr>
          <w:rFonts w:ascii="Arial" w:hAnsi="Arial" w:cs="Arial"/>
          <w:sz w:val="24"/>
          <w:szCs w:val="24"/>
        </w:rPr>
      </w:pPr>
    </w:p>
    <w:p w14:paraId="0C38E477" w14:textId="77777777" w:rsidR="007636C7" w:rsidRPr="00DD1BF7" w:rsidRDefault="00055C6E" w:rsidP="00AC6659">
      <w:pPr>
        <w:pStyle w:val="ListParagraph"/>
        <w:numPr>
          <w:ilvl w:val="0"/>
          <w:numId w:val="12"/>
        </w:numPr>
        <w:spacing w:line="240" w:lineRule="auto"/>
        <w:ind w:left="426"/>
        <w:jc w:val="both"/>
        <w:rPr>
          <w:rFonts w:ascii="Arial" w:hAnsi="Arial" w:cs="Arial"/>
          <w:sz w:val="24"/>
          <w:szCs w:val="24"/>
        </w:rPr>
      </w:pPr>
      <w:r w:rsidRPr="00DD1BF7">
        <w:rPr>
          <w:rFonts w:ascii="Arial" w:hAnsi="Arial" w:cs="Arial"/>
          <w:sz w:val="24"/>
          <w:szCs w:val="24"/>
        </w:rPr>
        <w:t>Palestinian communities have no access to planning decisions that affect them directly</w:t>
      </w:r>
      <w:r w:rsidR="00AE7A4A">
        <w:rPr>
          <w:rFonts w:ascii="Arial" w:hAnsi="Arial" w:cs="Arial"/>
          <w:sz w:val="24"/>
          <w:szCs w:val="24"/>
        </w:rPr>
        <w:t>. They</w:t>
      </w:r>
      <w:r w:rsidRPr="00DD1BF7">
        <w:rPr>
          <w:rFonts w:ascii="Arial" w:hAnsi="Arial" w:cs="Arial"/>
          <w:sz w:val="24"/>
          <w:szCs w:val="24"/>
        </w:rPr>
        <w:t xml:space="preserve"> are rarely consulted in the preparation of plans and face prohibitively expensive and bureaucratic procedures to object to plans already </w:t>
      </w:r>
      <w:r w:rsidR="00AE7A4A">
        <w:rPr>
          <w:rFonts w:ascii="Arial" w:hAnsi="Arial" w:cs="Arial"/>
          <w:sz w:val="24"/>
          <w:szCs w:val="24"/>
        </w:rPr>
        <w:t>developed</w:t>
      </w:r>
      <w:r w:rsidRPr="00DD1BF7">
        <w:rPr>
          <w:rFonts w:ascii="Arial" w:hAnsi="Arial" w:cs="Arial"/>
          <w:sz w:val="24"/>
          <w:szCs w:val="24"/>
        </w:rPr>
        <w:t xml:space="preserve">. </w:t>
      </w:r>
      <w:r w:rsidR="007636C7" w:rsidRPr="00DD1BF7">
        <w:rPr>
          <w:rFonts w:ascii="Arial" w:hAnsi="Arial" w:cs="Arial"/>
          <w:sz w:val="24"/>
          <w:szCs w:val="24"/>
        </w:rPr>
        <w:t>For example, a community master plan prepared by the Palestinian residents of the Al-</w:t>
      </w:r>
      <w:proofErr w:type="spellStart"/>
      <w:r w:rsidR="007636C7" w:rsidRPr="00DD1BF7">
        <w:rPr>
          <w:rFonts w:ascii="Arial" w:hAnsi="Arial" w:cs="Arial"/>
          <w:sz w:val="24"/>
          <w:szCs w:val="24"/>
        </w:rPr>
        <w:t>Bustan</w:t>
      </w:r>
      <w:proofErr w:type="spellEnd"/>
      <w:r w:rsidR="007636C7" w:rsidRPr="00DD1BF7">
        <w:rPr>
          <w:rFonts w:ascii="Arial" w:hAnsi="Arial" w:cs="Arial"/>
          <w:sz w:val="24"/>
          <w:szCs w:val="24"/>
        </w:rPr>
        <w:t xml:space="preserve"> area in East Jerusalem in 2009 which would allow them to ‘</w:t>
      </w:r>
      <w:proofErr w:type="spellStart"/>
      <w:r w:rsidR="007636C7" w:rsidRPr="00DD1BF7">
        <w:rPr>
          <w:rFonts w:ascii="Arial" w:hAnsi="Arial" w:cs="Arial"/>
          <w:sz w:val="24"/>
          <w:szCs w:val="24"/>
        </w:rPr>
        <w:t>legitimise</w:t>
      </w:r>
      <w:proofErr w:type="spellEnd"/>
      <w:r w:rsidR="007636C7" w:rsidRPr="00DD1BF7">
        <w:rPr>
          <w:rFonts w:ascii="Arial" w:hAnsi="Arial" w:cs="Arial"/>
          <w:sz w:val="24"/>
          <w:szCs w:val="24"/>
        </w:rPr>
        <w:t xml:space="preserve">’ and maintain their residential and livelihood structures, was rejected by the Jerusalem Municipality, which recommended its own plan for further consideration. The Municipality plan designates the area a site of historical and tourist interest and would result in the displacement of approximately </w:t>
      </w:r>
      <w:r w:rsidR="00126C73" w:rsidRPr="00DD1BF7">
        <w:rPr>
          <w:rFonts w:ascii="Arial" w:hAnsi="Arial" w:cs="Arial"/>
          <w:sz w:val="24"/>
          <w:szCs w:val="24"/>
        </w:rPr>
        <w:t>9</w:t>
      </w:r>
      <w:r w:rsidR="007636C7" w:rsidRPr="00DD1BF7">
        <w:rPr>
          <w:rFonts w:ascii="Arial" w:hAnsi="Arial" w:cs="Arial"/>
          <w:sz w:val="24"/>
          <w:szCs w:val="24"/>
        </w:rPr>
        <w:t>00 residents of the Al-</w:t>
      </w:r>
      <w:proofErr w:type="spellStart"/>
      <w:r w:rsidR="007636C7" w:rsidRPr="00DD1BF7">
        <w:rPr>
          <w:rFonts w:ascii="Arial" w:hAnsi="Arial" w:cs="Arial"/>
          <w:sz w:val="24"/>
          <w:szCs w:val="24"/>
        </w:rPr>
        <w:t>Bustan</w:t>
      </w:r>
      <w:proofErr w:type="spellEnd"/>
      <w:r w:rsidR="007636C7" w:rsidRPr="00DD1BF7">
        <w:rPr>
          <w:rFonts w:ascii="Arial" w:hAnsi="Arial" w:cs="Arial"/>
          <w:sz w:val="24"/>
          <w:szCs w:val="24"/>
        </w:rPr>
        <w:t xml:space="preserve"> area. </w:t>
      </w:r>
      <w:r w:rsidR="008302BF" w:rsidRPr="00DD1BF7">
        <w:rPr>
          <w:rFonts w:ascii="Arial" w:hAnsi="Arial" w:cs="Arial"/>
          <w:sz w:val="24"/>
          <w:szCs w:val="24"/>
          <w:lang w:val="en-GB"/>
        </w:rPr>
        <w:t>Fifty-six</w:t>
      </w:r>
      <w:r w:rsidR="008302BF" w:rsidRPr="00DD1BF7">
        <w:rPr>
          <w:rFonts w:ascii="Arial" w:hAnsi="Arial" w:cs="Arial"/>
          <w:sz w:val="24"/>
          <w:szCs w:val="24"/>
        </w:rPr>
        <w:t> </w:t>
      </w:r>
      <w:r w:rsidR="008302BF" w:rsidRPr="00DD1BF7">
        <w:rPr>
          <w:rFonts w:ascii="Arial" w:hAnsi="Arial" w:cs="Arial"/>
          <w:sz w:val="24"/>
          <w:szCs w:val="24"/>
          <w:lang w:val="en-GB"/>
        </w:rPr>
        <w:t xml:space="preserve">of the 100 homes in Al </w:t>
      </w:r>
      <w:proofErr w:type="spellStart"/>
      <w:r w:rsidR="008302BF" w:rsidRPr="00DD1BF7">
        <w:rPr>
          <w:rFonts w:ascii="Arial" w:hAnsi="Arial" w:cs="Arial"/>
          <w:sz w:val="24"/>
          <w:szCs w:val="24"/>
          <w:lang w:val="en-GB"/>
        </w:rPr>
        <w:t>Bustan</w:t>
      </w:r>
      <w:proofErr w:type="spellEnd"/>
      <w:r w:rsidR="008302BF" w:rsidRPr="00DD1BF7">
        <w:rPr>
          <w:rFonts w:ascii="Arial" w:hAnsi="Arial" w:cs="Arial"/>
          <w:sz w:val="24"/>
          <w:szCs w:val="24"/>
          <w:lang w:val="en-GB"/>
        </w:rPr>
        <w:t xml:space="preserve"> are already subject to demolition orders, which will be implemented if the historic park plan is approved. </w:t>
      </w:r>
      <w:r w:rsidR="007636C7" w:rsidRPr="00DD1BF7">
        <w:rPr>
          <w:rFonts w:ascii="Arial" w:hAnsi="Arial" w:cs="Arial"/>
          <w:sz w:val="24"/>
          <w:szCs w:val="24"/>
        </w:rPr>
        <w:t xml:space="preserve">The Municipality’s plan was created without consultation with the Palestinians affected </w:t>
      </w:r>
      <w:r w:rsidR="002A3686" w:rsidRPr="00DD1BF7">
        <w:rPr>
          <w:rFonts w:ascii="Arial" w:hAnsi="Arial" w:cs="Arial"/>
          <w:sz w:val="24"/>
          <w:szCs w:val="24"/>
        </w:rPr>
        <w:t xml:space="preserve">and they </w:t>
      </w:r>
      <w:r w:rsidR="007636C7" w:rsidRPr="00DD1BF7">
        <w:rPr>
          <w:rFonts w:ascii="Arial" w:hAnsi="Arial" w:cs="Arial"/>
          <w:sz w:val="24"/>
          <w:szCs w:val="24"/>
        </w:rPr>
        <w:t xml:space="preserve">face </w:t>
      </w:r>
      <w:r w:rsidR="00AC6659" w:rsidRPr="00DD1BF7">
        <w:rPr>
          <w:rFonts w:ascii="Arial" w:hAnsi="Arial" w:cs="Arial"/>
          <w:sz w:val="24"/>
          <w:szCs w:val="24"/>
        </w:rPr>
        <w:t>continued</w:t>
      </w:r>
      <w:r w:rsidR="007636C7" w:rsidRPr="00DD1BF7">
        <w:rPr>
          <w:rFonts w:ascii="Arial" w:hAnsi="Arial" w:cs="Arial"/>
          <w:sz w:val="24"/>
          <w:szCs w:val="24"/>
        </w:rPr>
        <w:t xml:space="preserve"> uncertainty over what will happen to them.</w:t>
      </w:r>
    </w:p>
    <w:p w14:paraId="7DA157C2" w14:textId="77777777" w:rsidR="007636C7" w:rsidRPr="00DD1BF7" w:rsidRDefault="007636C7" w:rsidP="007636C7">
      <w:pPr>
        <w:pStyle w:val="ListParagraph"/>
        <w:rPr>
          <w:rFonts w:ascii="Arial" w:hAnsi="Arial" w:cs="Arial"/>
          <w:sz w:val="24"/>
          <w:szCs w:val="24"/>
        </w:rPr>
      </w:pPr>
    </w:p>
    <w:p w14:paraId="31B0A5F6" w14:textId="77777777" w:rsidR="007A0ABD" w:rsidRPr="00DD1BF7" w:rsidRDefault="001C58B3" w:rsidP="008E7E9E">
      <w:pPr>
        <w:pStyle w:val="ListParagraph"/>
        <w:numPr>
          <w:ilvl w:val="0"/>
          <w:numId w:val="12"/>
        </w:numPr>
        <w:spacing w:line="240" w:lineRule="auto"/>
        <w:ind w:left="426"/>
        <w:jc w:val="both"/>
        <w:rPr>
          <w:rFonts w:ascii="Arial" w:hAnsi="Arial" w:cs="Arial"/>
          <w:bCs/>
          <w:sz w:val="24"/>
          <w:szCs w:val="24"/>
        </w:rPr>
      </w:pPr>
      <w:r w:rsidRPr="00DD1BF7">
        <w:rPr>
          <w:rFonts w:ascii="Arial" w:hAnsi="Arial" w:cs="Arial"/>
          <w:sz w:val="24"/>
          <w:szCs w:val="24"/>
        </w:rPr>
        <w:t xml:space="preserve">Restrictive </w:t>
      </w:r>
      <w:r w:rsidR="00C75C59" w:rsidRPr="00DD1BF7">
        <w:rPr>
          <w:rFonts w:ascii="Arial" w:hAnsi="Arial" w:cs="Arial"/>
          <w:sz w:val="24"/>
          <w:szCs w:val="24"/>
        </w:rPr>
        <w:t xml:space="preserve">and discriminatory </w:t>
      </w:r>
      <w:r w:rsidRPr="00DD1BF7">
        <w:rPr>
          <w:rFonts w:ascii="Arial" w:hAnsi="Arial" w:cs="Arial"/>
          <w:sz w:val="24"/>
          <w:szCs w:val="24"/>
        </w:rPr>
        <w:t xml:space="preserve">zoning and planning prevents Palestinians in Area C </w:t>
      </w:r>
      <w:r w:rsidR="008E7E9E" w:rsidRPr="00DD1BF7">
        <w:rPr>
          <w:rFonts w:ascii="Arial" w:hAnsi="Arial" w:cs="Arial"/>
          <w:sz w:val="24"/>
          <w:szCs w:val="24"/>
        </w:rPr>
        <w:t>and</w:t>
      </w:r>
      <w:r w:rsidRPr="00DD1BF7">
        <w:rPr>
          <w:rFonts w:ascii="Arial" w:hAnsi="Arial" w:cs="Arial"/>
          <w:sz w:val="24"/>
          <w:szCs w:val="24"/>
        </w:rPr>
        <w:t xml:space="preserve"> East Jerusalem from obtaining permits to construct or rehabilitate homes, schools, animal shelters, or water collection systems. Permit application procedures are complex, expensive and rarely successful.</w:t>
      </w:r>
      <w:r w:rsidR="003B5BED" w:rsidRPr="00DD1BF7">
        <w:rPr>
          <w:rFonts w:ascii="Arial" w:hAnsi="Arial" w:cs="Arial"/>
          <w:sz w:val="24"/>
          <w:szCs w:val="24"/>
        </w:rPr>
        <w:t xml:space="preserve"> </w:t>
      </w:r>
      <w:r w:rsidR="007A0ABD" w:rsidRPr="00DD1BF7">
        <w:rPr>
          <w:rFonts w:ascii="Arial" w:hAnsi="Arial" w:cs="Arial"/>
          <w:bCs/>
          <w:sz w:val="24"/>
          <w:szCs w:val="24"/>
        </w:rPr>
        <w:t xml:space="preserve">The </w:t>
      </w:r>
      <w:r w:rsidR="007A0ABD" w:rsidRPr="00DD1BF7">
        <w:rPr>
          <w:rFonts w:ascii="Arial" w:hAnsi="Arial" w:cs="Arial"/>
          <w:sz w:val="24"/>
          <w:szCs w:val="24"/>
        </w:rPr>
        <w:t>same</w:t>
      </w:r>
      <w:r w:rsidR="007A0ABD" w:rsidRPr="00DD1BF7">
        <w:rPr>
          <w:rFonts w:ascii="Arial" w:hAnsi="Arial" w:cs="Arial"/>
          <w:bCs/>
          <w:sz w:val="24"/>
          <w:szCs w:val="24"/>
        </w:rPr>
        <w:t xml:space="preserve"> planning regime facilitates Israeli </w:t>
      </w:r>
      <w:r w:rsidR="003B5BED" w:rsidRPr="00DD1BF7">
        <w:rPr>
          <w:rFonts w:ascii="Arial" w:hAnsi="Arial" w:cs="Arial"/>
          <w:bCs/>
          <w:sz w:val="24"/>
          <w:szCs w:val="24"/>
        </w:rPr>
        <w:t>settlement</w:t>
      </w:r>
      <w:r w:rsidR="001D499D" w:rsidRPr="00DD1BF7">
        <w:rPr>
          <w:rFonts w:ascii="Arial" w:hAnsi="Arial" w:cs="Arial"/>
          <w:bCs/>
          <w:sz w:val="24"/>
          <w:szCs w:val="24"/>
        </w:rPr>
        <w:t xml:space="preserve"> expansion</w:t>
      </w:r>
      <w:r w:rsidR="007A0ABD" w:rsidRPr="00DD1BF7">
        <w:rPr>
          <w:rFonts w:ascii="Arial" w:hAnsi="Arial" w:cs="Arial"/>
          <w:bCs/>
          <w:sz w:val="24"/>
          <w:szCs w:val="24"/>
        </w:rPr>
        <w:t xml:space="preserve"> in Area C and East Jerusalem. Settlers receive preferential treatment through the use of </w:t>
      </w:r>
      <w:r w:rsidR="007A0ABD" w:rsidRPr="00DD1BF7">
        <w:rPr>
          <w:rFonts w:ascii="Arial" w:hAnsi="Arial" w:cs="Arial"/>
          <w:bCs/>
          <w:i/>
          <w:sz w:val="24"/>
          <w:szCs w:val="24"/>
        </w:rPr>
        <w:t>‘state land’</w:t>
      </w:r>
      <w:r w:rsidR="007A0ABD" w:rsidRPr="00DD1BF7">
        <w:rPr>
          <w:rFonts w:ascii="Arial" w:hAnsi="Arial" w:cs="Arial"/>
          <w:bCs/>
          <w:sz w:val="24"/>
          <w:szCs w:val="24"/>
        </w:rPr>
        <w:t xml:space="preserve">, provision of infrastructure such as roads and water systems, </w:t>
      </w:r>
      <w:r w:rsidR="001D499D" w:rsidRPr="00DD1BF7">
        <w:rPr>
          <w:rFonts w:ascii="Arial" w:hAnsi="Arial" w:cs="Arial"/>
          <w:bCs/>
          <w:sz w:val="24"/>
          <w:szCs w:val="24"/>
        </w:rPr>
        <w:t>high approval rates for</w:t>
      </w:r>
      <w:r w:rsidR="007A0ABD" w:rsidRPr="00DD1BF7">
        <w:rPr>
          <w:rFonts w:ascii="Arial" w:hAnsi="Arial" w:cs="Arial"/>
          <w:bCs/>
          <w:sz w:val="24"/>
          <w:szCs w:val="24"/>
        </w:rPr>
        <w:t xml:space="preserve"> permits and the establishment of Special Planning Committees comprised of settlers for consultative decision making processes. </w:t>
      </w:r>
      <w:r w:rsidR="00A26564" w:rsidRPr="00DD1BF7">
        <w:rPr>
          <w:rFonts w:ascii="Arial" w:hAnsi="Arial" w:cs="Arial"/>
          <w:bCs/>
          <w:sz w:val="24"/>
          <w:szCs w:val="24"/>
        </w:rPr>
        <w:t>Settlers</w:t>
      </w:r>
      <w:r w:rsidR="007A0ABD" w:rsidRPr="00DD1BF7">
        <w:rPr>
          <w:rFonts w:ascii="Arial" w:hAnsi="Arial" w:cs="Arial"/>
          <w:bCs/>
          <w:sz w:val="24"/>
          <w:szCs w:val="24"/>
        </w:rPr>
        <w:t xml:space="preserve"> also come under Israeli domestic law. This discriminatory policy results in </w:t>
      </w:r>
      <w:r w:rsidR="007A0ABD" w:rsidRPr="00DD1BF7">
        <w:rPr>
          <w:rFonts w:ascii="Arial" w:hAnsi="Arial" w:cs="Arial"/>
          <w:bCs/>
          <w:i/>
          <w:sz w:val="24"/>
          <w:szCs w:val="24"/>
        </w:rPr>
        <w:t>de facto</w:t>
      </w:r>
      <w:r w:rsidR="007A0ABD" w:rsidRPr="00DD1BF7">
        <w:rPr>
          <w:rFonts w:ascii="Arial" w:hAnsi="Arial" w:cs="Arial"/>
          <w:bCs/>
          <w:sz w:val="24"/>
          <w:szCs w:val="24"/>
        </w:rPr>
        <w:t xml:space="preserve"> confiscation of land and resources, and undermines the livelihood of Palestinian communities and their ability to develop.</w:t>
      </w:r>
    </w:p>
    <w:p w14:paraId="60DBAB34" w14:textId="77777777" w:rsidR="00975DB5" w:rsidRPr="00DD1BF7" w:rsidRDefault="00975DB5" w:rsidP="00975DB5">
      <w:pPr>
        <w:pStyle w:val="ListParagraph"/>
        <w:rPr>
          <w:rFonts w:ascii="Arial" w:hAnsi="Arial" w:cs="Arial"/>
          <w:sz w:val="24"/>
          <w:szCs w:val="24"/>
        </w:rPr>
      </w:pPr>
    </w:p>
    <w:p w14:paraId="6643C5C0" w14:textId="77777777" w:rsidR="00E64668" w:rsidRPr="00DD1BF7" w:rsidRDefault="00E64668" w:rsidP="008E7E9E">
      <w:pPr>
        <w:pStyle w:val="ListParagraph"/>
        <w:numPr>
          <w:ilvl w:val="0"/>
          <w:numId w:val="12"/>
        </w:numPr>
        <w:spacing w:line="240" w:lineRule="auto"/>
        <w:ind w:left="426"/>
        <w:jc w:val="both"/>
        <w:rPr>
          <w:rFonts w:ascii="Arial" w:hAnsi="Arial" w:cs="Arial"/>
          <w:bCs/>
          <w:sz w:val="24"/>
          <w:szCs w:val="24"/>
        </w:rPr>
      </w:pPr>
      <w:r w:rsidRPr="00DD1BF7">
        <w:rPr>
          <w:rFonts w:ascii="Arial" w:hAnsi="Arial" w:cs="Arial"/>
          <w:sz w:val="24"/>
          <w:szCs w:val="24"/>
        </w:rPr>
        <w:t>In Area C, over 94% of applications for building permits submitted by Palestinians</w:t>
      </w:r>
      <w:r w:rsidR="00FC2E21" w:rsidRPr="00DD1BF7">
        <w:rPr>
          <w:rFonts w:ascii="Arial" w:hAnsi="Arial" w:cs="Arial"/>
          <w:sz w:val="24"/>
          <w:szCs w:val="24"/>
        </w:rPr>
        <w:t xml:space="preserve"> to the ICA </w:t>
      </w:r>
      <w:r w:rsidRPr="00DD1BF7">
        <w:rPr>
          <w:rFonts w:ascii="Arial" w:hAnsi="Arial" w:cs="Arial"/>
          <w:sz w:val="24"/>
          <w:szCs w:val="24"/>
        </w:rPr>
        <w:t xml:space="preserve">between </w:t>
      </w:r>
      <w:r w:rsidR="00C75C59" w:rsidRPr="00DD1BF7">
        <w:rPr>
          <w:rFonts w:ascii="Arial" w:hAnsi="Arial" w:cs="Arial"/>
          <w:sz w:val="24"/>
          <w:szCs w:val="24"/>
        </w:rPr>
        <w:t>January 2000 and September 2007</w:t>
      </w:r>
      <w:r w:rsidRPr="00DD1BF7">
        <w:rPr>
          <w:rFonts w:ascii="Arial" w:hAnsi="Arial" w:cs="Arial"/>
          <w:sz w:val="24"/>
          <w:szCs w:val="24"/>
        </w:rPr>
        <w:t xml:space="preserve"> were denied. Between January 2007 and December 2010, the permit delivery rate declined further to 4.4%</w:t>
      </w:r>
      <w:r w:rsidR="007A0ABD" w:rsidRPr="00DD1BF7">
        <w:rPr>
          <w:rFonts w:ascii="Arial" w:hAnsi="Arial" w:cs="Arial"/>
          <w:sz w:val="24"/>
          <w:szCs w:val="24"/>
        </w:rPr>
        <w:t>,</w:t>
      </w:r>
      <w:r w:rsidR="00ED3C5A" w:rsidRPr="00DD1BF7">
        <w:rPr>
          <w:rStyle w:val="FootnoteReference"/>
          <w:rFonts w:ascii="Arial" w:hAnsi="Arial" w:cs="Arial"/>
          <w:sz w:val="24"/>
          <w:szCs w:val="24"/>
        </w:rPr>
        <w:footnoteReference w:id="7"/>
      </w:r>
      <w:r w:rsidR="007A0ABD" w:rsidRPr="00DD1BF7">
        <w:rPr>
          <w:rFonts w:ascii="Arial" w:hAnsi="Arial" w:cs="Arial"/>
          <w:sz w:val="24"/>
          <w:szCs w:val="24"/>
        </w:rPr>
        <w:t xml:space="preserve"> exposing the vast majority of area C to displacement.</w:t>
      </w:r>
      <w:r w:rsidR="00975DB5" w:rsidRPr="00DD1BF7">
        <w:rPr>
          <w:rFonts w:ascii="Arial" w:hAnsi="Arial" w:cs="Arial"/>
          <w:sz w:val="24"/>
          <w:szCs w:val="24"/>
        </w:rPr>
        <w:t xml:space="preserve"> </w:t>
      </w:r>
      <w:r w:rsidR="00C37A87" w:rsidRPr="00DD1BF7">
        <w:rPr>
          <w:rFonts w:ascii="Arial" w:hAnsi="Arial" w:cs="Arial"/>
          <w:sz w:val="24"/>
          <w:szCs w:val="24"/>
        </w:rPr>
        <w:t xml:space="preserve">In East Jerusalem, the </w:t>
      </w:r>
      <w:r w:rsidR="00C37A87" w:rsidRPr="00DD1BF7">
        <w:rPr>
          <w:rFonts w:ascii="Arial" w:hAnsi="Arial" w:cs="Arial"/>
          <w:sz w:val="24"/>
          <w:szCs w:val="24"/>
        </w:rPr>
        <w:lastRenderedPageBreak/>
        <w:t xml:space="preserve">zoning and planning regime has </w:t>
      </w:r>
      <w:r w:rsidR="00975DB5" w:rsidRPr="00DD1BF7">
        <w:rPr>
          <w:rFonts w:ascii="Arial" w:hAnsi="Arial" w:cs="Arial"/>
          <w:sz w:val="24"/>
          <w:szCs w:val="24"/>
        </w:rPr>
        <w:t xml:space="preserve">precipitated </w:t>
      </w:r>
      <w:r w:rsidR="00C37A87" w:rsidRPr="00DD1BF7">
        <w:rPr>
          <w:rFonts w:ascii="Arial" w:hAnsi="Arial" w:cs="Arial"/>
          <w:sz w:val="24"/>
          <w:szCs w:val="24"/>
        </w:rPr>
        <w:t xml:space="preserve">the </w:t>
      </w:r>
      <w:r w:rsidR="00975DB5" w:rsidRPr="00DD1BF7">
        <w:rPr>
          <w:rFonts w:ascii="Arial" w:hAnsi="Arial" w:cs="Arial"/>
          <w:sz w:val="24"/>
          <w:szCs w:val="24"/>
        </w:rPr>
        <w:t>housing crisis for Palestinians</w:t>
      </w:r>
      <w:r w:rsidR="00C37A87" w:rsidRPr="00DD1BF7">
        <w:rPr>
          <w:rFonts w:ascii="Arial" w:hAnsi="Arial" w:cs="Arial"/>
          <w:sz w:val="24"/>
          <w:szCs w:val="24"/>
        </w:rPr>
        <w:t>,</w:t>
      </w:r>
      <w:r w:rsidR="00975DB5" w:rsidRPr="00DD1BF7">
        <w:rPr>
          <w:rFonts w:ascii="Arial" w:hAnsi="Arial" w:cs="Arial"/>
          <w:sz w:val="24"/>
          <w:szCs w:val="24"/>
        </w:rPr>
        <w:t xml:space="preserve"> </w:t>
      </w:r>
      <w:r w:rsidR="00C37A87" w:rsidRPr="00DD1BF7">
        <w:rPr>
          <w:rFonts w:ascii="Arial" w:hAnsi="Arial" w:cs="Arial"/>
          <w:sz w:val="24"/>
          <w:szCs w:val="24"/>
        </w:rPr>
        <w:t xml:space="preserve">with at least 32% </w:t>
      </w:r>
      <w:r w:rsidR="00975DB5" w:rsidRPr="00DD1BF7">
        <w:rPr>
          <w:rFonts w:ascii="Arial" w:hAnsi="Arial" w:cs="Arial"/>
          <w:sz w:val="24"/>
          <w:szCs w:val="24"/>
        </w:rPr>
        <w:t>of Palestinian homes built in contravention of the</w:t>
      </w:r>
      <w:r w:rsidR="008E7E9E" w:rsidRPr="00DD1BF7">
        <w:rPr>
          <w:rFonts w:ascii="Arial" w:hAnsi="Arial" w:cs="Arial"/>
          <w:sz w:val="24"/>
          <w:szCs w:val="24"/>
        </w:rPr>
        <w:t xml:space="preserve"> unlawful</w:t>
      </w:r>
      <w:r w:rsidR="00975DB5" w:rsidRPr="00DD1BF7">
        <w:rPr>
          <w:rFonts w:ascii="Arial" w:hAnsi="Arial" w:cs="Arial"/>
          <w:sz w:val="24"/>
          <w:szCs w:val="24"/>
        </w:rPr>
        <w:t xml:space="preserve"> Israeli zoning regime</w:t>
      </w:r>
      <w:r w:rsidR="008E7E9E" w:rsidRPr="00DD1BF7">
        <w:rPr>
          <w:rFonts w:ascii="Arial" w:hAnsi="Arial" w:cs="Arial"/>
          <w:sz w:val="24"/>
          <w:szCs w:val="24"/>
        </w:rPr>
        <w:t>, r</w:t>
      </w:r>
      <w:r w:rsidR="00487021" w:rsidRPr="00DD1BF7">
        <w:rPr>
          <w:rFonts w:ascii="Arial" w:hAnsi="Arial" w:cs="Arial"/>
          <w:sz w:val="24"/>
          <w:szCs w:val="24"/>
        </w:rPr>
        <w:t>esulting in</w:t>
      </w:r>
      <w:r w:rsidR="00C37A87" w:rsidRPr="00DD1BF7">
        <w:rPr>
          <w:rFonts w:ascii="Arial" w:hAnsi="Arial" w:cs="Arial"/>
          <w:sz w:val="24"/>
          <w:szCs w:val="24"/>
        </w:rPr>
        <w:t xml:space="preserve"> some</w:t>
      </w:r>
      <w:r w:rsidR="00975DB5" w:rsidRPr="00DD1BF7">
        <w:rPr>
          <w:rFonts w:ascii="Arial" w:hAnsi="Arial" w:cs="Arial"/>
          <w:sz w:val="24"/>
          <w:szCs w:val="24"/>
        </w:rPr>
        <w:t xml:space="preserve"> 93,</w:t>
      </w:r>
      <w:r w:rsidR="008E7E9E" w:rsidRPr="00DD1BF7">
        <w:rPr>
          <w:rFonts w:ascii="Arial" w:hAnsi="Arial" w:cs="Arial"/>
          <w:sz w:val="24"/>
          <w:szCs w:val="24"/>
        </w:rPr>
        <w:t>0</w:t>
      </w:r>
      <w:r w:rsidR="00975DB5" w:rsidRPr="00DD1BF7">
        <w:rPr>
          <w:rFonts w:ascii="Arial" w:hAnsi="Arial" w:cs="Arial"/>
          <w:sz w:val="24"/>
          <w:szCs w:val="24"/>
        </w:rPr>
        <w:t>00</w:t>
      </w:r>
      <w:r w:rsidR="00487021" w:rsidRPr="00DD1BF7">
        <w:rPr>
          <w:rFonts w:ascii="Arial" w:hAnsi="Arial" w:cs="Arial"/>
          <w:sz w:val="24"/>
          <w:szCs w:val="24"/>
        </w:rPr>
        <w:t xml:space="preserve"> people</w:t>
      </w:r>
      <w:r w:rsidR="00975DB5" w:rsidRPr="00DD1BF7">
        <w:rPr>
          <w:rFonts w:ascii="Arial" w:hAnsi="Arial" w:cs="Arial"/>
          <w:sz w:val="24"/>
          <w:szCs w:val="24"/>
        </w:rPr>
        <w:t xml:space="preserve"> at risk of forced displacement </w:t>
      </w:r>
      <w:r w:rsidR="007A0ABD" w:rsidRPr="00DD1BF7">
        <w:rPr>
          <w:rFonts w:ascii="Arial" w:hAnsi="Arial" w:cs="Arial"/>
          <w:sz w:val="24"/>
          <w:szCs w:val="24"/>
        </w:rPr>
        <w:t xml:space="preserve">because they are </w:t>
      </w:r>
      <w:r w:rsidR="00487021" w:rsidRPr="00DD1BF7">
        <w:rPr>
          <w:rFonts w:ascii="Arial" w:hAnsi="Arial" w:cs="Arial"/>
          <w:sz w:val="24"/>
          <w:szCs w:val="24"/>
        </w:rPr>
        <w:t>un</w:t>
      </w:r>
      <w:r w:rsidR="007A0ABD" w:rsidRPr="00DD1BF7">
        <w:rPr>
          <w:rFonts w:ascii="Arial" w:hAnsi="Arial" w:cs="Arial"/>
          <w:sz w:val="24"/>
          <w:szCs w:val="24"/>
        </w:rPr>
        <w:t>able to obtain building permits</w:t>
      </w:r>
      <w:r w:rsidR="00975DB5" w:rsidRPr="00DD1BF7">
        <w:rPr>
          <w:rFonts w:ascii="Arial" w:hAnsi="Arial" w:cs="Arial"/>
          <w:sz w:val="24"/>
          <w:szCs w:val="24"/>
        </w:rPr>
        <w:t xml:space="preserve">. </w:t>
      </w:r>
    </w:p>
    <w:p w14:paraId="51064B1D" w14:textId="77777777" w:rsidR="00E64668" w:rsidRPr="00DD1BF7" w:rsidRDefault="00E64668" w:rsidP="00E64668">
      <w:pPr>
        <w:pStyle w:val="ListParagraph"/>
        <w:rPr>
          <w:rFonts w:ascii="Arial" w:hAnsi="Arial" w:cs="Arial"/>
          <w:bCs/>
          <w:sz w:val="24"/>
          <w:szCs w:val="24"/>
        </w:rPr>
      </w:pPr>
    </w:p>
    <w:p w14:paraId="797C74BE" w14:textId="77777777" w:rsidR="00637F0C" w:rsidRPr="00DD1BF7" w:rsidRDefault="001C58B3" w:rsidP="008E7E9E">
      <w:pPr>
        <w:pStyle w:val="ListParagraph"/>
        <w:numPr>
          <w:ilvl w:val="0"/>
          <w:numId w:val="12"/>
        </w:numPr>
        <w:spacing w:line="240" w:lineRule="auto"/>
        <w:ind w:left="426"/>
        <w:jc w:val="both"/>
        <w:rPr>
          <w:rFonts w:ascii="Arial" w:hAnsi="Arial" w:cs="Arial"/>
          <w:sz w:val="24"/>
          <w:szCs w:val="24"/>
        </w:rPr>
      </w:pPr>
      <w:r w:rsidRPr="00DD1BF7">
        <w:rPr>
          <w:rFonts w:ascii="Arial" w:hAnsi="Arial" w:cs="Arial"/>
          <w:bCs/>
          <w:sz w:val="24"/>
          <w:szCs w:val="24"/>
        </w:rPr>
        <w:t xml:space="preserve">Palestinians who build without </w:t>
      </w:r>
      <w:r w:rsidR="00B242D6" w:rsidRPr="00DD1BF7">
        <w:rPr>
          <w:rFonts w:ascii="Arial" w:hAnsi="Arial" w:cs="Arial"/>
          <w:bCs/>
          <w:sz w:val="24"/>
          <w:szCs w:val="24"/>
        </w:rPr>
        <w:t xml:space="preserve">Israeli-issued </w:t>
      </w:r>
      <w:r w:rsidRPr="00DD1BF7">
        <w:rPr>
          <w:rFonts w:ascii="Arial" w:hAnsi="Arial" w:cs="Arial"/>
          <w:bCs/>
          <w:sz w:val="24"/>
          <w:szCs w:val="24"/>
        </w:rPr>
        <w:t xml:space="preserve">permits live under the constant threat of demolitions and displacement, which often </w:t>
      </w:r>
      <w:r w:rsidR="00AE7A4A">
        <w:rPr>
          <w:rFonts w:ascii="Arial" w:hAnsi="Arial" w:cs="Arial"/>
          <w:bCs/>
          <w:sz w:val="24"/>
          <w:szCs w:val="24"/>
        </w:rPr>
        <w:t>take place</w:t>
      </w:r>
      <w:r w:rsidRPr="00DD1BF7">
        <w:rPr>
          <w:rFonts w:ascii="Arial" w:hAnsi="Arial" w:cs="Arial"/>
          <w:bCs/>
          <w:sz w:val="24"/>
          <w:szCs w:val="24"/>
        </w:rPr>
        <w:t xml:space="preserve">. </w:t>
      </w:r>
      <w:r w:rsidR="000B78E9" w:rsidRPr="00DD1BF7">
        <w:rPr>
          <w:rFonts w:ascii="Arial" w:hAnsi="Arial" w:cs="Arial"/>
          <w:bCs/>
          <w:sz w:val="24"/>
          <w:szCs w:val="24"/>
        </w:rPr>
        <w:t>The demolition of private property is generally illegal under international law, except in very specific circumstances</w:t>
      </w:r>
      <w:r w:rsidR="006334B0" w:rsidRPr="00DD1BF7">
        <w:rPr>
          <w:rFonts w:ascii="Arial" w:hAnsi="Arial" w:cs="Arial"/>
          <w:bCs/>
          <w:sz w:val="24"/>
          <w:szCs w:val="24"/>
        </w:rPr>
        <w:t xml:space="preserve"> of military necessity as defined by IHL</w:t>
      </w:r>
      <w:r w:rsidR="000B78E9" w:rsidRPr="00DD1BF7">
        <w:rPr>
          <w:rFonts w:ascii="Arial" w:hAnsi="Arial" w:cs="Arial"/>
          <w:bCs/>
          <w:sz w:val="24"/>
          <w:szCs w:val="24"/>
        </w:rPr>
        <w:t>.</w:t>
      </w:r>
      <w:r w:rsidR="00637F0C" w:rsidRPr="00DD1BF7">
        <w:rPr>
          <w:rFonts w:ascii="Arial" w:hAnsi="Arial" w:cs="Arial"/>
          <w:bCs/>
          <w:sz w:val="24"/>
          <w:szCs w:val="24"/>
        </w:rPr>
        <w:t xml:space="preserve"> The ICA prioritizes the demolitions </w:t>
      </w:r>
      <w:r w:rsidR="00AE7A4A">
        <w:rPr>
          <w:rFonts w:ascii="Arial" w:hAnsi="Arial" w:cs="Arial"/>
          <w:bCs/>
          <w:sz w:val="24"/>
          <w:szCs w:val="24"/>
        </w:rPr>
        <w:t xml:space="preserve">in selected areas that serve </w:t>
      </w:r>
      <w:r w:rsidR="00115A88" w:rsidRPr="00DD1BF7">
        <w:rPr>
          <w:rFonts w:ascii="Arial" w:hAnsi="Arial" w:cs="Arial"/>
          <w:sz w:val="24"/>
          <w:szCs w:val="24"/>
        </w:rPr>
        <w:t xml:space="preserve">to advance broader Israeli policies, many of which are in contravention of international law, </w:t>
      </w:r>
      <w:r w:rsidR="008E7E9E" w:rsidRPr="00DD1BF7">
        <w:rPr>
          <w:rFonts w:ascii="Arial" w:hAnsi="Arial" w:cs="Arial"/>
          <w:sz w:val="24"/>
          <w:szCs w:val="24"/>
        </w:rPr>
        <w:t>based on</w:t>
      </w:r>
      <w:r w:rsidR="00AE7A4A">
        <w:rPr>
          <w:rFonts w:ascii="Arial" w:hAnsi="Arial" w:cs="Arial"/>
          <w:sz w:val="24"/>
          <w:szCs w:val="24"/>
        </w:rPr>
        <w:t>. These include policies related to</w:t>
      </w:r>
      <w:r w:rsidR="00637F0C" w:rsidRPr="00DD1BF7">
        <w:rPr>
          <w:rFonts w:ascii="Arial" w:hAnsi="Arial" w:cs="Arial"/>
          <w:sz w:val="24"/>
          <w:szCs w:val="24"/>
        </w:rPr>
        <w:t xml:space="preserve"> proximity to settlements, the separation Wall, </w:t>
      </w:r>
      <w:r w:rsidR="00115A88" w:rsidRPr="00DD1BF7">
        <w:rPr>
          <w:rFonts w:ascii="Arial" w:hAnsi="Arial" w:cs="Arial"/>
          <w:sz w:val="24"/>
          <w:szCs w:val="24"/>
        </w:rPr>
        <w:t>location</w:t>
      </w:r>
      <w:r w:rsidR="00637F0C" w:rsidRPr="00DD1BF7">
        <w:rPr>
          <w:rFonts w:ascii="Arial" w:hAnsi="Arial" w:cs="Arial"/>
          <w:sz w:val="24"/>
          <w:szCs w:val="24"/>
        </w:rPr>
        <w:t xml:space="preserve"> on </w:t>
      </w:r>
      <w:r w:rsidR="00115A88" w:rsidRPr="00DD1BF7">
        <w:rPr>
          <w:rFonts w:ascii="Arial" w:hAnsi="Arial" w:cs="Arial"/>
          <w:i/>
          <w:sz w:val="24"/>
          <w:szCs w:val="24"/>
        </w:rPr>
        <w:t>‘</w:t>
      </w:r>
      <w:r w:rsidR="00637F0C" w:rsidRPr="00DD1BF7">
        <w:rPr>
          <w:rFonts w:ascii="Arial" w:hAnsi="Arial" w:cs="Arial"/>
          <w:i/>
          <w:sz w:val="24"/>
          <w:szCs w:val="24"/>
        </w:rPr>
        <w:t>state land</w:t>
      </w:r>
      <w:r w:rsidR="00115A88" w:rsidRPr="00DD1BF7">
        <w:rPr>
          <w:rFonts w:ascii="Arial" w:hAnsi="Arial" w:cs="Arial"/>
          <w:i/>
          <w:sz w:val="24"/>
          <w:szCs w:val="24"/>
        </w:rPr>
        <w:t>’</w:t>
      </w:r>
      <w:r w:rsidR="00115A88" w:rsidRPr="00DD1BF7">
        <w:rPr>
          <w:rFonts w:ascii="Arial" w:hAnsi="Arial" w:cs="Arial"/>
          <w:sz w:val="24"/>
          <w:szCs w:val="24"/>
        </w:rPr>
        <w:t>,</w:t>
      </w:r>
      <w:r w:rsidR="00115A88" w:rsidRPr="00DD1BF7">
        <w:rPr>
          <w:rStyle w:val="FootnoteReference"/>
          <w:rFonts w:ascii="Arial" w:hAnsi="Arial" w:cs="Arial"/>
          <w:sz w:val="24"/>
          <w:szCs w:val="24"/>
        </w:rPr>
        <w:footnoteReference w:id="8"/>
      </w:r>
      <w:r w:rsidR="00115A88" w:rsidRPr="00DD1BF7">
        <w:rPr>
          <w:rFonts w:ascii="Arial" w:hAnsi="Arial" w:cs="Arial"/>
          <w:sz w:val="24"/>
          <w:szCs w:val="24"/>
        </w:rPr>
        <w:t xml:space="preserve"> or major roads/infrastructure often serving only Israelis</w:t>
      </w:r>
      <w:r w:rsidR="00637F0C" w:rsidRPr="00DD1BF7">
        <w:rPr>
          <w:rFonts w:ascii="Arial" w:hAnsi="Arial" w:cs="Arial"/>
          <w:sz w:val="24"/>
          <w:szCs w:val="24"/>
        </w:rPr>
        <w:t>.</w:t>
      </w:r>
      <w:r w:rsidR="008B346F" w:rsidRPr="00DD1BF7">
        <w:rPr>
          <w:rStyle w:val="FootnoteReference"/>
          <w:rFonts w:ascii="Arial" w:hAnsi="Arial" w:cs="Arial"/>
          <w:sz w:val="24"/>
          <w:szCs w:val="24"/>
        </w:rPr>
        <w:footnoteReference w:id="9"/>
      </w:r>
      <w:r w:rsidR="00B47FAE" w:rsidRPr="00DD1BF7">
        <w:rPr>
          <w:rFonts w:ascii="Arial" w:hAnsi="Arial" w:cs="Arial"/>
          <w:sz w:val="24"/>
          <w:szCs w:val="24"/>
        </w:rPr>
        <w:t xml:space="preserve"> Over 60% of the Palestinian-owned structures demolished in 2011 were located in areas allocated</w:t>
      </w:r>
      <w:r w:rsidR="00B55261" w:rsidRPr="00DD1BF7">
        <w:rPr>
          <w:rFonts w:ascii="Arial" w:hAnsi="Arial" w:cs="Arial"/>
          <w:sz w:val="24"/>
          <w:szCs w:val="24"/>
        </w:rPr>
        <w:t xml:space="preserve"> to settlements.</w:t>
      </w:r>
      <w:r w:rsidR="00511AA1" w:rsidRPr="00DD1BF7">
        <w:rPr>
          <w:rStyle w:val="FootnoteReference"/>
          <w:rFonts w:ascii="Arial" w:hAnsi="Arial" w:cs="Arial"/>
          <w:sz w:val="24"/>
          <w:szCs w:val="24"/>
        </w:rPr>
        <w:footnoteReference w:id="10"/>
      </w:r>
      <w:r w:rsidR="00D90778" w:rsidRPr="00DD1BF7">
        <w:rPr>
          <w:rFonts w:ascii="Arial" w:hAnsi="Arial" w:cs="Arial"/>
          <w:sz w:val="24"/>
          <w:szCs w:val="24"/>
        </w:rPr>
        <w:t xml:space="preserve"> </w:t>
      </w:r>
    </w:p>
    <w:p w14:paraId="36979BBA" w14:textId="77777777" w:rsidR="00D90778" w:rsidRPr="00DD1BF7" w:rsidRDefault="00D90778" w:rsidP="00D90778">
      <w:pPr>
        <w:pStyle w:val="ListParagraph"/>
        <w:rPr>
          <w:rFonts w:ascii="Arial" w:hAnsi="Arial" w:cs="Arial"/>
          <w:sz w:val="24"/>
          <w:szCs w:val="24"/>
        </w:rPr>
      </w:pPr>
    </w:p>
    <w:p w14:paraId="713E0E67" w14:textId="77777777" w:rsidR="004F0266" w:rsidRPr="00DD1BF7" w:rsidRDefault="00616FB3" w:rsidP="004F0266">
      <w:pPr>
        <w:pStyle w:val="ListParagraph"/>
        <w:numPr>
          <w:ilvl w:val="0"/>
          <w:numId w:val="12"/>
        </w:numPr>
        <w:spacing w:line="240" w:lineRule="auto"/>
        <w:ind w:left="426"/>
        <w:jc w:val="both"/>
        <w:rPr>
          <w:rFonts w:ascii="Arial" w:hAnsi="Arial" w:cs="Arial"/>
          <w:sz w:val="24"/>
          <w:szCs w:val="24"/>
        </w:rPr>
      </w:pPr>
      <w:r w:rsidRPr="00DD1BF7">
        <w:rPr>
          <w:rFonts w:ascii="Arial" w:hAnsi="Arial" w:cs="Arial"/>
          <w:sz w:val="24"/>
          <w:szCs w:val="24"/>
        </w:rPr>
        <w:t xml:space="preserve">An example relating to the Wall is </w:t>
      </w:r>
      <w:proofErr w:type="spellStart"/>
      <w:r w:rsidRPr="00DD1BF7">
        <w:rPr>
          <w:rFonts w:ascii="Arial" w:hAnsi="Arial" w:cs="Arial"/>
          <w:sz w:val="24"/>
          <w:szCs w:val="24"/>
        </w:rPr>
        <w:t>Cremisan</w:t>
      </w:r>
      <w:proofErr w:type="spellEnd"/>
      <w:r w:rsidRPr="00DD1BF7">
        <w:rPr>
          <w:rFonts w:ascii="Arial" w:hAnsi="Arial" w:cs="Arial"/>
          <w:sz w:val="24"/>
          <w:szCs w:val="24"/>
        </w:rPr>
        <w:t xml:space="preserve"> Valley where the Israeli authorities are confiscating land for Wall construction through land seizure orders issued in 2006. Most of </w:t>
      </w:r>
      <w:proofErr w:type="spellStart"/>
      <w:r w:rsidRPr="00DD1BF7">
        <w:rPr>
          <w:rFonts w:ascii="Arial" w:hAnsi="Arial" w:cs="Arial"/>
          <w:sz w:val="24"/>
          <w:szCs w:val="24"/>
        </w:rPr>
        <w:t>Cremisan</w:t>
      </w:r>
      <w:proofErr w:type="spellEnd"/>
      <w:r w:rsidRPr="00DD1BF7">
        <w:rPr>
          <w:rFonts w:ascii="Arial" w:hAnsi="Arial" w:cs="Arial"/>
          <w:sz w:val="24"/>
          <w:szCs w:val="24"/>
        </w:rPr>
        <w:t xml:space="preserve">, which includes a Silesian convent and school, is located in Area C, but parts lie within the Jerusalem municipal boundaries. The planned route of the Wall would be built on </w:t>
      </w:r>
      <w:proofErr w:type="spellStart"/>
      <w:r w:rsidRPr="00DD1BF7">
        <w:rPr>
          <w:rFonts w:ascii="Arial" w:hAnsi="Arial" w:cs="Arial"/>
          <w:sz w:val="24"/>
          <w:szCs w:val="24"/>
        </w:rPr>
        <w:t>Cremisan’s</w:t>
      </w:r>
      <w:proofErr w:type="spellEnd"/>
      <w:r w:rsidRPr="00DD1BF7">
        <w:rPr>
          <w:rFonts w:ascii="Arial" w:hAnsi="Arial" w:cs="Arial"/>
          <w:sz w:val="24"/>
          <w:szCs w:val="24"/>
        </w:rPr>
        <w:t xml:space="preserve"> agricultural land, disconnecting the land from the school and the convent, resulting in agricultural losses and access restrictions. In 2010, the Silesian Sisters sought legal assistance to challenge the construction of the Wall and to demand the rerouting of the Wall so as not to deny access to basic services (education) nor livelihoods (agriculture). In October 2011, the ICA issued new seizure orders to the convent and other landowners in the area to construct the Wall in a way which will disconnect the convent from most of its agricultural land – supposedly because it is the less damaging option. An appeal </w:t>
      </w:r>
      <w:r w:rsidR="00AE7A4A" w:rsidRPr="00DD1BF7">
        <w:rPr>
          <w:rFonts w:ascii="Arial" w:hAnsi="Arial" w:cs="Arial"/>
          <w:sz w:val="24"/>
          <w:szCs w:val="24"/>
        </w:rPr>
        <w:t xml:space="preserve">to the Israeli Special Appeals Committee </w:t>
      </w:r>
      <w:r w:rsidRPr="00DD1BF7">
        <w:rPr>
          <w:rFonts w:ascii="Arial" w:hAnsi="Arial" w:cs="Arial"/>
          <w:sz w:val="24"/>
          <w:szCs w:val="24"/>
        </w:rPr>
        <w:t xml:space="preserve">against this route for land seizure in time of emergency was rejected in April 2013. Previous </w:t>
      </w:r>
      <w:r w:rsidR="008F3824">
        <w:rPr>
          <w:rFonts w:ascii="Arial" w:hAnsi="Arial" w:cs="Arial"/>
          <w:sz w:val="24"/>
          <w:szCs w:val="24"/>
        </w:rPr>
        <w:t>appeals against the route of the wall have also been unsuccessful, in fact</w:t>
      </w:r>
      <w:r w:rsidR="00A50459">
        <w:rPr>
          <w:rFonts w:ascii="Arial" w:hAnsi="Arial" w:cs="Arial"/>
          <w:sz w:val="24"/>
          <w:szCs w:val="24"/>
        </w:rPr>
        <w:t xml:space="preserve"> </w:t>
      </w:r>
      <w:r w:rsidR="008F3824">
        <w:rPr>
          <w:rFonts w:ascii="Arial" w:hAnsi="Arial" w:cs="Arial"/>
          <w:sz w:val="24"/>
          <w:szCs w:val="24"/>
        </w:rPr>
        <w:t xml:space="preserve">despite </w:t>
      </w:r>
      <w:r w:rsidR="00A50459">
        <w:rPr>
          <w:rFonts w:ascii="Arial" w:hAnsi="Arial" w:cs="Arial"/>
          <w:sz w:val="24"/>
          <w:szCs w:val="24"/>
        </w:rPr>
        <w:t>numerous</w:t>
      </w:r>
      <w:r w:rsidR="008F3824">
        <w:rPr>
          <w:rFonts w:ascii="Arial" w:hAnsi="Arial" w:cs="Arial"/>
          <w:sz w:val="24"/>
          <w:szCs w:val="24"/>
        </w:rPr>
        <w:t xml:space="preserve"> appeals the route of the wall has only been altered very slightly, despite the fact that its construction has sharply increas</w:t>
      </w:r>
      <w:r w:rsidR="002541EB">
        <w:rPr>
          <w:rFonts w:ascii="Arial" w:hAnsi="Arial" w:cs="Arial"/>
          <w:sz w:val="24"/>
          <w:szCs w:val="24"/>
        </w:rPr>
        <w:t>ed</w:t>
      </w:r>
      <w:r w:rsidR="008F3824">
        <w:rPr>
          <w:rFonts w:ascii="Arial" w:hAnsi="Arial" w:cs="Arial"/>
          <w:sz w:val="24"/>
          <w:szCs w:val="24"/>
        </w:rPr>
        <w:t xml:space="preserve"> Palestinian’s risks of displacement</w:t>
      </w:r>
      <w:r w:rsidRPr="00DD1BF7">
        <w:rPr>
          <w:rFonts w:ascii="Arial" w:hAnsi="Arial" w:cs="Arial"/>
          <w:sz w:val="24"/>
          <w:szCs w:val="24"/>
        </w:rPr>
        <w:t>. In its 2004 advisory opinion on the Wall, the International Court of Justice ruled that the route of the Wall, so long as it penetrates the West Bank, is illegal under international law.</w:t>
      </w:r>
    </w:p>
    <w:p w14:paraId="74BB6B78" w14:textId="77777777" w:rsidR="004F0266" w:rsidRPr="00DD1BF7" w:rsidRDefault="004F0266" w:rsidP="004F0266">
      <w:pPr>
        <w:pStyle w:val="ListParagraph"/>
        <w:spacing w:line="240" w:lineRule="auto"/>
        <w:ind w:left="426"/>
        <w:jc w:val="both"/>
        <w:rPr>
          <w:rFonts w:ascii="Arial" w:hAnsi="Arial" w:cs="Arial"/>
          <w:sz w:val="24"/>
          <w:szCs w:val="24"/>
          <w:highlight w:val="yellow"/>
        </w:rPr>
      </w:pPr>
    </w:p>
    <w:p w14:paraId="5516C3B8" w14:textId="77777777" w:rsidR="00217E49" w:rsidRPr="00DD1BF7" w:rsidRDefault="00F87217" w:rsidP="00217E49">
      <w:pPr>
        <w:pStyle w:val="ListParagraph"/>
        <w:numPr>
          <w:ilvl w:val="0"/>
          <w:numId w:val="12"/>
        </w:numPr>
        <w:spacing w:line="240" w:lineRule="auto"/>
        <w:ind w:left="426"/>
        <w:jc w:val="both"/>
        <w:rPr>
          <w:rFonts w:ascii="Arial" w:hAnsi="Arial" w:cs="Arial"/>
          <w:sz w:val="24"/>
          <w:szCs w:val="24"/>
        </w:rPr>
      </w:pPr>
      <w:r w:rsidRPr="00DD1BF7">
        <w:rPr>
          <w:rFonts w:ascii="Arial" w:hAnsi="Arial" w:cs="Arial"/>
          <w:bCs/>
          <w:sz w:val="24"/>
          <w:szCs w:val="24"/>
        </w:rPr>
        <w:t>D</w:t>
      </w:r>
      <w:r w:rsidR="00594CDF" w:rsidRPr="00DD1BF7">
        <w:rPr>
          <w:rFonts w:ascii="Arial" w:hAnsi="Arial" w:cs="Arial"/>
          <w:bCs/>
          <w:sz w:val="24"/>
          <w:szCs w:val="24"/>
        </w:rPr>
        <w:t xml:space="preserve">emolitions and subsequent forced displacement </w:t>
      </w:r>
      <w:r w:rsidRPr="00DD1BF7">
        <w:rPr>
          <w:rFonts w:ascii="Arial" w:hAnsi="Arial" w:cs="Arial"/>
          <w:bCs/>
          <w:sz w:val="24"/>
          <w:szCs w:val="24"/>
        </w:rPr>
        <w:t xml:space="preserve">continue to </w:t>
      </w:r>
      <w:r w:rsidR="00594CDF" w:rsidRPr="00DD1BF7">
        <w:rPr>
          <w:rFonts w:ascii="Arial" w:hAnsi="Arial" w:cs="Arial"/>
          <w:bCs/>
          <w:sz w:val="24"/>
          <w:szCs w:val="24"/>
        </w:rPr>
        <w:t xml:space="preserve">occur at </w:t>
      </w:r>
      <w:r w:rsidRPr="00DD1BF7">
        <w:rPr>
          <w:rFonts w:ascii="Arial" w:hAnsi="Arial" w:cs="Arial"/>
          <w:bCs/>
          <w:sz w:val="24"/>
          <w:szCs w:val="24"/>
        </w:rPr>
        <w:t>a worrying</w:t>
      </w:r>
      <w:r w:rsidR="00594CDF" w:rsidRPr="00DD1BF7">
        <w:rPr>
          <w:rFonts w:ascii="Arial" w:hAnsi="Arial" w:cs="Arial"/>
          <w:bCs/>
          <w:sz w:val="24"/>
          <w:szCs w:val="24"/>
        </w:rPr>
        <w:t xml:space="preserve"> rate.</w:t>
      </w:r>
      <w:r w:rsidR="00634904" w:rsidRPr="00DD1BF7">
        <w:rPr>
          <w:rFonts w:ascii="Arial" w:hAnsi="Arial" w:cs="Arial"/>
          <w:bCs/>
          <w:sz w:val="24"/>
          <w:szCs w:val="24"/>
        </w:rPr>
        <w:t xml:space="preserve"> </w:t>
      </w:r>
      <w:r w:rsidR="00597344" w:rsidRPr="00DD1BF7">
        <w:rPr>
          <w:rFonts w:ascii="Arial" w:hAnsi="Arial" w:cs="Arial"/>
          <w:bCs/>
          <w:sz w:val="24"/>
          <w:szCs w:val="24"/>
        </w:rPr>
        <w:t xml:space="preserve">In 2012, 604 Palestinian-owned structures were demolished in the West Bank, </w:t>
      </w:r>
      <w:r w:rsidR="00597344" w:rsidRPr="00DD1BF7">
        <w:rPr>
          <w:rFonts w:ascii="Arial" w:hAnsi="Arial" w:cs="Arial"/>
          <w:bCs/>
          <w:sz w:val="24"/>
          <w:szCs w:val="24"/>
        </w:rPr>
        <w:lastRenderedPageBreak/>
        <w:t>including East Jerusalem</w:t>
      </w:r>
      <w:r w:rsidR="004F0266" w:rsidRPr="00DD1BF7">
        <w:rPr>
          <w:rFonts w:ascii="Arial" w:hAnsi="Arial" w:cs="Arial"/>
          <w:bCs/>
          <w:sz w:val="24"/>
          <w:szCs w:val="24"/>
        </w:rPr>
        <w:t>, resulting</w:t>
      </w:r>
      <w:r w:rsidR="00597344" w:rsidRPr="00DD1BF7">
        <w:rPr>
          <w:rFonts w:ascii="Arial" w:hAnsi="Arial" w:cs="Arial"/>
          <w:bCs/>
          <w:sz w:val="24"/>
          <w:szCs w:val="24"/>
        </w:rPr>
        <w:t xml:space="preserve"> in the displacement of 886 people. The livelihoods of 4,100 others were adversely affected by demolitions in 2012.</w:t>
      </w:r>
      <w:r w:rsidR="00597344" w:rsidRPr="00DD1BF7">
        <w:rPr>
          <w:rStyle w:val="FootnoteReference"/>
          <w:rFonts w:ascii="Arial" w:hAnsi="Arial" w:cs="Arial"/>
          <w:bCs/>
          <w:sz w:val="24"/>
          <w:szCs w:val="24"/>
        </w:rPr>
        <w:t xml:space="preserve"> </w:t>
      </w:r>
      <w:r w:rsidR="00597344" w:rsidRPr="00DD1BF7">
        <w:rPr>
          <w:rStyle w:val="FootnoteReference"/>
          <w:rFonts w:ascii="Arial" w:hAnsi="Arial" w:cs="Arial"/>
          <w:bCs/>
          <w:sz w:val="24"/>
          <w:szCs w:val="24"/>
        </w:rPr>
        <w:footnoteReference w:id="11"/>
      </w:r>
      <w:r w:rsidR="00597344" w:rsidRPr="00DD1BF7">
        <w:rPr>
          <w:rFonts w:ascii="Arial" w:hAnsi="Arial" w:cs="Arial"/>
          <w:bCs/>
          <w:sz w:val="24"/>
          <w:szCs w:val="24"/>
        </w:rPr>
        <w:t xml:space="preserve"> </w:t>
      </w:r>
      <w:r w:rsidR="00634904" w:rsidRPr="00DD1BF7">
        <w:rPr>
          <w:rFonts w:ascii="Arial" w:hAnsi="Arial" w:cs="Arial"/>
          <w:bCs/>
          <w:sz w:val="24"/>
          <w:szCs w:val="24"/>
        </w:rPr>
        <w:t>In 2011, 1</w:t>
      </w:r>
      <w:r w:rsidR="00594CDF" w:rsidRPr="00DD1BF7">
        <w:rPr>
          <w:rFonts w:ascii="Arial" w:hAnsi="Arial" w:cs="Arial"/>
          <w:bCs/>
          <w:sz w:val="24"/>
          <w:szCs w:val="24"/>
        </w:rPr>
        <w:t>,</w:t>
      </w:r>
      <w:r w:rsidR="00634904" w:rsidRPr="00DD1BF7">
        <w:rPr>
          <w:rFonts w:ascii="Arial" w:hAnsi="Arial" w:cs="Arial"/>
          <w:bCs/>
          <w:sz w:val="24"/>
          <w:szCs w:val="24"/>
        </w:rPr>
        <w:t xml:space="preserve">233 </w:t>
      </w:r>
      <w:r w:rsidR="009E4BE5" w:rsidRPr="00DD1BF7">
        <w:rPr>
          <w:rFonts w:ascii="Arial" w:hAnsi="Arial" w:cs="Arial"/>
          <w:bCs/>
          <w:sz w:val="24"/>
          <w:szCs w:val="24"/>
        </w:rPr>
        <w:t>Palestinians</w:t>
      </w:r>
      <w:r w:rsidR="00634904" w:rsidRPr="00DD1BF7">
        <w:rPr>
          <w:rFonts w:ascii="Arial" w:hAnsi="Arial" w:cs="Arial"/>
          <w:bCs/>
          <w:sz w:val="24"/>
          <w:szCs w:val="24"/>
        </w:rPr>
        <w:t xml:space="preserve"> were forcibly displaced (139 as a direct result of settler violence and </w:t>
      </w:r>
      <w:r w:rsidR="00594CDF" w:rsidRPr="00DD1BF7">
        <w:rPr>
          <w:rFonts w:ascii="Arial" w:hAnsi="Arial" w:cs="Arial"/>
          <w:bCs/>
          <w:sz w:val="24"/>
          <w:szCs w:val="24"/>
        </w:rPr>
        <w:t>1,</w:t>
      </w:r>
      <w:r w:rsidR="00634904" w:rsidRPr="00DD1BF7">
        <w:rPr>
          <w:rFonts w:ascii="Arial" w:hAnsi="Arial" w:cs="Arial"/>
          <w:bCs/>
          <w:sz w:val="24"/>
          <w:szCs w:val="24"/>
        </w:rPr>
        <w:t xml:space="preserve">094 </w:t>
      </w:r>
      <w:r w:rsidR="009E4BE5" w:rsidRPr="00DD1BF7">
        <w:rPr>
          <w:rFonts w:ascii="Arial" w:hAnsi="Arial" w:cs="Arial"/>
          <w:bCs/>
          <w:sz w:val="24"/>
          <w:szCs w:val="24"/>
        </w:rPr>
        <w:t xml:space="preserve">because </w:t>
      </w:r>
      <w:r w:rsidR="00634904" w:rsidRPr="00DD1BF7">
        <w:rPr>
          <w:rFonts w:ascii="Arial" w:hAnsi="Arial" w:cs="Arial"/>
          <w:bCs/>
          <w:sz w:val="24"/>
          <w:szCs w:val="24"/>
        </w:rPr>
        <w:t>of demolitions)</w:t>
      </w:r>
      <w:r w:rsidR="00594CDF" w:rsidRPr="00DD1BF7">
        <w:rPr>
          <w:rFonts w:ascii="Arial" w:hAnsi="Arial" w:cs="Arial"/>
          <w:bCs/>
          <w:sz w:val="24"/>
          <w:szCs w:val="24"/>
        </w:rPr>
        <w:t>;</w:t>
      </w:r>
      <w:r w:rsidR="00634904" w:rsidRPr="00DD1BF7">
        <w:rPr>
          <w:rFonts w:ascii="Arial" w:hAnsi="Arial" w:cs="Arial"/>
          <w:bCs/>
          <w:sz w:val="24"/>
          <w:szCs w:val="24"/>
        </w:rPr>
        <w:t xml:space="preserve"> more than half of these </w:t>
      </w:r>
      <w:r w:rsidR="00597344" w:rsidRPr="00DD1BF7">
        <w:rPr>
          <w:rFonts w:ascii="Arial" w:hAnsi="Arial" w:cs="Arial"/>
          <w:bCs/>
          <w:sz w:val="24"/>
          <w:szCs w:val="24"/>
        </w:rPr>
        <w:t>we</w:t>
      </w:r>
      <w:r w:rsidR="00634904" w:rsidRPr="00DD1BF7">
        <w:rPr>
          <w:rFonts w:ascii="Arial" w:hAnsi="Arial" w:cs="Arial"/>
          <w:bCs/>
          <w:sz w:val="24"/>
          <w:szCs w:val="24"/>
        </w:rPr>
        <w:t>re children.</w:t>
      </w:r>
      <w:r w:rsidR="00597344" w:rsidRPr="00DD1BF7">
        <w:rPr>
          <w:rStyle w:val="FootnoteReference"/>
          <w:rFonts w:ascii="Arial" w:hAnsi="Arial" w:cs="Arial"/>
          <w:bCs/>
          <w:sz w:val="24"/>
          <w:szCs w:val="24"/>
        </w:rPr>
        <w:footnoteReference w:id="12"/>
      </w:r>
      <w:r w:rsidR="00634904" w:rsidRPr="00DD1BF7">
        <w:rPr>
          <w:rFonts w:ascii="Arial" w:hAnsi="Arial" w:cs="Arial"/>
          <w:bCs/>
          <w:sz w:val="24"/>
          <w:szCs w:val="24"/>
        </w:rPr>
        <w:t xml:space="preserve"> </w:t>
      </w:r>
      <w:r w:rsidR="00597344" w:rsidRPr="00DD1BF7">
        <w:rPr>
          <w:rFonts w:ascii="Arial" w:hAnsi="Arial" w:cs="Arial"/>
          <w:bCs/>
          <w:sz w:val="24"/>
          <w:szCs w:val="24"/>
        </w:rPr>
        <w:t>Demolitions in 2013 continue apace: by mid-September</w:t>
      </w:r>
      <w:r w:rsidR="00573821" w:rsidRPr="00DD1BF7">
        <w:rPr>
          <w:rFonts w:ascii="Arial" w:hAnsi="Arial" w:cs="Arial"/>
          <w:bCs/>
          <w:sz w:val="24"/>
          <w:szCs w:val="24"/>
        </w:rPr>
        <w:t xml:space="preserve">, </w:t>
      </w:r>
      <w:r w:rsidR="00215D20" w:rsidRPr="00DD1BF7">
        <w:rPr>
          <w:rFonts w:ascii="Arial" w:hAnsi="Arial" w:cs="Arial"/>
          <w:bCs/>
          <w:sz w:val="24"/>
          <w:szCs w:val="24"/>
        </w:rPr>
        <w:t>521</w:t>
      </w:r>
      <w:r w:rsidR="00634904" w:rsidRPr="00DD1BF7">
        <w:rPr>
          <w:rFonts w:ascii="Arial" w:hAnsi="Arial" w:cs="Arial"/>
          <w:bCs/>
          <w:sz w:val="24"/>
          <w:szCs w:val="24"/>
        </w:rPr>
        <w:t xml:space="preserve"> structures </w:t>
      </w:r>
      <w:r w:rsidR="009E4BE5" w:rsidRPr="00DD1BF7">
        <w:rPr>
          <w:rFonts w:ascii="Arial" w:hAnsi="Arial" w:cs="Arial"/>
          <w:bCs/>
          <w:sz w:val="24"/>
          <w:szCs w:val="24"/>
        </w:rPr>
        <w:t>were</w:t>
      </w:r>
      <w:r w:rsidR="00634904" w:rsidRPr="00DD1BF7">
        <w:rPr>
          <w:rFonts w:ascii="Arial" w:hAnsi="Arial" w:cs="Arial"/>
          <w:bCs/>
          <w:sz w:val="24"/>
          <w:szCs w:val="24"/>
        </w:rPr>
        <w:t xml:space="preserve"> demolished</w:t>
      </w:r>
      <w:r w:rsidR="00215D20" w:rsidRPr="00DD1BF7">
        <w:rPr>
          <w:rFonts w:ascii="Arial" w:hAnsi="Arial" w:cs="Arial"/>
          <w:bCs/>
          <w:sz w:val="24"/>
          <w:szCs w:val="24"/>
        </w:rPr>
        <w:t>,</w:t>
      </w:r>
      <w:r w:rsidR="00597344" w:rsidRPr="00DD1BF7">
        <w:rPr>
          <w:rFonts w:ascii="Arial" w:hAnsi="Arial" w:cs="Arial"/>
          <w:bCs/>
          <w:sz w:val="24"/>
          <w:szCs w:val="24"/>
        </w:rPr>
        <w:t xml:space="preserve"> and </w:t>
      </w:r>
      <w:r w:rsidR="00215D20" w:rsidRPr="00DD1BF7">
        <w:rPr>
          <w:rFonts w:ascii="Arial" w:hAnsi="Arial" w:cs="Arial"/>
          <w:bCs/>
          <w:sz w:val="24"/>
          <w:szCs w:val="24"/>
        </w:rPr>
        <w:t>862 Palestinians were forcibly displaced</w:t>
      </w:r>
      <w:r w:rsidR="00597344" w:rsidRPr="00DD1BF7">
        <w:rPr>
          <w:rFonts w:ascii="Arial" w:hAnsi="Arial" w:cs="Arial"/>
          <w:bCs/>
          <w:sz w:val="24"/>
          <w:szCs w:val="24"/>
        </w:rPr>
        <w:t>.</w:t>
      </w:r>
      <w:r w:rsidR="00215D20" w:rsidRPr="00DD1BF7">
        <w:rPr>
          <w:rStyle w:val="FootnoteReference"/>
          <w:rFonts w:ascii="Arial" w:hAnsi="Arial" w:cs="Arial"/>
          <w:bCs/>
          <w:sz w:val="24"/>
          <w:szCs w:val="24"/>
        </w:rPr>
        <w:footnoteReference w:id="13"/>
      </w:r>
    </w:p>
    <w:p w14:paraId="655F3DB0" w14:textId="77777777" w:rsidR="00217E49" w:rsidRPr="00DD1BF7" w:rsidRDefault="00217E49" w:rsidP="00217E49">
      <w:pPr>
        <w:pStyle w:val="ListParagraph"/>
        <w:rPr>
          <w:rFonts w:ascii="Arial" w:hAnsi="Arial" w:cs="Arial"/>
          <w:bCs/>
          <w:sz w:val="24"/>
          <w:szCs w:val="24"/>
        </w:rPr>
      </w:pPr>
    </w:p>
    <w:p w14:paraId="11CE6C98" w14:textId="77777777" w:rsidR="00F575A9" w:rsidRPr="00DD1BF7" w:rsidRDefault="000C26EF" w:rsidP="00F575A9">
      <w:pPr>
        <w:pStyle w:val="ListParagraph"/>
        <w:numPr>
          <w:ilvl w:val="0"/>
          <w:numId w:val="12"/>
        </w:numPr>
        <w:spacing w:line="240" w:lineRule="auto"/>
        <w:ind w:left="426"/>
        <w:jc w:val="both"/>
        <w:rPr>
          <w:rFonts w:ascii="Arial" w:hAnsi="Arial" w:cs="Arial"/>
          <w:sz w:val="24"/>
          <w:szCs w:val="24"/>
        </w:rPr>
      </w:pPr>
      <w:r w:rsidRPr="00DD1BF7">
        <w:rPr>
          <w:rFonts w:ascii="Arial" w:hAnsi="Arial" w:cs="Arial"/>
          <w:bCs/>
          <w:sz w:val="24"/>
          <w:szCs w:val="24"/>
        </w:rPr>
        <w:t>Approximately</w:t>
      </w:r>
      <w:r w:rsidR="00796FA8" w:rsidRPr="00DD1BF7">
        <w:rPr>
          <w:rFonts w:ascii="Arial" w:hAnsi="Arial" w:cs="Arial"/>
          <w:bCs/>
          <w:sz w:val="24"/>
          <w:szCs w:val="24"/>
        </w:rPr>
        <w:t xml:space="preserve"> 89 per</w:t>
      </w:r>
      <w:r w:rsidRPr="00DD1BF7">
        <w:rPr>
          <w:rFonts w:ascii="Arial" w:hAnsi="Arial" w:cs="Arial"/>
          <w:bCs/>
          <w:sz w:val="24"/>
          <w:szCs w:val="24"/>
        </w:rPr>
        <w:t xml:space="preserve">cent of demolitions </w:t>
      </w:r>
      <w:r w:rsidR="00796FA8" w:rsidRPr="00DD1BF7">
        <w:rPr>
          <w:rFonts w:ascii="Arial" w:hAnsi="Arial" w:cs="Arial"/>
          <w:bCs/>
          <w:sz w:val="24"/>
          <w:szCs w:val="24"/>
        </w:rPr>
        <w:t xml:space="preserve">in 2012 </w:t>
      </w:r>
      <w:r w:rsidRPr="00DD1BF7">
        <w:rPr>
          <w:rFonts w:ascii="Arial" w:hAnsi="Arial" w:cs="Arial"/>
          <w:bCs/>
          <w:sz w:val="24"/>
          <w:szCs w:val="24"/>
        </w:rPr>
        <w:t xml:space="preserve">occurred in </w:t>
      </w:r>
      <w:r w:rsidR="00796FA8" w:rsidRPr="00DD1BF7">
        <w:rPr>
          <w:rFonts w:ascii="Arial" w:hAnsi="Arial" w:cs="Arial"/>
          <w:bCs/>
          <w:sz w:val="24"/>
          <w:szCs w:val="24"/>
        </w:rPr>
        <w:t xml:space="preserve">already </w:t>
      </w:r>
      <w:r w:rsidRPr="00DD1BF7">
        <w:rPr>
          <w:rFonts w:ascii="Arial" w:hAnsi="Arial" w:cs="Arial"/>
          <w:bCs/>
          <w:sz w:val="24"/>
          <w:szCs w:val="24"/>
        </w:rPr>
        <w:t xml:space="preserve">vulnerable farming and herding communities in </w:t>
      </w:r>
      <w:r w:rsidR="00796FA8" w:rsidRPr="00DD1BF7">
        <w:rPr>
          <w:rFonts w:ascii="Arial" w:hAnsi="Arial" w:cs="Arial"/>
          <w:bCs/>
          <w:sz w:val="24"/>
          <w:szCs w:val="24"/>
        </w:rPr>
        <w:t>A</w:t>
      </w:r>
      <w:r w:rsidRPr="00DD1BF7">
        <w:rPr>
          <w:rFonts w:ascii="Arial" w:hAnsi="Arial" w:cs="Arial"/>
          <w:bCs/>
          <w:sz w:val="24"/>
          <w:szCs w:val="24"/>
        </w:rPr>
        <w:t>rea C who live in very basic structures (tents, tin shelters), and have little or no service infrastructure</w:t>
      </w:r>
      <w:r w:rsidR="00796FA8" w:rsidRPr="00DD1BF7">
        <w:rPr>
          <w:rFonts w:ascii="Arial" w:hAnsi="Arial" w:cs="Arial"/>
          <w:bCs/>
          <w:sz w:val="24"/>
          <w:szCs w:val="24"/>
        </w:rPr>
        <w:t>.</w:t>
      </w:r>
      <w:r w:rsidRPr="00DD1BF7">
        <w:rPr>
          <w:rStyle w:val="FootnoteReference"/>
          <w:rFonts w:ascii="Arial" w:hAnsi="Arial" w:cs="Arial"/>
          <w:bCs/>
          <w:sz w:val="24"/>
          <w:szCs w:val="24"/>
        </w:rPr>
        <w:footnoteReference w:id="14"/>
      </w:r>
      <w:r w:rsidR="00217E49" w:rsidRPr="00DD1BF7">
        <w:rPr>
          <w:rFonts w:ascii="Arial" w:hAnsi="Arial" w:cs="Arial"/>
          <w:bCs/>
          <w:sz w:val="24"/>
          <w:szCs w:val="24"/>
        </w:rPr>
        <w:t xml:space="preserve"> Bedouin and herding communities, who have often experienced multiple </w:t>
      </w:r>
      <w:proofErr w:type="gramStart"/>
      <w:r w:rsidR="00217E49" w:rsidRPr="00DD1BF7">
        <w:rPr>
          <w:rFonts w:ascii="Arial" w:hAnsi="Arial" w:cs="Arial"/>
          <w:bCs/>
          <w:sz w:val="24"/>
          <w:szCs w:val="24"/>
        </w:rPr>
        <w:t>displacement</w:t>
      </w:r>
      <w:proofErr w:type="gramEnd"/>
      <w:r w:rsidR="00217E49" w:rsidRPr="00DD1BF7">
        <w:rPr>
          <w:rFonts w:ascii="Arial" w:hAnsi="Arial" w:cs="Arial"/>
          <w:bCs/>
          <w:sz w:val="24"/>
          <w:szCs w:val="24"/>
        </w:rPr>
        <w:t xml:space="preserve"> in the past, are disproportionately targeted.</w:t>
      </w:r>
    </w:p>
    <w:p w14:paraId="3728CD06" w14:textId="77777777" w:rsidR="00F575A9" w:rsidRPr="00DD1BF7" w:rsidRDefault="00F575A9" w:rsidP="00F575A9">
      <w:pPr>
        <w:pStyle w:val="ListParagraph"/>
        <w:rPr>
          <w:rFonts w:ascii="Arial" w:hAnsi="Arial" w:cs="Arial"/>
          <w:bCs/>
          <w:sz w:val="24"/>
          <w:szCs w:val="24"/>
        </w:rPr>
      </w:pPr>
    </w:p>
    <w:p w14:paraId="334E35CC" w14:textId="77777777" w:rsidR="00AA2007" w:rsidRPr="00DD1BF7" w:rsidRDefault="00AA2007" w:rsidP="00F575A9">
      <w:pPr>
        <w:pStyle w:val="ListParagraph"/>
        <w:numPr>
          <w:ilvl w:val="0"/>
          <w:numId w:val="12"/>
        </w:numPr>
        <w:spacing w:line="240" w:lineRule="auto"/>
        <w:ind w:left="426"/>
        <w:jc w:val="both"/>
        <w:rPr>
          <w:rFonts w:ascii="Arial" w:hAnsi="Arial" w:cs="Arial"/>
          <w:sz w:val="24"/>
          <w:szCs w:val="24"/>
        </w:rPr>
      </w:pPr>
      <w:r w:rsidRPr="00DD1BF7">
        <w:rPr>
          <w:rFonts w:ascii="Arial" w:hAnsi="Arial" w:cs="Arial"/>
          <w:bCs/>
          <w:sz w:val="24"/>
          <w:szCs w:val="24"/>
        </w:rPr>
        <w:t>Demolitions in East Jerusalem resumed in the last quarter of 2011. This overturns a ‘freeze’ since 2010 by the Jerusalem Municipality, which was generally assumed to be the result of international pressure not to jeopardize the political balance in Jerusalem.</w:t>
      </w:r>
      <w:r w:rsidR="00217E49" w:rsidRPr="00DD1BF7">
        <w:rPr>
          <w:rFonts w:ascii="Arial" w:hAnsi="Arial" w:cs="Arial"/>
          <w:bCs/>
          <w:sz w:val="24"/>
          <w:szCs w:val="24"/>
        </w:rPr>
        <w:t xml:space="preserve"> In 2012, 64 structures in East Jerusalem were demolished.</w:t>
      </w:r>
      <w:r w:rsidR="00E22148" w:rsidRPr="00DD1BF7">
        <w:rPr>
          <w:rStyle w:val="FootnoteReference"/>
          <w:rFonts w:ascii="Arial" w:hAnsi="Arial" w:cs="Arial"/>
          <w:bCs/>
          <w:sz w:val="24"/>
          <w:szCs w:val="24"/>
        </w:rPr>
        <w:footnoteReference w:id="15"/>
      </w:r>
      <w:r w:rsidR="00217E49" w:rsidRPr="00DD1BF7">
        <w:rPr>
          <w:rFonts w:ascii="Arial" w:hAnsi="Arial" w:cs="Arial"/>
          <w:bCs/>
          <w:sz w:val="24"/>
          <w:szCs w:val="24"/>
        </w:rPr>
        <w:t xml:space="preserve"> </w:t>
      </w:r>
      <w:r w:rsidR="00E22148" w:rsidRPr="00DD1BF7">
        <w:rPr>
          <w:rFonts w:ascii="Arial" w:hAnsi="Arial" w:cs="Arial"/>
          <w:bCs/>
          <w:sz w:val="24"/>
          <w:szCs w:val="24"/>
        </w:rPr>
        <w:t>Of these, 15</w:t>
      </w:r>
      <w:r w:rsidR="00217E49" w:rsidRPr="00DD1BF7">
        <w:rPr>
          <w:rFonts w:ascii="Arial" w:hAnsi="Arial" w:cs="Arial"/>
          <w:bCs/>
          <w:sz w:val="24"/>
          <w:szCs w:val="24"/>
        </w:rPr>
        <w:t xml:space="preserve"> were self-demolitions carried out by Palestinian families that had received demolition orders from Israeli authorities.</w:t>
      </w:r>
      <w:r w:rsidR="00217E49" w:rsidRPr="00DD1BF7">
        <w:rPr>
          <w:rStyle w:val="FootnoteReference"/>
          <w:rFonts w:ascii="Arial" w:hAnsi="Arial" w:cs="Arial"/>
          <w:bCs/>
          <w:sz w:val="24"/>
          <w:szCs w:val="24"/>
        </w:rPr>
        <w:footnoteReference w:id="16"/>
      </w:r>
      <w:r w:rsidR="00E22148" w:rsidRPr="00DD1BF7">
        <w:rPr>
          <w:rFonts w:ascii="Arial" w:hAnsi="Arial" w:cs="Arial"/>
          <w:bCs/>
          <w:sz w:val="24"/>
          <w:szCs w:val="24"/>
        </w:rPr>
        <w:t xml:space="preserve"> One of the reasons for self-demolitions is that people are unable to pay high fines imposed for building without a permit.</w:t>
      </w:r>
    </w:p>
    <w:p w14:paraId="5A72AC0C" w14:textId="77777777" w:rsidR="009D23CD" w:rsidRPr="00DD1BF7" w:rsidRDefault="009D23CD" w:rsidP="009D23CD">
      <w:pPr>
        <w:pStyle w:val="ListParagraph"/>
        <w:spacing w:line="240" w:lineRule="auto"/>
        <w:ind w:left="426"/>
        <w:jc w:val="both"/>
        <w:rPr>
          <w:rFonts w:ascii="Arial" w:hAnsi="Arial" w:cs="Arial"/>
          <w:bCs/>
          <w:sz w:val="24"/>
          <w:szCs w:val="24"/>
        </w:rPr>
      </w:pPr>
    </w:p>
    <w:p w14:paraId="7C3F397F" w14:textId="77777777" w:rsidR="00F61204" w:rsidRPr="00DD1BF7" w:rsidRDefault="00634904" w:rsidP="008E7E9E">
      <w:pPr>
        <w:pStyle w:val="ListParagraph"/>
        <w:numPr>
          <w:ilvl w:val="0"/>
          <w:numId w:val="12"/>
        </w:numPr>
        <w:spacing w:line="240" w:lineRule="auto"/>
        <w:ind w:left="426"/>
        <w:jc w:val="both"/>
        <w:rPr>
          <w:rFonts w:ascii="Arial" w:hAnsi="Arial" w:cs="Arial"/>
          <w:sz w:val="24"/>
          <w:szCs w:val="24"/>
        </w:rPr>
      </w:pPr>
      <w:r w:rsidRPr="00DD1BF7">
        <w:rPr>
          <w:rFonts w:ascii="Arial" w:hAnsi="Arial" w:cs="Arial"/>
          <w:bCs/>
          <w:sz w:val="24"/>
          <w:szCs w:val="24"/>
        </w:rPr>
        <w:t xml:space="preserve">While demolitions </w:t>
      </w:r>
      <w:r w:rsidR="009D23CD" w:rsidRPr="00DD1BF7">
        <w:rPr>
          <w:rFonts w:ascii="Arial" w:hAnsi="Arial" w:cs="Arial"/>
          <w:bCs/>
          <w:sz w:val="24"/>
          <w:szCs w:val="24"/>
        </w:rPr>
        <w:t>are</w:t>
      </w:r>
      <w:r w:rsidRPr="00DD1BF7">
        <w:rPr>
          <w:rFonts w:ascii="Arial" w:hAnsi="Arial" w:cs="Arial"/>
          <w:bCs/>
          <w:sz w:val="24"/>
          <w:szCs w:val="24"/>
        </w:rPr>
        <w:t xml:space="preserve"> probably the most direct cause of displacement, there is an intricate set of triggers at play</w:t>
      </w:r>
      <w:r w:rsidR="00A670CF" w:rsidRPr="00DD1BF7">
        <w:rPr>
          <w:rFonts w:ascii="Arial" w:hAnsi="Arial" w:cs="Arial"/>
          <w:bCs/>
          <w:sz w:val="24"/>
          <w:szCs w:val="24"/>
        </w:rPr>
        <w:t>.</w:t>
      </w:r>
      <w:r w:rsidRPr="00DD1BF7">
        <w:rPr>
          <w:rFonts w:ascii="Arial" w:hAnsi="Arial" w:cs="Arial"/>
          <w:bCs/>
          <w:sz w:val="24"/>
          <w:szCs w:val="24"/>
        </w:rPr>
        <w:t xml:space="preserve"> </w:t>
      </w:r>
      <w:r w:rsidR="00A670CF" w:rsidRPr="00DD1BF7">
        <w:rPr>
          <w:rFonts w:ascii="Arial" w:hAnsi="Arial" w:cs="Arial"/>
          <w:bCs/>
          <w:sz w:val="24"/>
          <w:szCs w:val="24"/>
        </w:rPr>
        <w:t>U</w:t>
      </w:r>
      <w:r w:rsidRPr="00DD1BF7">
        <w:rPr>
          <w:rFonts w:ascii="Arial" w:hAnsi="Arial" w:cs="Arial"/>
          <w:bCs/>
          <w:sz w:val="24"/>
          <w:szCs w:val="24"/>
        </w:rPr>
        <w:t xml:space="preserve">sually, people suffering from demolitions also have difficulties </w:t>
      </w:r>
      <w:r w:rsidR="008F3824">
        <w:rPr>
          <w:rFonts w:ascii="Arial" w:hAnsi="Arial" w:cs="Arial"/>
          <w:bCs/>
          <w:sz w:val="24"/>
          <w:szCs w:val="24"/>
        </w:rPr>
        <w:t>accessing</w:t>
      </w:r>
      <w:r w:rsidR="008F3824" w:rsidRPr="00DD1BF7">
        <w:rPr>
          <w:rFonts w:ascii="Arial" w:hAnsi="Arial" w:cs="Arial"/>
          <w:bCs/>
          <w:sz w:val="24"/>
          <w:szCs w:val="24"/>
        </w:rPr>
        <w:t xml:space="preserve"> </w:t>
      </w:r>
      <w:r w:rsidRPr="00DD1BF7">
        <w:rPr>
          <w:rFonts w:ascii="Arial" w:hAnsi="Arial" w:cs="Arial"/>
          <w:bCs/>
          <w:sz w:val="24"/>
          <w:szCs w:val="24"/>
        </w:rPr>
        <w:t xml:space="preserve">basic services, live in substandard </w:t>
      </w:r>
      <w:r w:rsidR="008A09D0" w:rsidRPr="00DD1BF7">
        <w:rPr>
          <w:rFonts w:ascii="Arial" w:hAnsi="Arial" w:cs="Arial"/>
          <w:bCs/>
          <w:sz w:val="24"/>
          <w:szCs w:val="24"/>
        </w:rPr>
        <w:t>housing</w:t>
      </w:r>
      <w:r w:rsidRPr="00DD1BF7">
        <w:rPr>
          <w:rFonts w:ascii="Arial" w:hAnsi="Arial" w:cs="Arial"/>
          <w:bCs/>
          <w:sz w:val="24"/>
          <w:szCs w:val="24"/>
        </w:rPr>
        <w:t>, see their movements restricted</w:t>
      </w:r>
      <w:r w:rsidR="008A09D0" w:rsidRPr="00DD1BF7">
        <w:rPr>
          <w:rFonts w:ascii="Arial" w:hAnsi="Arial" w:cs="Arial"/>
          <w:bCs/>
          <w:sz w:val="24"/>
          <w:szCs w:val="24"/>
        </w:rPr>
        <w:t>, have difficulties making a livelihood,</w:t>
      </w:r>
      <w:r w:rsidRPr="00DD1BF7">
        <w:rPr>
          <w:rFonts w:ascii="Arial" w:hAnsi="Arial" w:cs="Arial"/>
          <w:bCs/>
          <w:sz w:val="24"/>
          <w:szCs w:val="24"/>
        </w:rPr>
        <w:t xml:space="preserve"> </w:t>
      </w:r>
      <w:r w:rsidR="008A09D0" w:rsidRPr="00DD1BF7">
        <w:rPr>
          <w:rFonts w:ascii="Arial" w:hAnsi="Arial" w:cs="Arial"/>
          <w:bCs/>
          <w:sz w:val="24"/>
          <w:szCs w:val="24"/>
        </w:rPr>
        <w:t>and</w:t>
      </w:r>
      <w:r w:rsidRPr="00DD1BF7">
        <w:rPr>
          <w:rFonts w:ascii="Arial" w:hAnsi="Arial" w:cs="Arial"/>
          <w:bCs/>
          <w:sz w:val="24"/>
          <w:szCs w:val="24"/>
        </w:rPr>
        <w:t xml:space="preserve"> suffer from settler or military harassment.</w:t>
      </w:r>
      <w:r w:rsidR="008A09D0" w:rsidRPr="00DD1BF7">
        <w:rPr>
          <w:rFonts w:ascii="Arial" w:hAnsi="Arial" w:cs="Arial"/>
          <w:bCs/>
          <w:sz w:val="24"/>
          <w:szCs w:val="24"/>
        </w:rPr>
        <w:t xml:space="preserve"> </w:t>
      </w:r>
      <w:r w:rsidR="00662F11" w:rsidRPr="00DD1BF7">
        <w:rPr>
          <w:rFonts w:ascii="Arial" w:hAnsi="Arial" w:cs="Arial"/>
          <w:bCs/>
          <w:sz w:val="24"/>
          <w:szCs w:val="24"/>
        </w:rPr>
        <w:t xml:space="preserve">For example, </w:t>
      </w:r>
      <w:r w:rsidR="00F61204" w:rsidRPr="00DD1BF7">
        <w:rPr>
          <w:rFonts w:ascii="Arial" w:hAnsi="Arial" w:cs="Arial"/>
          <w:bCs/>
          <w:sz w:val="24"/>
          <w:szCs w:val="24"/>
        </w:rPr>
        <w:t>t</w:t>
      </w:r>
      <w:r w:rsidR="002225FC" w:rsidRPr="00DD1BF7">
        <w:rPr>
          <w:rFonts w:ascii="Arial" w:hAnsi="Arial" w:cs="Arial"/>
          <w:bCs/>
          <w:sz w:val="24"/>
          <w:szCs w:val="24"/>
        </w:rPr>
        <w:t xml:space="preserve">he permit regime instituted by Israeli authorities </w:t>
      </w:r>
      <w:r w:rsidR="00F61204" w:rsidRPr="00DD1BF7">
        <w:rPr>
          <w:rFonts w:ascii="Arial" w:hAnsi="Arial" w:cs="Arial"/>
          <w:bCs/>
          <w:sz w:val="24"/>
          <w:szCs w:val="24"/>
        </w:rPr>
        <w:t>requires</w:t>
      </w:r>
      <w:r w:rsidR="002225FC" w:rsidRPr="00DD1BF7">
        <w:rPr>
          <w:rFonts w:ascii="Arial" w:hAnsi="Arial" w:cs="Arial"/>
          <w:bCs/>
          <w:sz w:val="24"/>
          <w:szCs w:val="24"/>
        </w:rPr>
        <w:t xml:space="preserve"> Palestinians to obtain permits from the Israeli army to enter certain areas of oPt, which have been declared off-limits to </w:t>
      </w:r>
      <w:r w:rsidR="00662F11" w:rsidRPr="00DD1BF7">
        <w:rPr>
          <w:rFonts w:ascii="Arial" w:hAnsi="Arial" w:cs="Arial"/>
          <w:bCs/>
          <w:sz w:val="24"/>
          <w:szCs w:val="24"/>
        </w:rPr>
        <w:t>them</w:t>
      </w:r>
      <w:r w:rsidR="002225FC" w:rsidRPr="00DD1BF7">
        <w:rPr>
          <w:rFonts w:ascii="Arial" w:hAnsi="Arial" w:cs="Arial"/>
          <w:bCs/>
          <w:sz w:val="24"/>
          <w:szCs w:val="24"/>
        </w:rPr>
        <w:t>. These areas include almost 95</w:t>
      </w:r>
      <w:r w:rsidR="00F61204" w:rsidRPr="00DD1BF7">
        <w:rPr>
          <w:rFonts w:ascii="Arial" w:hAnsi="Arial" w:cs="Arial"/>
          <w:bCs/>
          <w:sz w:val="24"/>
          <w:szCs w:val="24"/>
        </w:rPr>
        <w:t>%</w:t>
      </w:r>
      <w:r w:rsidR="002225FC" w:rsidRPr="00DD1BF7">
        <w:rPr>
          <w:rFonts w:ascii="Arial" w:hAnsi="Arial" w:cs="Arial"/>
          <w:bCs/>
          <w:sz w:val="24"/>
          <w:szCs w:val="24"/>
        </w:rPr>
        <w:t xml:space="preserve"> of the Jordan Valley, the ‘Seam Zone’ area between the Wall and the 1949 Armistice ‘Green Line’, and all of the settlement areas and land reserved for settlement construction. Only Palestinians who are able to prove permanent residency in these areas </w:t>
      </w:r>
      <w:r w:rsidR="00662F11" w:rsidRPr="00DD1BF7">
        <w:rPr>
          <w:rFonts w:ascii="Arial" w:hAnsi="Arial" w:cs="Arial"/>
          <w:bCs/>
          <w:sz w:val="24"/>
          <w:szCs w:val="24"/>
        </w:rPr>
        <w:t>can</w:t>
      </w:r>
      <w:r w:rsidR="002225FC" w:rsidRPr="00DD1BF7">
        <w:rPr>
          <w:rFonts w:ascii="Arial" w:hAnsi="Arial" w:cs="Arial"/>
          <w:bCs/>
          <w:sz w:val="24"/>
          <w:szCs w:val="24"/>
        </w:rPr>
        <w:t xml:space="preserve"> obtain permits allow</w:t>
      </w:r>
      <w:r w:rsidR="00662F11" w:rsidRPr="00DD1BF7">
        <w:rPr>
          <w:rFonts w:ascii="Arial" w:hAnsi="Arial" w:cs="Arial"/>
          <w:bCs/>
          <w:sz w:val="24"/>
          <w:szCs w:val="24"/>
        </w:rPr>
        <w:t>ing</w:t>
      </w:r>
      <w:r w:rsidR="002225FC" w:rsidRPr="00DD1BF7">
        <w:rPr>
          <w:rFonts w:ascii="Arial" w:hAnsi="Arial" w:cs="Arial"/>
          <w:bCs/>
          <w:sz w:val="24"/>
          <w:szCs w:val="24"/>
        </w:rPr>
        <w:t xml:space="preserve"> them to continue to access their own homes and land. </w:t>
      </w:r>
      <w:r w:rsidR="00F61204" w:rsidRPr="00DD1BF7">
        <w:rPr>
          <w:rFonts w:ascii="Arial" w:hAnsi="Arial" w:cs="Arial"/>
          <w:sz w:val="24"/>
          <w:szCs w:val="24"/>
        </w:rPr>
        <w:t>The permit regime is non-transparent, arbitrary and bureaucrati</w:t>
      </w:r>
      <w:r w:rsidR="00662F11" w:rsidRPr="00DD1BF7">
        <w:rPr>
          <w:rFonts w:ascii="Arial" w:hAnsi="Arial" w:cs="Arial"/>
          <w:sz w:val="24"/>
          <w:szCs w:val="24"/>
        </w:rPr>
        <w:t>c</w:t>
      </w:r>
      <w:r w:rsidR="00F61204" w:rsidRPr="00DD1BF7">
        <w:rPr>
          <w:rFonts w:ascii="Arial" w:hAnsi="Arial" w:cs="Arial"/>
          <w:sz w:val="24"/>
          <w:szCs w:val="24"/>
        </w:rPr>
        <w:t>, requiring multiple applications for continued access, while applications are not always successful.</w:t>
      </w:r>
      <w:r w:rsidR="00662F11" w:rsidRPr="00DD1BF7">
        <w:rPr>
          <w:rFonts w:ascii="Arial" w:hAnsi="Arial" w:cs="Arial"/>
          <w:sz w:val="24"/>
          <w:szCs w:val="24"/>
        </w:rPr>
        <w:t xml:space="preserve"> W</w:t>
      </w:r>
      <w:r w:rsidR="00F61204" w:rsidRPr="00DD1BF7">
        <w:rPr>
          <w:rFonts w:ascii="Arial" w:hAnsi="Arial" w:cs="Arial"/>
          <w:sz w:val="24"/>
          <w:szCs w:val="24"/>
        </w:rPr>
        <w:t xml:space="preserve">hile Israel has increased the land subject to the regime in the Seam Zone by 30% </w:t>
      </w:r>
      <w:r w:rsidR="00D07B02" w:rsidRPr="00DD1BF7">
        <w:rPr>
          <w:rFonts w:ascii="Arial" w:hAnsi="Arial" w:cs="Arial"/>
          <w:sz w:val="24"/>
          <w:szCs w:val="24"/>
        </w:rPr>
        <w:t xml:space="preserve">between </w:t>
      </w:r>
      <w:r w:rsidR="00F61204" w:rsidRPr="00DD1BF7">
        <w:rPr>
          <w:rFonts w:ascii="Arial" w:hAnsi="Arial" w:cs="Arial"/>
          <w:sz w:val="24"/>
          <w:szCs w:val="24"/>
        </w:rPr>
        <w:t xml:space="preserve">2007 </w:t>
      </w:r>
      <w:r w:rsidR="00D07B02" w:rsidRPr="00DD1BF7">
        <w:rPr>
          <w:rFonts w:ascii="Arial" w:hAnsi="Arial" w:cs="Arial"/>
          <w:sz w:val="24"/>
          <w:szCs w:val="24"/>
        </w:rPr>
        <w:t>and</w:t>
      </w:r>
      <w:r w:rsidR="00F61204" w:rsidRPr="00DD1BF7">
        <w:rPr>
          <w:rFonts w:ascii="Arial" w:hAnsi="Arial" w:cs="Arial"/>
          <w:sz w:val="24"/>
          <w:szCs w:val="24"/>
        </w:rPr>
        <w:t xml:space="preserve"> 2011, there has been an 87</w:t>
      </w:r>
      <w:r w:rsidR="00D07B02" w:rsidRPr="00DD1BF7">
        <w:rPr>
          <w:rFonts w:ascii="Arial" w:hAnsi="Arial" w:cs="Arial"/>
          <w:sz w:val="24"/>
          <w:szCs w:val="24"/>
        </w:rPr>
        <w:t>%</w:t>
      </w:r>
      <w:r w:rsidR="00F61204" w:rsidRPr="00DD1BF7">
        <w:rPr>
          <w:rFonts w:ascii="Arial" w:hAnsi="Arial" w:cs="Arial"/>
          <w:sz w:val="24"/>
          <w:szCs w:val="24"/>
        </w:rPr>
        <w:t xml:space="preserve"> decrease in the number of permits issued.</w:t>
      </w:r>
      <w:r w:rsidR="00F61204" w:rsidRPr="00DD1BF7">
        <w:rPr>
          <w:rFonts w:ascii="Arial" w:hAnsi="Arial" w:cs="Arial"/>
          <w:sz w:val="24"/>
          <w:szCs w:val="24"/>
          <w:vertAlign w:val="superscript"/>
        </w:rPr>
        <w:footnoteReference w:id="17"/>
      </w:r>
      <w:r w:rsidR="00F61204" w:rsidRPr="00DD1BF7">
        <w:rPr>
          <w:rFonts w:ascii="Arial" w:hAnsi="Arial" w:cs="Arial"/>
          <w:sz w:val="24"/>
          <w:szCs w:val="24"/>
        </w:rPr>
        <w:t xml:space="preserve"> In April 2011, the Israeli High Court </w:t>
      </w:r>
      <w:r w:rsidR="00F61204" w:rsidRPr="00DD1BF7">
        <w:rPr>
          <w:rFonts w:ascii="Arial" w:hAnsi="Arial" w:cs="Arial"/>
          <w:sz w:val="24"/>
          <w:szCs w:val="24"/>
        </w:rPr>
        <w:lastRenderedPageBreak/>
        <w:t>rejected a legal challenge against the legality of the permit regime, effectively uphol</w:t>
      </w:r>
      <w:r w:rsidR="00D07B02" w:rsidRPr="00DD1BF7">
        <w:rPr>
          <w:rFonts w:ascii="Arial" w:hAnsi="Arial" w:cs="Arial"/>
          <w:sz w:val="24"/>
          <w:szCs w:val="24"/>
        </w:rPr>
        <w:t>ding this discriminatory system,</w:t>
      </w:r>
      <w:r w:rsidR="00F61204" w:rsidRPr="00DD1BF7">
        <w:rPr>
          <w:rFonts w:ascii="Arial" w:hAnsi="Arial" w:cs="Arial"/>
          <w:sz w:val="24"/>
          <w:szCs w:val="24"/>
          <w:vertAlign w:val="superscript"/>
        </w:rPr>
        <w:footnoteReference w:id="18"/>
      </w:r>
      <w:r w:rsidR="00D07B02" w:rsidRPr="00DD1BF7">
        <w:rPr>
          <w:rFonts w:ascii="Arial" w:hAnsi="Arial" w:cs="Arial"/>
          <w:sz w:val="24"/>
          <w:szCs w:val="24"/>
        </w:rPr>
        <w:t xml:space="preserve"> which violates many Palestinians’ basic human rights.</w:t>
      </w:r>
      <w:r w:rsidR="00F61204" w:rsidRPr="00DD1BF7">
        <w:rPr>
          <w:rFonts w:ascii="Arial" w:hAnsi="Arial" w:cs="Arial"/>
          <w:sz w:val="24"/>
          <w:szCs w:val="24"/>
        </w:rPr>
        <w:t xml:space="preserve"> This regime has resulted in an increasing number of Palestinians being unable to access their homes</w:t>
      </w:r>
      <w:r w:rsidR="00872C38" w:rsidRPr="00DD1BF7">
        <w:rPr>
          <w:rFonts w:ascii="Arial" w:hAnsi="Arial" w:cs="Arial"/>
          <w:sz w:val="24"/>
          <w:szCs w:val="24"/>
        </w:rPr>
        <w:t xml:space="preserve"> and</w:t>
      </w:r>
      <w:r w:rsidR="00F61204" w:rsidRPr="00DD1BF7">
        <w:rPr>
          <w:rFonts w:ascii="Arial" w:hAnsi="Arial" w:cs="Arial"/>
          <w:sz w:val="24"/>
          <w:szCs w:val="24"/>
        </w:rPr>
        <w:t xml:space="preserve"> land</w:t>
      </w:r>
      <w:r w:rsidR="00872C38" w:rsidRPr="00DD1BF7">
        <w:rPr>
          <w:rFonts w:ascii="Arial" w:hAnsi="Arial" w:cs="Arial"/>
          <w:sz w:val="24"/>
          <w:szCs w:val="24"/>
        </w:rPr>
        <w:t>s</w:t>
      </w:r>
      <w:r w:rsidR="00F61204" w:rsidRPr="00DD1BF7">
        <w:rPr>
          <w:rFonts w:ascii="Arial" w:hAnsi="Arial" w:cs="Arial"/>
          <w:sz w:val="24"/>
          <w:szCs w:val="24"/>
        </w:rPr>
        <w:t>, effectively displacing them from these areas.</w:t>
      </w:r>
    </w:p>
    <w:p w14:paraId="208DC7FB" w14:textId="77777777" w:rsidR="008A09D0" w:rsidRPr="00DD1BF7" w:rsidRDefault="008A09D0" w:rsidP="00D07B02">
      <w:pPr>
        <w:pStyle w:val="ListParagraph"/>
        <w:spacing w:line="240" w:lineRule="auto"/>
        <w:ind w:left="426"/>
        <w:jc w:val="both"/>
        <w:rPr>
          <w:rFonts w:ascii="Arial" w:hAnsi="Arial" w:cs="Arial"/>
          <w:bCs/>
          <w:sz w:val="24"/>
          <w:szCs w:val="24"/>
        </w:rPr>
      </w:pPr>
    </w:p>
    <w:p w14:paraId="7A3DB1FC" w14:textId="77777777" w:rsidR="00634904" w:rsidRPr="00DD1BF7" w:rsidRDefault="00634904" w:rsidP="004346C1">
      <w:pPr>
        <w:pStyle w:val="ListParagraph"/>
        <w:numPr>
          <w:ilvl w:val="0"/>
          <w:numId w:val="12"/>
        </w:numPr>
        <w:spacing w:line="240" w:lineRule="auto"/>
        <w:ind w:left="426"/>
        <w:jc w:val="both"/>
        <w:rPr>
          <w:rFonts w:ascii="Arial" w:hAnsi="Arial" w:cs="Arial"/>
          <w:sz w:val="24"/>
          <w:szCs w:val="24"/>
        </w:rPr>
      </w:pPr>
      <w:r w:rsidRPr="00DD1BF7">
        <w:rPr>
          <w:rFonts w:ascii="Arial" w:hAnsi="Arial" w:cs="Arial"/>
          <w:sz w:val="24"/>
          <w:szCs w:val="24"/>
        </w:rPr>
        <w:t xml:space="preserve">The impact of displacement cannot be </w:t>
      </w:r>
      <w:r w:rsidR="008A6C7D" w:rsidRPr="00DD1BF7">
        <w:rPr>
          <w:rFonts w:ascii="Arial" w:hAnsi="Arial" w:cs="Arial"/>
          <w:sz w:val="24"/>
          <w:szCs w:val="24"/>
        </w:rPr>
        <w:t>over</w:t>
      </w:r>
      <w:r w:rsidR="008E7E9E" w:rsidRPr="00DD1BF7">
        <w:rPr>
          <w:rFonts w:ascii="Arial" w:hAnsi="Arial" w:cs="Arial"/>
          <w:sz w:val="24"/>
          <w:szCs w:val="24"/>
        </w:rPr>
        <w:t>estimated;</w:t>
      </w:r>
      <w:r w:rsidRPr="00DD1BF7">
        <w:rPr>
          <w:rFonts w:ascii="Arial" w:hAnsi="Arial" w:cs="Arial"/>
          <w:sz w:val="24"/>
          <w:szCs w:val="24"/>
        </w:rPr>
        <w:t xml:space="preserve"> it results in increased poverty, as people are deprived of their main source of physical and economic security and </w:t>
      </w:r>
      <w:r w:rsidR="008F3824">
        <w:rPr>
          <w:rFonts w:ascii="Arial" w:hAnsi="Arial" w:cs="Arial"/>
          <w:sz w:val="24"/>
          <w:szCs w:val="24"/>
        </w:rPr>
        <w:t>negatively affects</w:t>
      </w:r>
      <w:r w:rsidR="008F3824" w:rsidRPr="00DD1BF7">
        <w:rPr>
          <w:rFonts w:ascii="Arial" w:hAnsi="Arial" w:cs="Arial"/>
          <w:sz w:val="24"/>
          <w:szCs w:val="24"/>
        </w:rPr>
        <w:t xml:space="preserve"> </w:t>
      </w:r>
      <w:r w:rsidRPr="00DD1BF7">
        <w:rPr>
          <w:rFonts w:ascii="Arial" w:hAnsi="Arial" w:cs="Arial"/>
          <w:sz w:val="24"/>
          <w:szCs w:val="24"/>
        </w:rPr>
        <w:t>their livelihoods. In many cases, it also further reduces their access to basic services (water, elect</w:t>
      </w:r>
      <w:r w:rsidR="008E7E9E" w:rsidRPr="00DD1BF7">
        <w:rPr>
          <w:rFonts w:ascii="Arial" w:hAnsi="Arial" w:cs="Arial"/>
          <w:sz w:val="24"/>
          <w:szCs w:val="24"/>
        </w:rPr>
        <w:t>ricity, healthcare, education).</w:t>
      </w:r>
      <w:r w:rsidR="00D56134" w:rsidRPr="00DD1BF7">
        <w:rPr>
          <w:rFonts w:ascii="Arial" w:hAnsi="Arial" w:cs="Arial"/>
          <w:sz w:val="24"/>
          <w:szCs w:val="24"/>
        </w:rPr>
        <w:t xml:space="preserve"> </w:t>
      </w:r>
      <w:r w:rsidRPr="00DD1BF7">
        <w:rPr>
          <w:rFonts w:ascii="Arial" w:hAnsi="Arial" w:cs="Arial"/>
          <w:sz w:val="24"/>
          <w:szCs w:val="24"/>
        </w:rPr>
        <w:t>Displacement has negative psychosocial consequences, increas</w:t>
      </w:r>
      <w:r w:rsidR="008A6C7D" w:rsidRPr="00DD1BF7">
        <w:rPr>
          <w:rFonts w:ascii="Arial" w:hAnsi="Arial" w:cs="Arial"/>
          <w:sz w:val="24"/>
          <w:szCs w:val="24"/>
        </w:rPr>
        <w:t>ing</w:t>
      </w:r>
      <w:r w:rsidRPr="00DD1BF7">
        <w:rPr>
          <w:rFonts w:ascii="Arial" w:hAnsi="Arial" w:cs="Arial"/>
          <w:sz w:val="24"/>
          <w:szCs w:val="24"/>
        </w:rPr>
        <w:t xml:space="preserve"> anxiety and stress</w:t>
      </w:r>
      <w:r w:rsidR="00891F5E" w:rsidRPr="00DD1BF7">
        <w:rPr>
          <w:rFonts w:ascii="Arial" w:hAnsi="Arial" w:cs="Arial"/>
          <w:sz w:val="24"/>
          <w:szCs w:val="24"/>
        </w:rPr>
        <w:t xml:space="preserve"> among communities and within households</w:t>
      </w:r>
      <w:r w:rsidRPr="00DD1BF7">
        <w:rPr>
          <w:rFonts w:ascii="Arial" w:hAnsi="Arial" w:cs="Arial"/>
          <w:sz w:val="24"/>
          <w:szCs w:val="24"/>
        </w:rPr>
        <w:t>.</w:t>
      </w:r>
    </w:p>
    <w:p w14:paraId="2BE20D87" w14:textId="77777777" w:rsidR="00D07B02" w:rsidRPr="00DD1BF7" w:rsidRDefault="00D07B02" w:rsidP="00D07B02">
      <w:pPr>
        <w:pStyle w:val="ListParagraph"/>
        <w:rPr>
          <w:rFonts w:ascii="Arial" w:hAnsi="Arial" w:cs="Arial"/>
          <w:sz w:val="24"/>
          <w:szCs w:val="24"/>
        </w:rPr>
      </w:pPr>
    </w:p>
    <w:p w14:paraId="1A2DCCFC" w14:textId="77777777" w:rsidR="00125D89" w:rsidRPr="00DD1BF7" w:rsidRDefault="00C93C1F" w:rsidP="008E7E9E">
      <w:pPr>
        <w:pStyle w:val="ListParagraph"/>
        <w:numPr>
          <w:ilvl w:val="0"/>
          <w:numId w:val="12"/>
        </w:numPr>
        <w:spacing w:line="240" w:lineRule="auto"/>
        <w:ind w:left="426"/>
        <w:jc w:val="both"/>
        <w:rPr>
          <w:rFonts w:ascii="Arial" w:hAnsi="Arial" w:cs="Arial"/>
          <w:bCs/>
          <w:sz w:val="24"/>
          <w:szCs w:val="24"/>
        </w:rPr>
      </w:pPr>
      <w:r w:rsidRPr="00DD1BF7">
        <w:rPr>
          <w:rFonts w:ascii="Arial" w:hAnsi="Arial" w:cs="Arial"/>
          <w:bCs/>
          <w:sz w:val="24"/>
          <w:szCs w:val="24"/>
        </w:rPr>
        <w:t xml:space="preserve">Particularly vulnerable are </w:t>
      </w:r>
      <w:r w:rsidR="00654136" w:rsidRPr="00DD1BF7">
        <w:rPr>
          <w:rFonts w:ascii="Arial" w:hAnsi="Arial" w:cs="Arial"/>
          <w:bCs/>
          <w:sz w:val="24"/>
          <w:szCs w:val="24"/>
        </w:rPr>
        <w:t xml:space="preserve">the </w:t>
      </w:r>
      <w:r w:rsidR="001D314A" w:rsidRPr="00DD1BF7">
        <w:rPr>
          <w:rFonts w:ascii="Arial" w:hAnsi="Arial" w:cs="Arial"/>
          <w:bCs/>
          <w:sz w:val="24"/>
          <w:szCs w:val="24"/>
        </w:rPr>
        <w:t>Bedouin</w:t>
      </w:r>
      <w:r w:rsidR="008E7E9E" w:rsidRPr="00DD1BF7">
        <w:rPr>
          <w:rFonts w:ascii="Arial" w:hAnsi="Arial" w:cs="Arial"/>
          <w:bCs/>
          <w:sz w:val="24"/>
          <w:szCs w:val="24"/>
        </w:rPr>
        <w:t xml:space="preserve"> and </w:t>
      </w:r>
      <w:r w:rsidRPr="00DD1BF7">
        <w:rPr>
          <w:rFonts w:ascii="Arial" w:hAnsi="Arial" w:cs="Arial"/>
          <w:bCs/>
          <w:sz w:val="24"/>
          <w:szCs w:val="24"/>
        </w:rPr>
        <w:t>herding</w:t>
      </w:r>
      <w:r w:rsidR="001D314A" w:rsidRPr="00DD1BF7">
        <w:rPr>
          <w:rFonts w:ascii="Arial" w:hAnsi="Arial" w:cs="Arial"/>
          <w:bCs/>
          <w:sz w:val="24"/>
          <w:szCs w:val="24"/>
        </w:rPr>
        <w:t xml:space="preserve"> communities</w:t>
      </w:r>
      <w:r w:rsidRPr="00DD1BF7">
        <w:rPr>
          <w:rFonts w:ascii="Arial" w:hAnsi="Arial" w:cs="Arial"/>
          <w:bCs/>
          <w:sz w:val="24"/>
          <w:szCs w:val="24"/>
        </w:rPr>
        <w:t xml:space="preserve">, </w:t>
      </w:r>
      <w:r w:rsidR="00654136" w:rsidRPr="00DD1BF7">
        <w:rPr>
          <w:rFonts w:ascii="Arial" w:hAnsi="Arial" w:cs="Arial"/>
          <w:bCs/>
          <w:sz w:val="24"/>
          <w:szCs w:val="24"/>
        </w:rPr>
        <w:t>the majority</w:t>
      </w:r>
      <w:r w:rsidRPr="00DD1BF7">
        <w:rPr>
          <w:rFonts w:ascii="Arial" w:hAnsi="Arial" w:cs="Arial"/>
          <w:bCs/>
          <w:sz w:val="24"/>
          <w:szCs w:val="24"/>
        </w:rPr>
        <w:t xml:space="preserve"> of whom live on</w:t>
      </w:r>
      <w:r w:rsidR="001D314A" w:rsidRPr="00DD1BF7">
        <w:rPr>
          <w:rFonts w:ascii="Arial" w:hAnsi="Arial" w:cs="Arial"/>
          <w:bCs/>
          <w:sz w:val="24"/>
          <w:szCs w:val="24"/>
        </w:rPr>
        <w:t xml:space="preserve"> </w:t>
      </w:r>
      <w:r w:rsidR="001D314A" w:rsidRPr="00DD1BF7">
        <w:rPr>
          <w:rFonts w:ascii="Arial" w:hAnsi="Arial" w:cs="Arial"/>
          <w:bCs/>
          <w:iCs/>
          <w:sz w:val="24"/>
          <w:szCs w:val="24"/>
        </w:rPr>
        <w:t>‘state land’,</w:t>
      </w:r>
      <w:r w:rsidR="001D314A" w:rsidRPr="00DD1BF7">
        <w:rPr>
          <w:rFonts w:ascii="Arial" w:hAnsi="Arial" w:cs="Arial"/>
          <w:bCs/>
          <w:sz w:val="24"/>
          <w:szCs w:val="24"/>
        </w:rPr>
        <w:t xml:space="preserve"> </w:t>
      </w:r>
      <w:r w:rsidR="008F3824">
        <w:rPr>
          <w:rFonts w:ascii="Arial" w:hAnsi="Arial" w:cs="Arial"/>
          <w:bCs/>
          <w:sz w:val="24"/>
          <w:szCs w:val="24"/>
        </w:rPr>
        <w:t>placing</w:t>
      </w:r>
      <w:r w:rsidR="008F3824" w:rsidRPr="00DD1BF7">
        <w:rPr>
          <w:rFonts w:ascii="Arial" w:hAnsi="Arial" w:cs="Arial"/>
          <w:bCs/>
          <w:sz w:val="24"/>
          <w:szCs w:val="24"/>
        </w:rPr>
        <w:t xml:space="preserve"> </w:t>
      </w:r>
      <w:r w:rsidR="001D314A" w:rsidRPr="00DD1BF7">
        <w:rPr>
          <w:rFonts w:ascii="Arial" w:hAnsi="Arial" w:cs="Arial"/>
          <w:bCs/>
          <w:sz w:val="24"/>
          <w:szCs w:val="24"/>
        </w:rPr>
        <w:t xml:space="preserve">them at constant risk of </w:t>
      </w:r>
      <w:r w:rsidR="00654136" w:rsidRPr="00DD1BF7">
        <w:rPr>
          <w:rFonts w:ascii="Arial" w:hAnsi="Arial" w:cs="Arial"/>
          <w:bCs/>
          <w:sz w:val="24"/>
          <w:szCs w:val="24"/>
        </w:rPr>
        <w:t>forced displacement</w:t>
      </w:r>
      <w:r w:rsidR="001D314A" w:rsidRPr="00DD1BF7">
        <w:rPr>
          <w:rFonts w:ascii="Arial" w:hAnsi="Arial" w:cs="Arial"/>
          <w:bCs/>
          <w:sz w:val="24"/>
          <w:szCs w:val="24"/>
        </w:rPr>
        <w:t xml:space="preserve">, but also of becoming subject to ‘relocation’ by the Israeli authorities through a non-consultative process. </w:t>
      </w:r>
    </w:p>
    <w:p w14:paraId="6A1DAA53" w14:textId="77777777" w:rsidR="00125D89" w:rsidRPr="00DD1BF7" w:rsidRDefault="00125D89" w:rsidP="00125D89">
      <w:pPr>
        <w:pStyle w:val="ListParagraph"/>
        <w:spacing w:line="240" w:lineRule="auto"/>
        <w:ind w:left="426"/>
        <w:jc w:val="both"/>
        <w:rPr>
          <w:rFonts w:ascii="Arial" w:hAnsi="Arial" w:cs="Arial"/>
          <w:sz w:val="24"/>
          <w:szCs w:val="24"/>
        </w:rPr>
      </w:pPr>
    </w:p>
    <w:p w14:paraId="0F1C16A2" w14:textId="77777777" w:rsidR="00C172BD" w:rsidRPr="00DD1BF7" w:rsidRDefault="00FC0622" w:rsidP="00285DD7">
      <w:pPr>
        <w:pStyle w:val="ListParagraph"/>
        <w:numPr>
          <w:ilvl w:val="0"/>
          <w:numId w:val="12"/>
        </w:numPr>
        <w:spacing w:line="240" w:lineRule="auto"/>
        <w:ind w:left="426"/>
        <w:jc w:val="both"/>
        <w:rPr>
          <w:rFonts w:ascii="Arial" w:hAnsi="Arial" w:cs="Arial"/>
          <w:sz w:val="24"/>
          <w:szCs w:val="24"/>
        </w:rPr>
      </w:pPr>
      <w:r w:rsidRPr="00DD1BF7">
        <w:rPr>
          <w:rFonts w:ascii="Arial" w:hAnsi="Arial" w:cs="Arial"/>
          <w:sz w:val="24"/>
          <w:szCs w:val="24"/>
        </w:rPr>
        <w:t xml:space="preserve">Since July 2011, the ICA has become more vocal about its intentions to forcibly relocate Bedouin and herding communities in Area C (up to 50,000), starting with 23 communities (2,300 people) in the strategically important eastern periphery of Jerusalem.  These 23 communities of the </w:t>
      </w:r>
      <w:proofErr w:type="spellStart"/>
      <w:r w:rsidRPr="00DD1BF7">
        <w:rPr>
          <w:rFonts w:ascii="Arial" w:hAnsi="Arial" w:cs="Arial"/>
          <w:sz w:val="24"/>
          <w:szCs w:val="24"/>
        </w:rPr>
        <w:t>Jahalin</w:t>
      </w:r>
      <w:proofErr w:type="spellEnd"/>
      <w:r w:rsidRPr="00DD1BF7">
        <w:rPr>
          <w:rFonts w:ascii="Arial" w:hAnsi="Arial" w:cs="Arial"/>
          <w:sz w:val="24"/>
          <w:szCs w:val="24"/>
        </w:rPr>
        <w:t xml:space="preserve"> Bedouin tribe, originally from the Negev and displaced several times since, mostly live in the planned expansion area of </w:t>
      </w:r>
      <w:proofErr w:type="spellStart"/>
      <w:r w:rsidRPr="00DD1BF7">
        <w:rPr>
          <w:rFonts w:ascii="Arial" w:hAnsi="Arial" w:cs="Arial"/>
          <w:sz w:val="24"/>
          <w:szCs w:val="24"/>
        </w:rPr>
        <w:t>Ma’ale</w:t>
      </w:r>
      <w:proofErr w:type="spellEnd"/>
      <w:r w:rsidRPr="00DD1BF7">
        <w:rPr>
          <w:rFonts w:ascii="Arial" w:hAnsi="Arial" w:cs="Arial"/>
          <w:sz w:val="24"/>
          <w:szCs w:val="24"/>
        </w:rPr>
        <w:t xml:space="preserve"> </w:t>
      </w:r>
      <w:proofErr w:type="spellStart"/>
      <w:r w:rsidRPr="00DD1BF7">
        <w:rPr>
          <w:rFonts w:ascii="Arial" w:hAnsi="Arial" w:cs="Arial"/>
          <w:sz w:val="24"/>
          <w:szCs w:val="24"/>
        </w:rPr>
        <w:t>Adumim</w:t>
      </w:r>
      <w:proofErr w:type="spellEnd"/>
      <w:r w:rsidRPr="00DD1BF7">
        <w:rPr>
          <w:rFonts w:ascii="Arial" w:hAnsi="Arial" w:cs="Arial"/>
          <w:sz w:val="24"/>
          <w:szCs w:val="24"/>
        </w:rPr>
        <w:t xml:space="preserve"> settlement. This includes the so-called “E1 area”, which aims to create an Israeli urban continuum between </w:t>
      </w:r>
      <w:proofErr w:type="spellStart"/>
      <w:r w:rsidRPr="00DD1BF7">
        <w:rPr>
          <w:rFonts w:ascii="Arial" w:hAnsi="Arial" w:cs="Arial"/>
          <w:sz w:val="24"/>
          <w:szCs w:val="24"/>
        </w:rPr>
        <w:t>Ma’ale</w:t>
      </w:r>
      <w:proofErr w:type="spellEnd"/>
      <w:r w:rsidRPr="00DD1BF7">
        <w:rPr>
          <w:rFonts w:ascii="Arial" w:hAnsi="Arial" w:cs="Arial"/>
          <w:sz w:val="24"/>
          <w:szCs w:val="24"/>
        </w:rPr>
        <w:t xml:space="preserve"> </w:t>
      </w:r>
      <w:proofErr w:type="spellStart"/>
      <w:r w:rsidRPr="00DD1BF7">
        <w:rPr>
          <w:rFonts w:ascii="Arial" w:hAnsi="Arial" w:cs="Arial"/>
          <w:sz w:val="24"/>
          <w:szCs w:val="24"/>
        </w:rPr>
        <w:t>Adumim</w:t>
      </w:r>
      <w:proofErr w:type="spellEnd"/>
      <w:r w:rsidRPr="00DD1BF7">
        <w:rPr>
          <w:rFonts w:ascii="Arial" w:hAnsi="Arial" w:cs="Arial"/>
          <w:sz w:val="24"/>
          <w:szCs w:val="24"/>
        </w:rPr>
        <w:t xml:space="preserve"> and East Jerusalem, while also linking up smaller settlements. E1, which has remained largely unimplemented due to political pressure, would disrupt the territorial contiguity of the West Bank and make expansion of East Jerusalem impossible –endangering the viability of the Palestinian state. All 23 communities have experienced increased pressure on their lives and livelihoods, including repeat demolitions, settler violence, access restrictions and disruption of basic services. In 2012, the ICA started informing the communities of their need to “relocate”. Members of the same communities have been forcibly evicted from their homes in the late 1990s and were forced to live in a semi-urban setting close the Jerusalem Municipality garbage dump, resulting in a loss of their traditional Bedouin lifestyle, with devastating consequences to their social fabric.</w:t>
      </w:r>
      <w:r w:rsidRPr="00DD1BF7">
        <w:rPr>
          <w:rStyle w:val="FootnoteReference"/>
          <w:rFonts w:ascii="Arial" w:hAnsi="Arial" w:cs="Arial"/>
          <w:sz w:val="24"/>
          <w:szCs w:val="24"/>
        </w:rPr>
        <w:footnoteReference w:id="19"/>
      </w:r>
      <w:r w:rsidR="00285DD7" w:rsidRPr="00DD1BF7">
        <w:rPr>
          <w:rFonts w:ascii="Arial" w:hAnsi="Arial" w:cs="Arial"/>
          <w:sz w:val="24"/>
          <w:szCs w:val="24"/>
        </w:rPr>
        <w:t xml:space="preserve"> </w:t>
      </w:r>
      <w:r w:rsidRPr="00DD1BF7">
        <w:rPr>
          <w:rFonts w:ascii="Arial" w:hAnsi="Arial" w:cs="Arial"/>
          <w:sz w:val="24"/>
          <w:szCs w:val="24"/>
        </w:rPr>
        <w:t>At th</w:t>
      </w:r>
      <w:r w:rsidR="00E361FC">
        <w:rPr>
          <w:rFonts w:ascii="Arial" w:hAnsi="Arial" w:cs="Arial"/>
          <w:sz w:val="24"/>
          <w:szCs w:val="24"/>
        </w:rPr>
        <w:t xml:space="preserve">e time of </w:t>
      </w:r>
      <w:r w:rsidRPr="00DD1BF7">
        <w:rPr>
          <w:rFonts w:ascii="Arial" w:hAnsi="Arial" w:cs="Arial"/>
          <w:sz w:val="24"/>
          <w:szCs w:val="24"/>
        </w:rPr>
        <w:t xml:space="preserve">writing, Israel plans to forcibly move at least some of the 23 communities to </w:t>
      </w:r>
      <w:proofErr w:type="spellStart"/>
      <w:r w:rsidRPr="00DD1BF7">
        <w:rPr>
          <w:rFonts w:ascii="Arial" w:hAnsi="Arial" w:cs="Arial"/>
          <w:sz w:val="24"/>
          <w:szCs w:val="24"/>
        </w:rPr>
        <w:t>Nuweima</w:t>
      </w:r>
      <w:proofErr w:type="spellEnd"/>
      <w:r w:rsidRPr="00DD1BF7">
        <w:rPr>
          <w:rFonts w:ascii="Arial" w:hAnsi="Arial" w:cs="Arial"/>
          <w:sz w:val="24"/>
          <w:szCs w:val="24"/>
        </w:rPr>
        <w:t xml:space="preserve">, a site near of Jericho and some additional communities to the original site at the garbage dump. </w:t>
      </w:r>
      <w:proofErr w:type="spellStart"/>
      <w:r w:rsidRPr="00DD1BF7">
        <w:rPr>
          <w:rFonts w:ascii="Arial" w:hAnsi="Arial" w:cs="Arial"/>
          <w:sz w:val="24"/>
          <w:szCs w:val="24"/>
        </w:rPr>
        <w:t>Nuweima</w:t>
      </w:r>
      <w:proofErr w:type="spellEnd"/>
      <w:r w:rsidRPr="00DD1BF7">
        <w:rPr>
          <w:rFonts w:ascii="Arial" w:hAnsi="Arial" w:cs="Arial"/>
          <w:sz w:val="24"/>
          <w:szCs w:val="24"/>
        </w:rPr>
        <w:t xml:space="preserve"> is already home to the </w:t>
      </w:r>
      <w:proofErr w:type="spellStart"/>
      <w:r w:rsidRPr="00DD1BF7">
        <w:rPr>
          <w:rFonts w:ascii="Arial" w:hAnsi="Arial" w:cs="Arial"/>
          <w:sz w:val="24"/>
          <w:szCs w:val="24"/>
        </w:rPr>
        <w:t>Rashayda</w:t>
      </w:r>
      <w:proofErr w:type="spellEnd"/>
      <w:r w:rsidRPr="00DD1BF7">
        <w:rPr>
          <w:rFonts w:ascii="Arial" w:hAnsi="Arial" w:cs="Arial"/>
          <w:sz w:val="24"/>
          <w:szCs w:val="24"/>
        </w:rPr>
        <w:t xml:space="preserve"> Bedouin tribe, and the proposed ICA plan will limit the development of the community already there and crowd the area with other communities. This violates the communities’ cultural rights, which includes the need to respect, protect and prevent the degradation of their particular way of life, </w:t>
      </w:r>
      <w:r w:rsidRPr="00DD1BF7">
        <w:rPr>
          <w:rFonts w:ascii="Arial" w:hAnsi="Arial" w:cs="Arial"/>
          <w:sz w:val="24"/>
          <w:szCs w:val="24"/>
        </w:rPr>
        <w:lastRenderedPageBreak/>
        <w:t>including their means of subsistence, the loss of their natural resources and their cultural identity</w:t>
      </w:r>
      <w:r w:rsidR="00E361FC">
        <w:rPr>
          <w:rFonts w:ascii="Arial" w:hAnsi="Arial" w:cs="Arial"/>
          <w:sz w:val="24"/>
          <w:szCs w:val="24"/>
        </w:rPr>
        <w:t xml:space="preserve"> as set out in ILO Convention 169</w:t>
      </w:r>
      <w:r w:rsidRPr="00DD1BF7">
        <w:rPr>
          <w:rFonts w:ascii="Arial" w:hAnsi="Arial" w:cs="Arial"/>
          <w:sz w:val="24"/>
          <w:szCs w:val="24"/>
        </w:rPr>
        <w:t>.</w:t>
      </w:r>
    </w:p>
    <w:p w14:paraId="439D0E95" w14:textId="77777777" w:rsidR="00C172BD" w:rsidRPr="00DD1BF7" w:rsidRDefault="00C172BD" w:rsidP="0044187B">
      <w:pPr>
        <w:pStyle w:val="ListParagraph"/>
        <w:spacing w:line="240" w:lineRule="auto"/>
        <w:ind w:left="426"/>
        <w:jc w:val="both"/>
        <w:rPr>
          <w:rFonts w:ascii="Arial" w:hAnsi="Arial" w:cs="Arial"/>
          <w:sz w:val="24"/>
          <w:szCs w:val="24"/>
        </w:rPr>
      </w:pPr>
    </w:p>
    <w:p w14:paraId="7B4539C6" w14:textId="77777777" w:rsidR="00844315" w:rsidRPr="00DD1BF7" w:rsidRDefault="00233849" w:rsidP="00844315">
      <w:pPr>
        <w:pStyle w:val="ListParagraph"/>
        <w:numPr>
          <w:ilvl w:val="0"/>
          <w:numId w:val="12"/>
        </w:numPr>
        <w:spacing w:line="240" w:lineRule="auto"/>
        <w:ind w:left="426"/>
        <w:jc w:val="both"/>
        <w:rPr>
          <w:rFonts w:ascii="Arial" w:hAnsi="Arial" w:cs="Arial"/>
          <w:sz w:val="24"/>
          <w:szCs w:val="24"/>
        </w:rPr>
      </w:pPr>
      <w:r w:rsidRPr="00DD1BF7">
        <w:rPr>
          <w:rFonts w:ascii="Arial" w:hAnsi="Arial" w:cs="Arial"/>
          <w:sz w:val="24"/>
          <w:szCs w:val="24"/>
        </w:rPr>
        <w:t>T</w:t>
      </w:r>
      <w:r w:rsidR="00D07B02" w:rsidRPr="00DD1BF7">
        <w:rPr>
          <w:rFonts w:ascii="Arial" w:hAnsi="Arial" w:cs="Arial"/>
          <w:sz w:val="24"/>
          <w:szCs w:val="24"/>
        </w:rPr>
        <w:t xml:space="preserve">he pressure on the communities </w:t>
      </w:r>
      <w:r w:rsidR="00E361FC">
        <w:rPr>
          <w:rFonts w:ascii="Arial" w:hAnsi="Arial" w:cs="Arial"/>
          <w:sz w:val="24"/>
          <w:szCs w:val="24"/>
        </w:rPr>
        <w:t xml:space="preserve">increases </w:t>
      </w:r>
      <w:r w:rsidR="00D07B02" w:rsidRPr="00DD1BF7">
        <w:rPr>
          <w:rFonts w:ascii="Arial" w:hAnsi="Arial" w:cs="Arial"/>
          <w:sz w:val="24"/>
          <w:szCs w:val="24"/>
        </w:rPr>
        <w:t>their vulnerab</w:t>
      </w:r>
      <w:r w:rsidR="00E361FC">
        <w:rPr>
          <w:rFonts w:ascii="Arial" w:hAnsi="Arial" w:cs="Arial"/>
          <w:sz w:val="24"/>
          <w:szCs w:val="24"/>
        </w:rPr>
        <w:t xml:space="preserve">ility. This coupled with </w:t>
      </w:r>
      <w:r w:rsidR="00D07B02" w:rsidRPr="00DD1BF7">
        <w:rPr>
          <w:rFonts w:ascii="Arial" w:hAnsi="Arial" w:cs="Arial"/>
          <w:sz w:val="24"/>
          <w:szCs w:val="24"/>
        </w:rPr>
        <w:t>a lack of respect for the communities’ wish</w:t>
      </w:r>
      <w:r w:rsidR="00050A82" w:rsidRPr="00DD1BF7">
        <w:rPr>
          <w:rFonts w:ascii="Arial" w:hAnsi="Arial" w:cs="Arial"/>
          <w:sz w:val="24"/>
          <w:szCs w:val="24"/>
        </w:rPr>
        <w:t>es to return to the Negev or develop in their current</w:t>
      </w:r>
      <w:r w:rsidR="00D07B02" w:rsidRPr="00DD1BF7">
        <w:rPr>
          <w:rFonts w:ascii="Arial" w:hAnsi="Arial" w:cs="Arial"/>
          <w:sz w:val="24"/>
          <w:szCs w:val="24"/>
        </w:rPr>
        <w:t xml:space="preserve"> location raise concerns about </w:t>
      </w:r>
      <w:r w:rsidR="00F2355C" w:rsidRPr="00DD1BF7">
        <w:rPr>
          <w:rFonts w:ascii="Arial" w:hAnsi="Arial" w:cs="Arial"/>
          <w:sz w:val="24"/>
          <w:szCs w:val="24"/>
        </w:rPr>
        <w:t>forced transfer and</w:t>
      </w:r>
      <w:r w:rsidR="00E361FC">
        <w:rPr>
          <w:rFonts w:ascii="Arial" w:hAnsi="Arial" w:cs="Arial"/>
          <w:sz w:val="24"/>
          <w:szCs w:val="24"/>
        </w:rPr>
        <w:t xml:space="preserve"> of</w:t>
      </w:r>
      <w:r w:rsidR="00F2355C" w:rsidRPr="00DD1BF7">
        <w:rPr>
          <w:rFonts w:ascii="Arial" w:hAnsi="Arial" w:cs="Arial"/>
          <w:sz w:val="24"/>
          <w:szCs w:val="24"/>
        </w:rPr>
        <w:t xml:space="preserve"> </w:t>
      </w:r>
      <w:r w:rsidR="00D07B02" w:rsidRPr="00DD1BF7">
        <w:rPr>
          <w:rFonts w:ascii="Arial" w:hAnsi="Arial" w:cs="Arial"/>
          <w:sz w:val="24"/>
          <w:szCs w:val="24"/>
        </w:rPr>
        <w:t>the communities’</w:t>
      </w:r>
      <w:r w:rsidR="00E361FC">
        <w:rPr>
          <w:rFonts w:ascii="Arial" w:hAnsi="Arial" w:cs="Arial"/>
          <w:sz w:val="24"/>
          <w:szCs w:val="24"/>
        </w:rPr>
        <w:t xml:space="preserve">. At no time where these communities’ </w:t>
      </w:r>
      <w:proofErr w:type="gramStart"/>
      <w:r w:rsidR="00E361FC">
        <w:rPr>
          <w:rFonts w:ascii="Arial" w:hAnsi="Arial" w:cs="Arial"/>
          <w:sz w:val="24"/>
          <w:szCs w:val="24"/>
        </w:rPr>
        <w:t>views</w:t>
      </w:r>
      <w:proofErr w:type="gramEnd"/>
      <w:r w:rsidR="00E361FC">
        <w:rPr>
          <w:rFonts w:ascii="Arial" w:hAnsi="Arial" w:cs="Arial"/>
          <w:sz w:val="24"/>
          <w:szCs w:val="24"/>
        </w:rPr>
        <w:t xml:space="preserve"> taken into account nor were they allowed </w:t>
      </w:r>
      <w:r w:rsidR="00D07B02" w:rsidRPr="00DD1BF7">
        <w:rPr>
          <w:rFonts w:ascii="Arial" w:hAnsi="Arial" w:cs="Arial"/>
          <w:sz w:val="24"/>
          <w:szCs w:val="24"/>
        </w:rPr>
        <w:t>to make a free and informed choice about their future.</w:t>
      </w:r>
      <w:r w:rsidR="0044187B" w:rsidRPr="00DD1BF7">
        <w:rPr>
          <w:rFonts w:ascii="Arial" w:hAnsi="Arial" w:cs="Arial"/>
          <w:sz w:val="24"/>
          <w:szCs w:val="24"/>
        </w:rPr>
        <w:t xml:space="preserve"> </w:t>
      </w:r>
      <w:r w:rsidR="00F2355C" w:rsidRPr="00DD1BF7">
        <w:rPr>
          <w:rFonts w:ascii="Arial" w:hAnsi="Arial" w:cs="Arial"/>
          <w:sz w:val="24"/>
          <w:szCs w:val="24"/>
        </w:rPr>
        <w:t>An indication might be that</w:t>
      </w:r>
      <w:r w:rsidR="00C172BD" w:rsidRPr="00DD1BF7">
        <w:rPr>
          <w:rFonts w:ascii="Arial" w:hAnsi="Arial" w:cs="Arial"/>
          <w:sz w:val="24"/>
          <w:szCs w:val="24"/>
        </w:rPr>
        <w:t>, r</w:t>
      </w:r>
      <w:r w:rsidR="0044187B" w:rsidRPr="00DD1BF7">
        <w:rPr>
          <w:rFonts w:ascii="Arial" w:hAnsi="Arial" w:cs="Arial"/>
          <w:sz w:val="24"/>
          <w:szCs w:val="24"/>
        </w:rPr>
        <w:t>egarding one of the schools</w:t>
      </w:r>
      <w:r w:rsidR="003450B6" w:rsidRPr="00DD1BF7">
        <w:rPr>
          <w:rStyle w:val="FootnoteReference"/>
          <w:rFonts w:ascii="Arial" w:hAnsi="Arial" w:cs="Arial"/>
          <w:sz w:val="24"/>
          <w:szCs w:val="24"/>
        </w:rPr>
        <w:footnoteReference w:id="20"/>
      </w:r>
      <w:r w:rsidR="0044187B" w:rsidRPr="00DD1BF7">
        <w:rPr>
          <w:rFonts w:ascii="Arial" w:hAnsi="Arial" w:cs="Arial"/>
          <w:sz w:val="24"/>
          <w:szCs w:val="24"/>
        </w:rPr>
        <w:t xml:space="preserve"> in that area at risk of demolition (</w:t>
      </w:r>
      <w:r w:rsidR="00D07B02" w:rsidRPr="00DD1BF7">
        <w:rPr>
          <w:rFonts w:ascii="Arial" w:hAnsi="Arial" w:cs="Arial"/>
          <w:sz w:val="24"/>
          <w:szCs w:val="24"/>
        </w:rPr>
        <w:t>Khan al-</w:t>
      </w:r>
      <w:proofErr w:type="spellStart"/>
      <w:r w:rsidR="00D07B02" w:rsidRPr="00DD1BF7">
        <w:rPr>
          <w:rFonts w:ascii="Arial" w:hAnsi="Arial" w:cs="Arial"/>
          <w:sz w:val="24"/>
          <w:szCs w:val="24"/>
        </w:rPr>
        <w:t>Ahmar</w:t>
      </w:r>
      <w:proofErr w:type="spellEnd"/>
      <w:r w:rsidR="00D07B02" w:rsidRPr="00DD1BF7">
        <w:rPr>
          <w:rFonts w:ascii="Arial" w:hAnsi="Arial" w:cs="Arial"/>
          <w:sz w:val="24"/>
          <w:szCs w:val="24"/>
        </w:rPr>
        <w:t xml:space="preserve"> school</w:t>
      </w:r>
      <w:r w:rsidR="0044187B" w:rsidRPr="00DD1BF7">
        <w:rPr>
          <w:rFonts w:ascii="Arial" w:hAnsi="Arial" w:cs="Arial"/>
          <w:sz w:val="24"/>
          <w:szCs w:val="24"/>
        </w:rPr>
        <w:t>)</w:t>
      </w:r>
      <w:r w:rsidR="00D07B02" w:rsidRPr="00DD1BF7">
        <w:rPr>
          <w:rFonts w:ascii="Arial" w:hAnsi="Arial" w:cs="Arial"/>
          <w:sz w:val="24"/>
          <w:szCs w:val="24"/>
        </w:rPr>
        <w:t>,</w:t>
      </w:r>
      <w:r w:rsidR="0044187B" w:rsidRPr="00DD1BF7">
        <w:rPr>
          <w:rFonts w:ascii="Arial" w:hAnsi="Arial" w:cs="Arial"/>
          <w:sz w:val="24"/>
          <w:szCs w:val="24"/>
        </w:rPr>
        <w:t xml:space="preserve"> the</w:t>
      </w:r>
      <w:r w:rsidR="008E7E9E" w:rsidRPr="00DD1BF7">
        <w:rPr>
          <w:rFonts w:ascii="Arial" w:hAnsi="Arial" w:cs="Arial"/>
          <w:sz w:val="24"/>
          <w:szCs w:val="24"/>
        </w:rPr>
        <w:t>n-</w:t>
      </w:r>
      <w:r w:rsidR="0044187B" w:rsidRPr="00DD1BF7">
        <w:rPr>
          <w:rFonts w:ascii="Arial" w:hAnsi="Arial" w:cs="Arial"/>
          <w:sz w:val="24"/>
          <w:szCs w:val="24"/>
        </w:rPr>
        <w:t xml:space="preserve">Israeli Minister of </w:t>
      </w:r>
      <w:proofErr w:type="spellStart"/>
      <w:r w:rsidR="0044187B" w:rsidRPr="00DD1BF7">
        <w:rPr>
          <w:rFonts w:ascii="Arial" w:hAnsi="Arial" w:cs="Arial"/>
          <w:sz w:val="24"/>
          <w:szCs w:val="24"/>
        </w:rPr>
        <w:t>Defence</w:t>
      </w:r>
      <w:proofErr w:type="spellEnd"/>
      <w:r w:rsidR="0044187B" w:rsidRPr="00DD1BF7">
        <w:rPr>
          <w:rFonts w:ascii="Arial" w:hAnsi="Arial" w:cs="Arial"/>
          <w:sz w:val="24"/>
          <w:szCs w:val="24"/>
        </w:rPr>
        <w:t xml:space="preserve"> responded in April 2012 to the </w:t>
      </w:r>
      <w:r w:rsidR="00F2355C" w:rsidRPr="00DD1BF7">
        <w:rPr>
          <w:rFonts w:ascii="Arial" w:hAnsi="Arial" w:cs="Arial"/>
          <w:sz w:val="24"/>
          <w:szCs w:val="24"/>
        </w:rPr>
        <w:t xml:space="preserve">Israeli </w:t>
      </w:r>
      <w:r w:rsidR="0044187B" w:rsidRPr="00DD1BF7">
        <w:rPr>
          <w:rFonts w:ascii="Arial" w:hAnsi="Arial" w:cs="Arial"/>
          <w:sz w:val="24"/>
          <w:szCs w:val="24"/>
        </w:rPr>
        <w:t xml:space="preserve">High Court noting that he </w:t>
      </w:r>
      <w:r w:rsidR="00D07B02" w:rsidRPr="00DD1BF7">
        <w:rPr>
          <w:rFonts w:ascii="Arial" w:hAnsi="Arial" w:cs="Arial"/>
          <w:sz w:val="24"/>
          <w:szCs w:val="24"/>
        </w:rPr>
        <w:t>“</w:t>
      </w:r>
      <w:r w:rsidR="0044187B" w:rsidRPr="00DD1BF7">
        <w:rPr>
          <w:rFonts w:ascii="Arial" w:hAnsi="Arial" w:cs="Arial"/>
          <w:sz w:val="24"/>
          <w:szCs w:val="24"/>
        </w:rPr>
        <w:t>…</w:t>
      </w:r>
      <w:r w:rsidR="00D07B02" w:rsidRPr="00DD1BF7">
        <w:rPr>
          <w:rFonts w:ascii="Arial" w:hAnsi="Arial" w:cs="Arial"/>
          <w:sz w:val="24"/>
          <w:szCs w:val="24"/>
        </w:rPr>
        <w:t>decided to move the school from its c</w:t>
      </w:r>
      <w:r w:rsidR="0044187B" w:rsidRPr="00DD1BF7">
        <w:rPr>
          <w:rFonts w:ascii="Arial" w:hAnsi="Arial" w:cs="Arial"/>
          <w:sz w:val="24"/>
          <w:szCs w:val="24"/>
        </w:rPr>
        <w:t xml:space="preserve">urrent location to another one… </w:t>
      </w:r>
      <w:r w:rsidR="00D07B02" w:rsidRPr="00DD1BF7">
        <w:rPr>
          <w:rFonts w:ascii="Arial" w:hAnsi="Arial" w:cs="Arial"/>
          <w:sz w:val="24"/>
          <w:szCs w:val="24"/>
        </w:rPr>
        <w:t>and to implement the relocation during the next upcoming months.”</w:t>
      </w:r>
      <w:r w:rsidR="002418C3" w:rsidRPr="00DD1BF7">
        <w:rPr>
          <w:rStyle w:val="FootnoteReference"/>
          <w:rFonts w:ascii="Arial" w:hAnsi="Arial" w:cs="Arial"/>
          <w:sz w:val="24"/>
          <w:szCs w:val="24"/>
        </w:rPr>
        <w:footnoteReference w:id="21"/>
      </w:r>
      <w:r w:rsidR="00D07B02" w:rsidRPr="00DD1BF7">
        <w:rPr>
          <w:rFonts w:ascii="Arial" w:hAnsi="Arial" w:cs="Arial"/>
          <w:sz w:val="24"/>
          <w:szCs w:val="24"/>
        </w:rPr>
        <w:t xml:space="preserve"> </w:t>
      </w:r>
      <w:r w:rsidR="0082131B" w:rsidRPr="00DD1BF7">
        <w:rPr>
          <w:rFonts w:ascii="Arial" w:hAnsi="Arial" w:cs="Arial"/>
          <w:sz w:val="24"/>
          <w:szCs w:val="24"/>
        </w:rPr>
        <w:t xml:space="preserve"> </w:t>
      </w:r>
    </w:p>
    <w:p w14:paraId="29C6645B" w14:textId="77777777" w:rsidR="007D3E26" w:rsidRPr="00DD1BF7" w:rsidRDefault="007D3E26" w:rsidP="007D3E26">
      <w:pPr>
        <w:pStyle w:val="ListParagraph"/>
        <w:spacing w:line="240" w:lineRule="auto"/>
        <w:jc w:val="both"/>
        <w:rPr>
          <w:rFonts w:ascii="Arial" w:hAnsi="Arial" w:cs="Arial"/>
          <w:sz w:val="24"/>
          <w:szCs w:val="24"/>
        </w:rPr>
      </w:pPr>
    </w:p>
    <w:p w14:paraId="3B04C19D" w14:textId="77777777" w:rsidR="00BF72EC" w:rsidRPr="00DD1BF7" w:rsidRDefault="001A0E4F" w:rsidP="00D947C4">
      <w:pPr>
        <w:pStyle w:val="ListParagraph"/>
        <w:numPr>
          <w:ilvl w:val="0"/>
          <w:numId w:val="12"/>
        </w:numPr>
        <w:spacing w:line="240" w:lineRule="auto"/>
        <w:ind w:left="426"/>
        <w:jc w:val="both"/>
        <w:rPr>
          <w:rFonts w:ascii="Arial" w:hAnsi="Arial" w:cs="Arial"/>
          <w:sz w:val="24"/>
          <w:szCs w:val="24"/>
        </w:rPr>
      </w:pPr>
      <w:r w:rsidRPr="00DD1BF7">
        <w:rPr>
          <w:rFonts w:ascii="Arial" w:hAnsi="Arial" w:cs="Arial"/>
          <w:sz w:val="24"/>
          <w:szCs w:val="24"/>
        </w:rPr>
        <w:t>Whilst demolitions can be stayed through legal petitions to obtain temporary court</w:t>
      </w:r>
      <w:r w:rsidR="0034199D" w:rsidRPr="00DD1BF7">
        <w:rPr>
          <w:rFonts w:ascii="Arial" w:hAnsi="Arial" w:cs="Arial"/>
          <w:sz w:val="24"/>
          <w:szCs w:val="24"/>
        </w:rPr>
        <w:t>-</w:t>
      </w:r>
      <w:r w:rsidRPr="00DD1BF7">
        <w:rPr>
          <w:rFonts w:ascii="Arial" w:hAnsi="Arial" w:cs="Arial"/>
          <w:sz w:val="24"/>
          <w:szCs w:val="24"/>
        </w:rPr>
        <w:t>ordered injunctions, recent developments have indicated that even such legal protection is in jeopardy</w:t>
      </w:r>
      <w:r w:rsidR="0034199D" w:rsidRPr="00DD1BF7">
        <w:rPr>
          <w:rFonts w:ascii="Arial" w:hAnsi="Arial" w:cs="Arial"/>
          <w:sz w:val="24"/>
          <w:szCs w:val="24"/>
        </w:rPr>
        <w:t>, for example through</w:t>
      </w:r>
      <w:r w:rsidR="00D947C4" w:rsidRPr="00DD1BF7">
        <w:rPr>
          <w:rFonts w:ascii="Arial" w:hAnsi="Arial" w:cs="Arial"/>
          <w:sz w:val="24"/>
          <w:szCs w:val="24"/>
        </w:rPr>
        <w:t xml:space="preserve"> </w:t>
      </w:r>
      <w:r w:rsidR="0050413D" w:rsidRPr="00DD1BF7">
        <w:rPr>
          <w:rFonts w:ascii="Arial" w:hAnsi="Arial" w:cs="Arial"/>
          <w:sz w:val="24"/>
          <w:szCs w:val="24"/>
        </w:rPr>
        <w:t>legal procedures by settlers</w:t>
      </w:r>
      <w:r w:rsidR="0034199D" w:rsidRPr="00DD1BF7">
        <w:rPr>
          <w:rFonts w:ascii="Arial" w:hAnsi="Arial" w:cs="Arial"/>
          <w:sz w:val="24"/>
          <w:szCs w:val="24"/>
        </w:rPr>
        <w:t xml:space="preserve"> attempting to hasten</w:t>
      </w:r>
      <w:r w:rsidR="00492659" w:rsidRPr="00DD1BF7">
        <w:rPr>
          <w:rFonts w:ascii="Arial" w:hAnsi="Arial" w:cs="Arial"/>
          <w:sz w:val="24"/>
          <w:szCs w:val="24"/>
        </w:rPr>
        <w:t xml:space="preserve"> displacement of Palestinians in East Jerusalem and Area C, including the above-mentioned school. </w:t>
      </w:r>
      <w:r w:rsidR="00D07B02" w:rsidRPr="00DD1BF7">
        <w:rPr>
          <w:rFonts w:ascii="Arial" w:hAnsi="Arial" w:cs="Arial"/>
          <w:sz w:val="24"/>
          <w:szCs w:val="24"/>
        </w:rPr>
        <w:t>Most notabl</w:t>
      </w:r>
      <w:r w:rsidR="00A01D4E" w:rsidRPr="00DD1BF7">
        <w:rPr>
          <w:rFonts w:ascii="Arial" w:hAnsi="Arial" w:cs="Arial"/>
          <w:sz w:val="24"/>
          <w:szCs w:val="24"/>
        </w:rPr>
        <w:t>e</w:t>
      </w:r>
      <w:r w:rsidR="00D07B02" w:rsidRPr="00DD1BF7">
        <w:rPr>
          <w:rFonts w:ascii="Arial" w:hAnsi="Arial" w:cs="Arial"/>
          <w:sz w:val="24"/>
          <w:szCs w:val="24"/>
        </w:rPr>
        <w:t xml:space="preserve"> is </w:t>
      </w:r>
      <w:r w:rsidR="00492659" w:rsidRPr="00DD1BF7">
        <w:rPr>
          <w:rFonts w:ascii="Arial" w:hAnsi="Arial" w:cs="Arial"/>
          <w:sz w:val="24"/>
          <w:szCs w:val="24"/>
        </w:rPr>
        <w:t xml:space="preserve">the </w:t>
      </w:r>
      <w:proofErr w:type="spellStart"/>
      <w:r w:rsidR="00D07B02" w:rsidRPr="00DD1BF7">
        <w:rPr>
          <w:rFonts w:ascii="Arial" w:hAnsi="Arial" w:cs="Arial"/>
          <w:sz w:val="24"/>
          <w:szCs w:val="24"/>
        </w:rPr>
        <w:t>Regavim</w:t>
      </w:r>
      <w:proofErr w:type="spellEnd"/>
      <w:r w:rsidR="00492659" w:rsidRPr="00DD1BF7">
        <w:rPr>
          <w:rFonts w:ascii="Arial" w:hAnsi="Arial" w:cs="Arial"/>
          <w:sz w:val="24"/>
          <w:szCs w:val="24"/>
        </w:rPr>
        <w:t xml:space="preserve"> settler organization’s</w:t>
      </w:r>
      <w:r w:rsidR="00D07B02" w:rsidRPr="00DD1BF7">
        <w:rPr>
          <w:rFonts w:ascii="Arial" w:hAnsi="Arial" w:cs="Arial"/>
          <w:sz w:val="24"/>
          <w:szCs w:val="24"/>
        </w:rPr>
        <w:t xml:space="preserve"> request </w:t>
      </w:r>
      <w:r w:rsidR="00492659" w:rsidRPr="00DD1BF7">
        <w:rPr>
          <w:rFonts w:ascii="Arial" w:hAnsi="Arial" w:cs="Arial"/>
          <w:sz w:val="24"/>
          <w:szCs w:val="24"/>
        </w:rPr>
        <w:t>of</w:t>
      </w:r>
      <w:r w:rsidR="00D07B02" w:rsidRPr="00DD1BF7">
        <w:rPr>
          <w:rFonts w:ascii="Arial" w:hAnsi="Arial" w:cs="Arial"/>
          <w:sz w:val="24"/>
          <w:szCs w:val="24"/>
        </w:rPr>
        <w:t xml:space="preserve"> December 2011 to be recognized as amicus curiae</w:t>
      </w:r>
      <w:r w:rsidR="00A01D4E" w:rsidRPr="00DD1BF7">
        <w:rPr>
          <w:rStyle w:val="FootnoteReference"/>
          <w:rFonts w:ascii="Arial" w:hAnsi="Arial" w:cs="Arial"/>
          <w:sz w:val="24"/>
          <w:szCs w:val="24"/>
        </w:rPr>
        <w:footnoteReference w:id="22"/>
      </w:r>
      <w:r w:rsidR="00D07B02" w:rsidRPr="00DD1BF7">
        <w:rPr>
          <w:rFonts w:ascii="Arial" w:hAnsi="Arial" w:cs="Arial"/>
          <w:sz w:val="24"/>
          <w:szCs w:val="24"/>
        </w:rPr>
        <w:t xml:space="preserve"> regarding 162 pending Palestinian demolition cases. The petition alleged that the High Court was deficient in respond</w:t>
      </w:r>
      <w:r w:rsidR="008B346F" w:rsidRPr="00DD1BF7">
        <w:rPr>
          <w:rFonts w:ascii="Arial" w:hAnsi="Arial" w:cs="Arial"/>
          <w:sz w:val="24"/>
          <w:szCs w:val="24"/>
        </w:rPr>
        <w:t>ing</w:t>
      </w:r>
      <w:r w:rsidR="00D07B02" w:rsidRPr="00DD1BF7">
        <w:rPr>
          <w:rFonts w:ascii="Arial" w:hAnsi="Arial" w:cs="Arial"/>
          <w:sz w:val="24"/>
          <w:szCs w:val="24"/>
        </w:rPr>
        <w:t xml:space="preserve"> to outstanding petitions relating to the enforcement of demolition orders in Area C. In a response, the Attorney-General declared that his office will file the Stat</w:t>
      </w:r>
      <w:r w:rsidR="00492659" w:rsidRPr="00DD1BF7">
        <w:rPr>
          <w:rFonts w:ascii="Arial" w:hAnsi="Arial" w:cs="Arial"/>
          <w:sz w:val="24"/>
          <w:szCs w:val="24"/>
        </w:rPr>
        <w:t>e</w:t>
      </w:r>
      <w:r w:rsidR="00D07B02" w:rsidRPr="00DD1BF7">
        <w:rPr>
          <w:rFonts w:ascii="Arial" w:hAnsi="Arial" w:cs="Arial"/>
          <w:sz w:val="24"/>
          <w:szCs w:val="24"/>
        </w:rPr>
        <w:t>’s replies to these cases to the High Court, “in accordance with the priorities of the competent parties”</w:t>
      </w:r>
      <w:r w:rsidR="00D07B02" w:rsidRPr="00DD1BF7">
        <w:rPr>
          <w:rFonts w:ascii="Arial" w:hAnsi="Arial" w:cs="Arial"/>
          <w:sz w:val="24"/>
          <w:szCs w:val="24"/>
          <w:vertAlign w:val="superscript"/>
        </w:rPr>
        <w:footnoteReference w:id="23"/>
      </w:r>
      <w:r w:rsidR="00D07B02" w:rsidRPr="00DD1BF7">
        <w:rPr>
          <w:rFonts w:ascii="Arial" w:hAnsi="Arial" w:cs="Arial"/>
          <w:sz w:val="24"/>
          <w:szCs w:val="24"/>
        </w:rPr>
        <w:t xml:space="preserve"> by 8 August 2012. The Attorney-General stated that for new cases lengthy adjournments will no longer be requested, instead priority cases will be listed</w:t>
      </w:r>
      <w:r w:rsidR="00531456" w:rsidRPr="00DD1BF7">
        <w:rPr>
          <w:rFonts w:ascii="Arial" w:hAnsi="Arial" w:cs="Arial"/>
          <w:sz w:val="24"/>
          <w:szCs w:val="24"/>
        </w:rPr>
        <w:t xml:space="preserve"> –</w:t>
      </w:r>
      <w:r w:rsidR="00D07B02" w:rsidRPr="00DD1BF7">
        <w:rPr>
          <w:rFonts w:ascii="Arial" w:hAnsi="Arial" w:cs="Arial"/>
          <w:sz w:val="24"/>
          <w:szCs w:val="24"/>
        </w:rPr>
        <w:t xml:space="preserve"> </w:t>
      </w:r>
      <w:r w:rsidR="00531456" w:rsidRPr="00DD1BF7">
        <w:rPr>
          <w:rFonts w:ascii="Arial" w:hAnsi="Arial" w:cs="Arial"/>
          <w:sz w:val="24"/>
          <w:szCs w:val="24"/>
        </w:rPr>
        <w:t xml:space="preserve">presumably </w:t>
      </w:r>
      <w:r w:rsidR="00D07B02" w:rsidRPr="00DD1BF7">
        <w:rPr>
          <w:rFonts w:ascii="Arial" w:hAnsi="Arial" w:cs="Arial"/>
          <w:sz w:val="24"/>
          <w:szCs w:val="24"/>
        </w:rPr>
        <w:t>for demolition within a reduced timeframe.</w:t>
      </w:r>
    </w:p>
    <w:p w14:paraId="4084739C" w14:textId="77777777" w:rsidR="00BF72EC" w:rsidRPr="00DD1BF7" w:rsidRDefault="00BF72EC" w:rsidP="00844315">
      <w:pPr>
        <w:pStyle w:val="ListParagraph"/>
        <w:spacing w:line="240" w:lineRule="auto"/>
        <w:ind w:left="426"/>
        <w:jc w:val="both"/>
        <w:rPr>
          <w:rFonts w:ascii="Arial" w:hAnsi="Arial" w:cs="Arial"/>
          <w:sz w:val="24"/>
          <w:szCs w:val="24"/>
        </w:rPr>
      </w:pPr>
    </w:p>
    <w:p w14:paraId="3453FDC4" w14:textId="77777777" w:rsidR="00F542BB" w:rsidRPr="00DD1BF7" w:rsidRDefault="001A0E4F" w:rsidP="001A0E4F">
      <w:pPr>
        <w:pStyle w:val="ListParagraph"/>
        <w:numPr>
          <w:ilvl w:val="0"/>
          <w:numId w:val="12"/>
        </w:numPr>
        <w:spacing w:line="240" w:lineRule="auto"/>
        <w:ind w:left="426"/>
        <w:jc w:val="both"/>
        <w:rPr>
          <w:rFonts w:ascii="Arial" w:hAnsi="Arial" w:cs="Arial"/>
          <w:sz w:val="24"/>
          <w:szCs w:val="24"/>
        </w:rPr>
      </w:pPr>
      <w:r w:rsidRPr="00DD1BF7">
        <w:rPr>
          <w:rFonts w:ascii="Arial" w:hAnsi="Arial" w:cs="Arial"/>
          <w:sz w:val="24"/>
          <w:szCs w:val="24"/>
        </w:rPr>
        <w:t>L</w:t>
      </w:r>
      <w:r w:rsidR="00D07B02" w:rsidRPr="00DD1BF7">
        <w:rPr>
          <w:rFonts w:ascii="Arial" w:hAnsi="Arial" w:cs="Arial"/>
          <w:sz w:val="24"/>
          <w:szCs w:val="24"/>
        </w:rPr>
        <w:t>egal assistance providers have noted with concern a reduction in the time provided by the ICA in which to object to demolition and eviction orders to three days or less.  One example is Khan al-</w:t>
      </w:r>
      <w:proofErr w:type="spellStart"/>
      <w:r w:rsidR="00D07B02" w:rsidRPr="00DD1BF7">
        <w:rPr>
          <w:rFonts w:ascii="Arial" w:hAnsi="Arial" w:cs="Arial"/>
          <w:sz w:val="24"/>
          <w:szCs w:val="24"/>
        </w:rPr>
        <w:t>Ahmar</w:t>
      </w:r>
      <w:proofErr w:type="spellEnd"/>
      <w:r w:rsidR="00D07B02" w:rsidRPr="00DD1BF7">
        <w:rPr>
          <w:rFonts w:ascii="Arial" w:hAnsi="Arial" w:cs="Arial"/>
          <w:sz w:val="24"/>
          <w:szCs w:val="24"/>
        </w:rPr>
        <w:t xml:space="preserve"> </w:t>
      </w:r>
      <w:proofErr w:type="spellStart"/>
      <w:r w:rsidR="00D07B02" w:rsidRPr="00DD1BF7">
        <w:rPr>
          <w:rFonts w:ascii="Arial" w:hAnsi="Arial" w:cs="Arial"/>
          <w:sz w:val="24"/>
          <w:szCs w:val="24"/>
        </w:rPr>
        <w:t>Kurshan</w:t>
      </w:r>
      <w:proofErr w:type="spellEnd"/>
      <w:r w:rsidR="00D07B02" w:rsidRPr="00DD1BF7">
        <w:rPr>
          <w:rFonts w:ascii="Arial" w:hAnsi="Arial" w:cs="Arial"/>
          <w:sz w:val="24"/>
          <w:szCs w:val="24"/>
        </w:rPr>
        <w:t xml:space="preserve"> (</w:t>
      </w:r>
      <w:r w:rsidR="009336C1" w:rsidRPr="00DD1BF7">
        <w:rPr>
          <w:rFonts w:ascii="Arial" w:hAnsi="Arial" w:cs="Arial"/>
          <w:sz w:val="24"/>
          <w:szCs w:val="24"/>
        </w:rPr>
        <w:t xml:space="preserve">a Bedouin community </w:t>
      </w:r>
      <w:r w:rsidR="00D07B02" w:rsidRPr="00DD1BF7">
        <w:rPr>
          <w:rFonts w:ascii="Arial" w:hAnsi="Arial" w:cs="Arial"/>
          <w:sz w:val="24"/>
          <w:szCs w:val="24"/>
        </w:rPr>
        <w:t>in the eastern Jerusalem periphery) where people were given 24 hours to leave their homes. Further, due to additio</w:t>
      </w:r>
      <w:r w:rsidR="00A07E34" w:rsidRPr="00DD1BF7">
        <w:rPr>
          <w:rFonts w:ascii="Arial" w:hAnsi="Arial" w:cs="Arial"/>
          <w:sz w:val="24"/>
          <w:szCs w:val="24"/>
        </w:rPr>
        <w:t>nal resources given to the ICA</w:t>
      </w:r>
      <w:r w:rsidR="00D07B02" w:rsidRPr="00DD1BF7">
        <w:rPr>
          <w:rFonts w:ascii="Arial" w:hAnsi="Arial" w:cs="Arial"/>
          <w:sz w:val="24"/>
          <w:szCs w:val="24"/>
        </w:rPr>
        <w:t>, th</w:t>
      </w:r>
      <w:r w:rsidR="00A07E34" w:rsidRPr="00DD1BF7">
        <w:rPr>
          <w:rFonts w:ascii="Arial" w:hAnsi="Arial" w:cs="Arial"/>
          <w:sz w:val="24"/>
          <w:szCs w:val="24"/>
        </w:rPr>
        <w:t>e legal process is speeded up</w:t>
      </w:r>
      <w:r w:rsidR="00D07B02" w:rsidRPr="00DD1BF7">
        <w:rPr>
          <w:rFonts w:ascii="Arial" w:hAnsi="Arial" w:cs="Arial"/>
          <w:sz w:val="24"/>
          <w:szCs w:val="24"/>
        </w:rPr>
        <w:t xml:space="preserve"> and rejections issued more rapidly. These policies seem to prevent people’s access to justice, as lawyers do not have sufficient time to prepare their legal </w:t>
      </w:r>
      <w:r w:rsidR="00D07B02" w:rsidRPr="00DD1BF7">
        <w:rPr>
          <w:rFonts w:ascii="Arial" w:hAnsi="Arial" w:cs="Arial"/>
          <w:sz w:val="24"/>
          <w:szCs w:val="24"/>
        </w:rPr>
        <w:lastRenderedPageBreak/>
        <w:t xml:space="preserve">interventions. The shortened timeframes also raise questions about whether adequate time is allocated for the ICA to review the cases in sufficient detail. </w:t>
      </w:r>
    </w:p>
    <w:p w14:paraId="153B16BB" w14:textId="77777777" w:rsidR="00260436" w:rsidRPr="00DD1BF7" w:rsidRDefault="00260436" w:rsidP="0032370A">
      <w:pPr>
        <w:pStyle w:val="ListParagraph"/>
        <w:spacing w:line="240" w:lineRule="auto"/>
        <w:ind w:left="426"/>
        <w:jc w:val="both"/>
        <w:rPr>
          <w:sz w:val="24"/>
          <w:szCs w:val="24"/>
        </w:rPr>
      </w:pPr>
    </w:p>
    <w:p w14:paraId="16E3C533" w14:textId="77777777" w:rsidR="000875D5" w:rsidRPr="00DD1BF7" w:rsidRDefault="003D4265" w:rsidP="000875D5">
      <w:pPr>
        <w:pStyle w:val="ListParagraph"/>
        <w:numPr>
          <w:ilvl w:val="0"/>
          <w:numId w:val="12"/>
        </w:numPr>
        <w:spacing w:line="240" w:lineRule="auto"/>
        <w:ind w:left="426"/>
        <w:jc w:val="both"/>
        <w:rPr>
          <w:rFonts w:ascii="Arial" w:hAnsi="Arial" w:cs="Arial"/>
          <w:sz w:val="24"/>
          <w:szCs w:val="24"/>
        </w:rPr>
      </w:pPr>
      <w:r w:rsidRPr="00DD1BF7">
        <w:rPr>
          <w:rFonts w:ascii="Arial" w:hAnsi="Arial" w:cs="Arial"/>
          <w:sz w:val="24"/>
          <w:szCs w:val="24"/>
        </w:rPr>
        <w:t xml:space="preserve">The above clearly shows that many </w:t>
      </w:r>
      <w:r w:rsidR="00963DF2" w:rsidRPr="00DD1BF7">
        <w:rPr>
          <w:rFonts w:ascii="Arial" w:hAnsi="Arial" w:cs="Arial"/>
          <w:sz w:val="24"/>
          <w:szCs w:val="24"/>
        </w:rPr>
        <w:t>basic rights of the</w:t>
      </w:r>
      <w:r w:rsidRPr="00DD1BF7">
        <w:rPr>
          <w:rFonts w:ascii="Arial" w:hAnsi="Arial" w:cs="Arial"/>
          <w:sz w:val="24"/>
          <w:szCs w:val="24"/>
        </w:rPr>
        <w:t xml:space="preserve"> Palestinians, as protected people </w:t>
      </w:r>
      <w:r w:rsidR="00015429" w:rsidRPr="00DD1BF7">
        <w:rPr>
          <w:rFonts w:ascii="Arial" w:hAnsi="Arial" w:cs="Arial"/>
          <w:sz w:val="24"/>
          <w:szCs w:val="24"/>
        </w:rPr>
        <w:t>of an occupied territory</w:t>
      </w:r>
      <w:r w:rsidRPr="00DD1BF7">
        <w:rPr>
          <w:rFonts w:ascii="Arial" w:hAnsi="Arial" w:cs="Arial"/>
          <w:sz w:val="24"/>
          <w:szCs w:val="24"/>
        </w:rPr>
        <w:t xml:space="preserve">, are systematically being violated. </w:t>
      </w:r>
      <w:r w:rsidR="00D248D1" w:rsidRPr="00DD1BF7">
        <w:rPr>
          <w:rFonts w:ascii="Arial" w:hAnsi="Arial" w:cs="Arial"/>
          <w:sz w:val="24"/>
          <w:szCs w:val="24"/>
        </w:rPr>
        <w:t>Z</w:t>
      </w:r>
      <w:r w:rsidR="00015429" w:rsidRPr="00DD1BF7">
        <w:rPr>
          <w:rFonts w:ascii="Arial" w:hAnsi="Arial" w:cs="Arial"/>
          <w:sz w:val="24"/>
          <w:szCs w:val="24"/>
        </w:rPr>
        <w:t xml:space="preserve">oning and planning </w:t>
      </w:r>
      <w:proofErr w:type="gramStart"/>
      <w:r w:rsidR="00015429" w:rsidRPr="00DD1BF7">
        <w:rPr>
          <w:rFonts w:ascii="Arial" w:hAnsi="Arial" w:cs="Arial"/>
          <w:sz w:val="24"/>
          <w:szCs w:val="24"/>
        </w:rPr>
        <w:t>are</w:t>
      </w:r>
      <w:proofErr w:type="gramEnd"/>
      <w:r w:rsidR="00015429" w:rsidRPr="00DD1BF7">
        <w:rPr>
          <w:rFonts w:ascii="Arial" w:hAnsi="Arial" w:cs="Arial"/>
          <w:sz w:val="24"/>
          <w:szCs w:val="24"/>
        </w:rPr>
        <w:t xml:space="preserve"> a major contributor to th</w:t>
      </w:r>
      <w:r w:rsidR="00B26393" w:rsidRPr="00DD1BF7">
        <w:rPr>
          <w:rFonts w:ascii="Arial" w:hAnsi="Arial" w:cs="Arial"/>
          <w:sz w:val="24"/>
          <w:szCs w:val="24"/>
        </w:rPr>
        <w:t>ese violations</w:t>
      </w:r>
      <w:r w:rsidR="00015429" w:rsidRPr="00DD1BF7">
        <w:rPr>
          <w:rFonts w:ascii="Arial" w:hAnsi="Arial" w:cs="Arial"/>
          <w:sz w:val="24"/>
          <w:szCs w:val="24"/>
        </w:rPr>
        <w:t xml:space="preserve"> </w:t>
      </w:r>
      <w:r w:rsidR="00D248D1" w:rsidRPr="00DD1BF7">
        <w:rPr>
          <w:rFonts w:ascii="Arial" w:hAnsi="Arial" w:cs="Arial"/>
          <w:sz w:val="24"/>
          <w:szCs w:val="24"/>
        </w:rPr>
        <w:t xml:space="preserve">leading </w:t>
      </w:r>
      <w:r w:rsidR="004E28C6" w:rsidRPr="00DD1BF7">
        <w:rPr>
          <w:rFonts w:ascii="Arial" w:hAnsi="Arial" w:cs="Arial"/>
          <w:sz w:val="24"/>
          <w:szCs w:val="24"/>
        </w:rPr>
        <w:t xml:space="preserve">to forced displacement. </w:t>
      </w:r>
      <w:r w:rsidRPr="00DD1BF7">
        <w:rPr>
          <w:rFonts w:ascii="Arial" w:hAnsi="Arial" w:cs="Arial"/>
          <w:sz w:val="24"/>
          <w:szCs w:val="24"/>
        </w:rPr>
        <w:t xml:space="preserve">Therefore, Israel should transfer planning authorities to a civilian, Palestinian body that ensures </w:t>
      </w:r>
      <w:r w:rsidR="00015429" w:rsidRPr="00DD1BF7">
        <w:rPr>
          <w:rFonts w:ascii="Arial" w:hAnsi="Arial" w:cs="Arial"/>
          <w:sz w:val="24"/>
          <w:szCs w:val="24"/>
        </w:rPr>
        <w:t xml:space="preserve">fair and equal access, </w:t>
      </w:r>
      <w:r w:rsidRPr="00DD1BF7">
        <w:rPr>
          <w:rFonts w:ascii="Arial" w:hAnsi="Arial" w:cs="Arial"/>
          <w:sz w:val="24"/>
          <w:szCs w:val="24"/>
        </w:rPr>
        <w:t>genuine consultation, participation and representation</w:t>
      </w:r>
      <w:r w:rsidR="00D248D1" w:rsidRPr="00DD1BF7">
        <w:rPr>
          <w:rFonts w:ascii="Arial" w:hAnsi="Arial" w:cs="Arial"/>
          <w:sz w:val="24"/>
          <w:szCs w:val="24"/>
        </w:rPr>
        <w:t xml:space="preserve"> from </w:t>
      </w:r>
      <w:r w:rsidRPr="00DD1BF7">
        <w:rPr>
          <w:rFonts w:ascii="Arial" w:hAnsi="Arial" w:cs="Arial"/>
          <w:sz w:val="24"/>
          <w:szCs w:val="24"/>
        </w:rPr>
        <w:t>Palestinian communities</w:t>
      </w:r>
      <w:r w:rsidR="00015429" w:rsidRPr="00DD1BF7">
        <w:rPr>
          <w:rFonts w:ascii="Arial" w:hAnsi="Arial" w:cs="Arial"/>
          <w:sz w:val="24"/>
          <w:szCs w:val="24"/>
        </w:rPr>
        <w:t xml:space="preserve"> in Area C and East Jerusalem</w:t>
      </w:r>
      <w:r w:rsidRPr="00DD1BF7">
        <w:rPr>
          <w:rFonts w:ascii="Arial" w:hAnsi="Arial" w:cs="Arial"/>
          <w:sz w:val="24"/>
          <w:szCs w:val="24"/>
        </w:rPr>
        <w:t xml:space="preserve">. </w:t>
      </w:r>
      <w:r w:rsidR="00015429" w:rsidRPr="00DD1BF7">
        <w:rPr>
          <w:rFonts w:ascii="Arial" w:hAnsi="Arial" w:cs="Arial"/>
          <w:sz w:val="24"/>
          <w:szCs w:val="24"/>
        </w:rPr>
        <w:t xml:space="preserve">Until this transfer </w:t>
      </w:r>
      <w:r w:rsidR="00D248D1" w:rsidRPr="00DD1BF7">
        <w:rPr>
          <w:rFonts w:ascii="Arial" w:hAnsi="Arial" w:cs="Arial"/>
          <w:sz w:val="24"/>
          <w:szCs w:val="24"/>
        </w:rPr>
        <w:t>happens</w:t>
      </w:r>
      <w:r w:rsidR="00015429" w:rsidRPr="00DD1BF7">
        <w:rPr>
          <w:rFonts w:ascii="Arial" w:hAnsi="Arial" w:cs="Arial"/>
          <w:sz w:val="24"/>
          <w:szCs w:val="24"/>
        </w:rPr>
        <w:t xml:space="preserve">, Israel should immediately cease demolitions of Palestinian property and the issuance of demolitions orders, </w:t>
      </w:r>
      <w:r w:rsidR="00F41050" w:rsidRPr="00DD1BF7">
        <w:rPr>
          <w:rFonts w:ascii="Arial" w:hAnsi="Arial" w:cs="Arial"/>
          <w:sz w:val="24"/>
          <w:szCs w:val="24"/>
        </w:rPr>
        <w:t>while</w:t>
      </w:r>
      <w:r w:rsidR="00015429" w:rsidRPr="00DD1BF7">
        <w:rPr>
          <w:rFonts w:ascii="Arial" w:hAnsi="Arial" w:cs="Arial"/>
          <w:sz w:val="24"/>
          <w:szCs w:val="24"/>
        </w:rPr>
        <w:t xml:space="preserve"> canceling current orders affecting homes, livelihood structures, and public infrastructure</w:t>
      </w:r>
      <w:r w:rsidR="005C5FBC" w:rsidRPr="00DD1BF7">
        <w:rPr>
          <w:rFonts w:ascii="Arial" w:hAnsi="Arial" w:cs="Arial"/>
          <w:sz w:val="24"/>
          <w:szCs w:val="24"/>
        </w:rPr>
        <w:t xml:space="preserve"> (</w:t>
      </w:r>
      <w:r w:rsidR="00015429" w:rsidRPr="00DD1BF7">
        <w:rPr>
          <w:rFonts w:ascii="Arial" w:hAnsi="Arial" w:cs="Arial"/>
          <w:sz w:val="24"/>
          <w:szCs w:val="24"/>
        </w:rPr>
        <w:t>schools, water cisterns, electrical networks</w:t>
      </w:r>
      <w:r w:rsidR="005C5FBC" w:rsidRPr="00DD1BF7">
        <w:rPr>
          <w:rFonts w:ascii="Arial" w:hAnsi="Arial" w:cs="Arial"/>
          <w:sz w:val="24"/>
          <w:szCs w:val="24"/>
        </w:rPr>
        <w:t>)</w:t>
      </w:r>
      <w:r w:rsidR="00015429" w:rsidRPr="00DD1BF7">
        <w:rPr>
          <w:rFonts w:ascii="Arial" w:hAnsi="Arial" w:cs="Arial"/>
          <w:sz w:val="24"/>
          <w:szCs w:val="24"/>
        </w:rPr>
        <w:t xml:space="preserve">, or agricultural land. </w:t>
      </w:r>
      <w:r w:rsidR="00F22637" w:rsidRPr="00DD1BF7">
        <w:rPr>
          <w:rFonts w:ascii="Arial" w:hAnsi="Arial" w:cs="Arial"/>
          <w:sz w:val="24"/>
          <w:szCs w:val="24"/>
        </w:rPr>
        <w:t>Israel should cease construction of Jewish settlements, national parks, and the Wall in oPt.</w:t>
      </w:r>
      <w:r w:rsidR="000875D5" w:rsidRPr="00DD1BF7">
        <w:rPr>
          <w:rFonts w:ascii="Arial" w:hAnsi="Arial" w:cs="Arial"/>
          <w:sz w:val="24"/>
          <w:szCs w:val="24"/>
        </w:rPr>
        <w:t xml:space="preserve"> Israel should ensure fair and equal access to legal remedy for Palestinians.</w:t>
      </w:r>
    </w:p>
    <w:sectPr w:rsidR="000875D5" w:rsidRPr="00DD1BF7" w:rsidSect="00A9762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41671" w14:textId="77777777" w:rsidR="009E26BA" w:rsidRDefault="009E26BA" w:rsidP="00F860CF">
      <w:pPr>
        <w:spacing w:after="0" w:line="240" w:lineRule="auto"/>
      </w:pPr>
      <w:r>
        <w:separator/>
      </w:r>
    </w:p>
  </w:endnote>
  <w:endnote w:type="continuationSeparator" w:id="0">
    <w:p w14:paraId="4567F2F7" w14:textId="77777777" w:rsidR="009E26BA" w:rsidRDefault="009E26BA" w:rsidP="00F860CF">
      <w:pPr>
        <w:spacing w:after="0" w:line="240" w:lineRule="auto"/>
      </w:pPr>
      <w:r>
        <w:continuationSeparator/>
      </w:r>
    </w:p>
  </w:endnote>
  <w:endnote w:id="1">
    <w:p w14:paraId="6AC09842" w14:textId="77777777" w:rsidR="00A50459" w:rsidRPr="002541EB" w:rsidRDefault="00A50459" w:rsidP="002541EB">
      <w:pPr>
        <w:pStyle w:val="sa"/>
        <w:shd w:val="clear" w:color="auto" w:fill="FFFFFF"/>
        <w:spacing w:before="45" w:beforeAutospacing="0" w:after="180" w:afterAutospacing="0"/>
        <w:rPr>
          <w:rFonts w:ascii="Times New Roman" w:eastAsia="SimSun" w:hAnsi="Times New Roman" w:cs="Times New Roman"/>
          <w:sz w:val="20"/>
          <w:szCs w:val="20"/>
          <w:lang w:eastAsia="zh-CN" w:bidi="ar-SA"/>
        </w:rPr>
      </w:pPr>
      <w:r w:rsidRPr="002541EB">
        <w:rPr>
          <w:rStyle w:val="EndnoteReference"/>
          <w:rFonts w:ascii="Times New Roman" w:hAnsi="Times New Roman" w:cs="Times New Roman"/>
          <w:sz w:val="20"/>
          <w:szCs w:val="20"/>
        </w:rPr>
        <w:endnoteRef/>
      </w:r>
      <w:r w:rsidRPr="002541EB">
        <w:rPr>
          <w:rFonts w:ascii="Times New Roman" w:hAnsi="Times New Roman" w:cs="Times New Roman"/>
          <w:sz w:val="20"/>
          <w:szCs w:val="20"/>
        </w:rPr>
        <w:t xml:space="preserve"> </w:t>
      </w:r>
      <w:r w:rsidRPr="002541EB">
        <w:rPr>
          <w:rFonts w:ascii="Times New Roman" w:eastAsia="SimSun" w:hAnsi="Times New Roman" w:cs="Times New Roman"/>
          <w:sz w:val="20"/>
          <w:szCs w:val="20"/>
          <w:lang w:eastAsia="zh-CN" w:bidi="ar-SA"/>
        </w:rPr>
        <w:t>In 1967, the Israeli army invaded the Palestinian territory and gained effective control over it. Since then, the West bank - including East Jerusalem - and the Gaza Strip constitute occupied territory.</w:t>
      </w:r>
    </w:p>
    <w:p w14:paraId="799E0B2B" w14:textId="77777777" w:rsidR="00A50459" w:rsidRPr="002541EB" w:rsidRDefault="00A50459" w:rsidP="002541EB">
      <w:pPr>
        <w:pStyle w:val="sa"/>
        <w:shd w:val="clear" w:color="auto" w:fill="FFFFFF"/>
        <w:spacing w:before="45" w:beforeAutospacing="0" w:after="180" w:afterAutospacing="0"/>
        <w:rPr>
          <w:rFonts w:ascii="Times New Roman" w:eastAsia="SimSun" w:hAnsi="Times New Roman" w:cs="Times New Roman"/>
          <w:sz w:val="20"/>
          <w:szCs w:val="20"/>
          <w:lang w:eastAsia="zh-CN" w:bidi="ar-SA"/>
        </w:rPr>
      </w:pPr>
      <w:r w:rsidRPr="002541EB">
        <w:rPr>
          <w:rFonts w:ascii="Times New Roman" w:eastAsia="SimSun" w:hAnsi="Times New Roman" w:cs="Times New Roman"/>
          <w:sz w:val="20"/>
          <w:szCs w:val="20"/>
          <w:lang w:eastAsia="zh-CN" w:bidi="ar-SA"/>
        </w:rPr>
        <w:t xml:space="preserve">The International Committee of the Red Cross (ICRC) has stated that the occupied Palestinian </w:t>
      </w:r>
      <w:proofErr w:type="spellStart"/>
      <w:r w:rsidRPr="002541EB">
        <w:rPr>
          <w:rFonts w:ascii="Times New Roman" w:eastAsia="SimSun" w:hAnsi="Times New Roman" w:cs="Times New Roman"/>
          <w:sz w:val="20"/>
          <w:szCs w:val="20"/>
          <w:lang w:eastAsia="zh-CN" w:bidi="ar-SA"/>
        </w:rPr>
        <w:t>territroty</w:t>
      </w:r>
      <w:proofErr w:type="spellEnd"/>
      <w:r w:rsidRPr="002541EB">
        <w:rPr>
          <w:rFonts w:ascii="Times New Roman" w:eastAsia="SimSun" w:hAnsi="Times New Roman" w:cs="Times New Roman"/>
          <w:sz w:val="20"/>
          <w:szCs w:val="20"/>
          <w:lang w:eastAsia="zh-CN" w:bidi="ar-SA"/>
        </w:rPr>
        <w:t xml:space="preserve"> (</w:t>
      </w:r>
      <w:proofErr w:type="spellStart"/>
      <w:r w:rsidRPr="002541EB">
        <w:rPr>
          <w:rFonts w:ascii="Times New Roman" w:eastAsia="SimSun" w:hAnsi="Times New Roman" w:cs="Times New Roman"/>
          <w:sz w:val="20"/>
          <w:szCs w:val="20"/>
          <w:lang w:eastAsia="zh-CN" w:bidi="ar-SA"/>
        </w:rPr>
        <w:t>oPt</w:t>
      </w:r>
      <w:proofErr w:type="spellEnd"/>
      <w:r w:rsidRPr="002541EB">
        <w:rPr>
          <w:rFonts w:ascii="Times New Roman" w:eastAsia="SimSun" w:hAnsi="Times New Roman" w:cs="Times New Roman"/>
          <w:sz w:val="20"/>
          <w:szCs w:val="20"/>
          <w:lang w:eastAsia="zh-CN" w:bidi="ar-SA"/>
        </w:rPr>
        <w:t xml:space="preserve">) is a </w:t>
      </w:r>
      <w:proofErr w:type="spellStart"/>
      <w:r w:rsidRPr="002541EB">
        <w:rPr>
          <w:rFonts w:ascii="Times New Roman" w:eastAsia="SimSun" w:hAnsi="Times New Roman" w:cs="Times New Roman"/>
          <w:sz w:val="20"/>
          <w:szCs w:val="20"/>
          <w:lang w:eastAsia="zh-CN" w:bidi="ar-SA"/>
        </w:rPr>
        <w:t>territroy</w:t>
      </w:r>
      <w:proofErr w:type="spellEnd"/>
      <w:r w:rsidRPr="002541EB">
        <w:rPr>
          <w:rFonts w:ascii="Times New Roman" w:eastAsia="SimSun" w:hAnsi="Times New Roman" w:cs="Times New Roman"/>
          <w:sz w:val="20"/>
          <w:szCs w:val="20"/>
          <w:lang w:eastAsia="zh-CN" w:bidi="ar-SA"/>
        </w:rPr>
        <w:t xml:space="preserve"> under occupation. In its Advisory Opinion from July 2004, the International Court of Justice (ICJ) reaffirmed that </w:t>
      </w:r>
      <w:proofErr w:type="gramStart"/>
      <w:r w:rsidRPr="002541EB">
        <w:rPr>
          <w:rFonts w:ascii="Times New Roman" w:eastAsia="SimSun" w:hAnsi="Times New Roman" w:cs="Times New Roman"/>
          <w:sz w:val="20"/>
          <w:szCs w:val="20"/>
          <w:lang w:eastAsia="zh-CN" w:bidi="ar-SA"/>
        </w:rPr>
        <w:t>the oPt</w:t>
      </w:r>
      <w:proofErr w:type="gramEnd"/>
      <w:r w:rsidRPr="002541EB">
        <w:rPr>
          <w:rFonts w:ascii="Times New Roman" w:eastAsia="SimSun" w:hAnsi="Times New Roman" w:cs="Times New Roman"/>
          <w:sz w:val="20"/>
          <w:szCs w:val="20"/>
          <w:lang w:eastAsia="zh-CN" w:bidi="ar-SA"/>
        </w:rPr>
        <w:t xml:space="preserve"> is a territory under occupation. The laws applicable to </w:t>
      </w:r>
      <w:proofErr w:type="gramStart"/>
      <w:r w:rsidRPr="002541EB">
        <w:rPr>
          <w:rFonts w:ascii="Times New Roman" w:eastAsia="SimSun" w:hAnsi="Times New Roman" w:cs="Times New Roman"/>
          <w:sz w:val="20"/>
          <w:szCs w:val="20"/>
          <w:lang w:eastAsia="zh-CN" w:bidi="ar-SA"/>
        </w:rPr>
        <w:t>the oPt</w:t>
      </w:r>
      <w:proofErr w:type="gramEnd"/>
      <w:r w:rsidRPr="002541EB">
        <w:rPr>
          <w:rFonts w:ascii="Times New Roman" w:eastAsia="SimSun" w:hAnsi="Times New Roman" w:cs="Times New Roman"/>
          <w:sz w:val="20"/>
          <w:szCs w:val="20"/>
          <w:lang w:eastAsia="zh-CN" w:bidi="ar-SA"/>
        </w:rPr>
        <w:t xml:space="preserve"> are the laws of belligerent (hostile) occupation, which are part of international humanitarian law (IHL). These laws are binding </w:t>
      </w:r>
      <w:proofErr w:type="spellStart"/>
      <w:r w:rsidRPr="002541EB">
        <w:rPr>
          <w:rFonts w:ascii="Times New Roman" w:eastAsia="SimSun" w:hAnsi="Times New Roman" w:cs="Times New Roman"/>
          <w:sz w:val="20"/>
          <w:szCs w:val="20"/>
          <w:lang w:eastAsia="zh-CN" w:bidi="ar-SA"/>
        </w:rPr>
        <w:t>onIsrael</w:t>
      </w:r>
      <w:proofErr w:type="spellEnd"/>
      <w:r w:rsidRPr="002541EB">
        <w:rPr>
          <w:rFonts w:ascii="Times New Roman" w:eastAsia="SimSun" w:hAnsi="Times New Roman" w:cs="Times New Roman"/>
          <w:sz w:val="20"/>
          <w:szCs w:val="20"/>
          <w:lang w:eastAsia="zh-CN" w:bidi="ar-SA"/>
        </w:rPr>
        <w:t> according to the international community.</w:t>
      </w:r>
    </w:p>
    <w:p w14:paraId="3F1F5FBD" w14:textId="77777777" w:rsidR="00A50459" w:rsidRPr="00DD1BF7" w:rsidRDefault="00A50459">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95FBD" w14:textId="77777777" w:rsidR="009E26BA" w:rsidRDefault="009E26BA" w:rsidP="00F860CF">
      <w:pPr>
        <w:spacing w:after="0" w:line="240" w:lineRule="auto"/>
      </w:pPr>
      <w:r>
        <w:separator/>
      </w:r>
    </w:p>
  </w:footnote>
  <w:footnote w:type="continuationSeparator" w:id="0">
    <w:p w14:paraId="028F4FF0" w14:textId="77777777" w:rsidR="009E26BA" w:rsidRDefault="009E26BA" w:rsidP="00F860CF">
      <w:pPr>
        <w:spacing w:after="0" w:line="240" w:lineRule="auto"/>
      </w:pPr>
      <w:r>
        <w:continuationSeparator/>
      </w:r>
    </w:p>
  </w:footnote>
  <w:footnote w:id="1">
    <w:p w14:paraId="12A52F32" w14:textId="77777777" w:rsidR="00A50459" w:rsidRPr="006B3659" w:rsidRDefault="00A50459" w:rsidP="004F46D0">
      <w:pPr>
        <w:pStyle w:val="FootnoteText"/>
      </w:pPr>
      <w:r w:rsidRPr="006B3659">
        <w:rPr>
          <w:rStyle w:val="FootnoteReference"/>
        </w:rPr>
        <w:footnoteRef/>
      </w:r>
      <w:r w:rsidRPr="00555AA1">
        <w:rPr>
          <w:lang w:val="en-CA"/>
        </w:rPr>
        <w:t xml:space="preserve"> </w:t>
      </w:r>
      <w:r w:rsidRPr="006B3659">
        <w:t>Order concerning Land and Water Settlement (Judea and Samaria) (No.291)</w:t>
      </w:r>
      <w:proofErr w:type="gramStart"/>
      <w:r w:rsidRPr="006B3659">
        <w:t>,1968</w:t>
      </w:r>
      <w:proofErr w:type="gramEnd"/>
      <w:r w:rsidRPr="006B3659">
        <w:t xml:space="preserve">; and Talia </w:t>
      </w:r>
      <w:proofErr w:type="spellStart"/>
      <w:r w:rsidRPr="006B3659">
        <w:t>Sasson</w:t>
      </w:r>
      <w:proofErr w:type="spellEnd"/>
      <w:r w:rsidRPr="006B3659">
        <w:t xml:space="preserve">, (Interim) Opinion concerning </w:t>
      </w:r>
      <w:proofErr w:type="spellStart"/>
      <w:r w:rsidRPr="006B3659">
        <w:t>Unauthorised</w:t>
      </w:r>
      <w:proofErr w:type="spellEnd"/>
      <w:r w:rsidRPr="006B3659">
        <w:t xml:space="preserve"> Outposts, Jerusalem, February 2005, page 61.</w:t>
      </w:r>
    </w:p>
  </w:footnote>
  <w:footnote w:id="2">
    <w:p w14:paraId="66104D7B" w14:textId="77777777" w:rsidR="00A50459" w:rsidRPr="006B3659" w:rsidRDefault="00A50459" w:rsidP="008E7E9E">
      <w:pPr>
        <w:pStyle w:val="FootnoteText"/>
      </w:pPr>
      <w:r w:rsidRPr="006B3659">
        <w:rPr>
          <w:rStyle w:val="FootnoteReference"/>
        </w:rPr>
        <w:footnoteRef/>
      </w:r>
      <w:r w:rsidRPr="006B3659">
        <w:t xml:space="preserve"> </w:t>
      </w:r>
      <w:r w:rsidRPr="006B3659">
        <w:rPr>
          <w:rFonts w:cstheme="majorBidi"/>
          <w:bCs/>
        </w:rPr>
        <w:t>U</w:t>
      </w:r>
      <w:r w:rsidRPr="006B3659">
        <w:rPr>
          <w:rFonts w:cstheme="majorBidi"/>
        </w:rPr>
        <w:t>nder the Oslo Agreements, a temporary land classification was made: in Area A the Palestinian Authorities have security and civ</w:t>
      </w:r>
      <w:r>
        <w:rPr>
          <w:rFonts w:cstheme="majorBidi"/>
        </w:rPr>
        <w:t>ilian control; in Area B Israel has security control</w:t>
      </w:r>
      <w:r w:rsidRPr="006B3659">
        <w:rPr>
          <w:rFonts w:cstheme="majorBidi"/>
        </w:rPr>
        <w:t xml:space="preserve"> and </w:t>
      </w:r>
      <w:r>
        <w:rPr>
          <w:rFonts w:cstheme="majorBidi"/>
        </w:rPr>
        <w:t xml:space="preserve">the </w:t>
      </w:r>
      <w:r w:rsidRPr="006B3659">
        <w:rPr>
          <w:rFonts w:cstheme="majorBidi"/>
        </w:rPr>
        <w:t xml:space="preserve">Palestinian authorities </w:t>
      </w:r>
      <w:r>
        <w:rPr>
          <w:rFonts w:cstheme="majorBidi"/>
        </w:rPr>
        <w:t>control civil</w:t>
      </w:r>
      <w:r w:rsidRPr="006B3659">
        <w:rPr>
          <w:rFonts w:cstheme="majorBidi"/>
        </w:rPr>
        <w:t xml:space="preserve"> issues; and in Area C Israel has full control over civilian and security matters. </w:t>
      </w:r>
    </w:p>
  </w:footnote>
  <w:footnote w:id="3">
    <w:p w14:paraId="1A7949FE" w14:textId="77777777" w:rsidR="00A50459" w:rsidRPr="006B3659" w:rsidRDefault="00A50459" w:rsidP="007A0ABD">
      <w:pPr>
        <w:pStyle w:val="FootnoteText"/>
      </w:pPr>
      <w:r w:rsidRPr="006B3659">
        <w:rPr>
          <w:rStyle w:val="FootnoteReference"/>
        </w:rPr>
        <w:footnoteRef/>
      </w:r>
      <w:r w:rsidRPr="006B3659">
        <w:t xml:space="preserve"> Office for the Coordination of Humanitarian Affairs (OCHA), “Restricting Space: The Planning Regime Applied by Israel in Area C of the West Bank,” Special Focus, December 2009. </w:t>
      </w:r>
      <w:r w:rsidRPr="006B3659">
        <w:rPr>
          <w:rFonts w:cstheme="majorBidi"/>
        </w:rPr>
        <w:t>There are some 120 settlements and 100 settlement outposts in Area C; some 20% of the land (often overlapping) is allocated to military zones and 10% to nature reserves.</w:t>
      </w:r>
    </w:p>
  </w:footnote>
  <w:footnote w:id="4">
    <w:p w14:paraId="3A1854BD" w14:textId="77777777" w:rsidR="00A50459" w:rsidRPr="006B3659" w:rsidRDefault="00A50459" w:rsidP="00A909BB">
      <w:pPr>
        <w:pStyle w:val="FootnoteText"/>
        <w:jc w:val="both"/>
      </w:pPr>
      <w:r w:rsidRPr="006B3659">
        <w:rPr>
          <w:rStyle w:val="FootnoteReference"/>
        </w:rPr>
        <w:footnoteRef/>
      </w:r>
      <w:r w:rsidRPr="00555AA1">
        <w:rPr>
          <w:lang w:val="en-CA"/>
        </w:rPr>
        <w:t xml:space="preserve"> </w:t>
      </w:r>
      <w:r w:rsidRPr="006B3659">
        <w:t xml:space="preserve">Talia </w:t>
      </w:r>
      <w:proofErr w:type="spellStart"/>
      <w:r w:rsidRPr="006B3659">
        <w:t>Sasson</w:t>
      </w:r>
      <w:proofErr w:type="spellEnd"/>
      <w:r w:rsidRPr="006B3659">
        <w:t xml:space="preserve">, (Interim) Opinion concerning </w:t>
      </w:r>
      <w:proofErr w:type="spellStart"/>
      <w:r w:rsidRPr="006B3659">
        <w:t>Unauthorised</w:t>
      </w:r>
      <w:proofErr w:type="spellEnd"/>
      <w:r w:rsidRPr="006B3659">
        <w:t xml:space="preserve"> Outposts, Jerusalem, February 2005, </w:t>
      </w:r>
      <w:r w:rsidRPr="00555AA1">
        <w:rPr>
          <w:lang w:val="en-CA"/>
        </w:rPr>
        <w:t>note 1, paragraph 10.</w:t>
      </w:r>
    </w:p>
  </w:footnote>
  <w:footnote w:id="5">
    <w:p w14:paraId="5277AABB" w14:textId="77777777" w:rsidR="00A50459" w:rsidRPr="006B3659" w:rsidRDefault="00A50459" w:rsidP="00126C73">
      <w:pPr>
        <w:pStyle w:val="FootnoteText"/>
      </w:pPr>
      <w:r w:rsidRPr="006B3659">
        <w:rPr>
          <w:rStyle w:val="FootnoteReference"/>
        </w:rPr>
        <w:footnoteRef/>
      </w:r>
      <w:r w:rsidRPr="006B3659">
        <w:t xml:space="preserve"> The </w:t>
      </w:r>
      <w:r>
        <w:t>s</w:t>
      </w:r>
      <w:r w:rsidRPr="006B3659">
        <w:t>o-called “</w:t>
      </w:r>
      <w:r w:rsidRPr="006B3659">
        <w:rPr>
          <w:rFonts w:cstheme="majorBidi"/>
        </w:rPr>
        <w:t>Jerusalem 2000” plan.</w:t>
      </w:r>
    </w:p>
  </w:footnote>
  <w:footnote w:id="6">
    <w:p w14:paraId="53DD9A21" w14:textId="77777777" w:rsidR="00A50459" w:rsidRPr="006B3659" w:rsidRDefault="00A50459" w:rsidP="00A909BB">
      <w:pPr>
        <w:pStyle w:val="FootnoteText"/>
        <w:jc w:val="both"/>
      </w:pPr>
      <w:r w:rsidRPr="006B3659">
        <w:rPr>
          <w:rStyle w:val="FootnoteReference"/>
        </w:rPr>
        <w:footnoteRef/>
      </w:r>
      <w:proofErr w:type="spellStart"/>
      <w:r w:rsidRPr="006B3659">
        <w:rPr>
          <w:iCs/>
        </w:rPr>
        <w:t>Bimkom</w:t>
      </w:r>
      <w:proofErr w:type="spellEnd"/>
      <w:r w:rsidRPr="006B3659">
        <w:rPr>
          <w:iCs/>
        </w:rPr>
        <w:t xml:space="preserve">, “Planning in Jerusalem: The Implications of the New Outline Plan of Jerusalem for Palestinian </w:t>
      </w:r>
      <w:proofErr w:type="spellStart"/>
      <w:r w:rsidRPr="006B3659">
        <w:rPr>
          <w:iCs/>
        </w:rPr>
        <w:t>Neighbourhoods</w:t>
      </w:r>
      <w:proofErr w:type="spellEnd"/>
      <w:r w:rsidRPr="006B3659">
        <w:rPr>
          <w:iCs/>
        </w:rPr>
        <w:t>”</w:t>
      </w:r>
      <w:r w:rsidRPr="006B3659">
        <w:t>, December 2009, p. 2.</w:t>
      </w:r>
    </w:p>
  </w:footnote>
  <w:footnote w:id="7">
    <w:p w14:paraId="776EC7CA" w14:textId="77777777" w:rsidR="00A50459" w:rsidRPr="006B3659" w:rsidRDefault="00A50459" w:rsidP="00A909BB">
      <w:pPr>
        <w:autoSpaceDE w:val="0"/>
        <w:autoSpaceDN w:val="0"/>
        <w:adjustRightInd w:val="0"/>
        <w:spacing w:after="0" w:line="240" w:lineRule="auto"/>
        <w:jc w:val="both"/>
        <w:rPr>
          <w:rFonts w:ascii="Times New Roman" w:hAnsi="Times New Roman" w:cs="Times New Roman"/>
          <w:sz w:val="20"/>
          <w:szCs w:val="20"/>
        </w:rPr>
      </w:pPr>
      <w:r w:rsidRPr="006B3659">
        <w:rPr>
          <w:rStyle w:val="FootnoteReference"/>
          <w:rFonts w:ascii="Times New Roman" w:hAnsi="Times New Roman"/>
          <w:sz w:val="20"/>
          <w:szCs w:val="20"/>
        </w:rPr>
        <w:footnoteRef/>
      </w:r>
      <w:r w:rsidRPr="006B3659">
        <w:rPr>
          <w:rFonts w:ascii="Times New Roman" w:hAnsi="Times New Roman" w:cs="Times New Roman"/>
          <w:sz w:val="20"/>
          <w:szCs w:val="20"/>
        </w:rPr>
        <w:t xml:space="preserve"> ICA Response to </w:t>
      </w:r>
      <w:proofErr w:type="spellStart"/>
      <w:r w:rsidRPr="006B3659">
        <w:rPr>
          <w:rFonts w:ascii="Times New Roman" w:hAnsi="Times New Roman" w:cs="Times New Roman"/>
          <w:sz w:val="20"/>
          <w:szCs w:val="20"/>
        </w:rPr>
        <w:t>Bimkom</w:t>
      </w:r>
      <w:proofErr w:type="spellEnd"/>
      <w:r w:rsidRPr="006B3659">
        <w:rPr>
          <w:rFonts w:ascii="Times New Roman" w:hAnsi="Times New Roman" w:cs="Times New Roman"/>
          <w:sz w:val="20"/>
          <w:szCs w:val="20"/>
        </w:rPr>
        <w:t xml:space="preserve"> Planners for Human Rights Freedom of Information Request: of the 1,426 permit applications submitted by Palestinians in Area C from 2007-2010; 106 were approved in principle (7.4%), but only 64 were actually granted (4.4 %). This follows previous trends from 2000 to 2007 when less than six percent of applications were accepted.</w:t>
      </w:r>
    </w:p>
  </w:footnote>
  <w:footnote w:id="8">
    <w:p w14:paraId="6FF38E7C" w14:textId="77777777" w:rsidR="00A50459" w:rsidRPr="006B3659" w:rsidRDefault="00A50459" w:rsidP="00115A88">
      <w:pPr>
        <w:pStyle w:val="FootnoteText"/>
      </w:pPr>
      <w:r w:rsidRPr="006B3659">
        <w:rPr>
          <w:rStyle w:val="FootnoteReference"/>
        </w:rPr>
        <w:footnoteRef/>
      </w:r>
      <w:r w:rsidRPr="006B3659">
        <w:t xml:space="preserve"> </w:t>
      </w:r>
      <w:r w:rsidRPr="006B3659">
        <w:rPr>
          <w:rFonts w:cstheme="majorBidi"/>
        </w:rPr>
        <w:t xml:space="preserve"> Israel considers that </w:t>
      </w:r>
      <w:r w:rsidRPr="006B3659">
        <w:rPr>
          <w:rFonts w:cstheme="majorBidi"/>
          <w:i/>
          <w:iCs/>
        </w:rPr>
        <w:t xml:space="preserve">state lands </w:t>
      </w:r>
      <w:r w:rsidRPr="006B3659">
        <w:rPr>
          <w:rFonts w:cstheme="majorBidi"/>
        </w:rPr>
        <w:t xml:space="preserve">in the West Bank are all lands that are not categorized as private. </w:t>
      </w:r>
      <w:r w:rsidRPr="006B3659">
        <w:t>For the ICA, there are two main categories of private lands: plots of land which have been formally registered by</w:t>
      </w:r>
      <w:r w:rsidRPr="006B3659">
        <w:rPr>
          <w:rFonts w:cstheme="majorBidi"/>
        </w:rPr>
        <w:t xml:space="preserve"> their owners before Israel halted the land registry process in 1967 and plots that have been continuously cultivated by their owners, establishing a status of legally-recognized </w:t>
      </w:r>
      <w:r w:rsidRPr="006B3659">
        <w:rPr>
          <w:rFonts w:cstheme="majorBidi"/>
          <w:i/>
          <w:iCs/>
        </w:rPr>
        <w:t>de facto</w:t>
      </w:r>
      <w:r w:rsidRPr="006B3659">
        <w:rPr>
          <w:rFonts w:cstheme="majorBidi"/>
        </w:rPr>
        <w:t xml:space="preserve"> ownership.</w:t>
      </w:r>
    </w:p>
  </w:footnote>
  <w:footnote w:id="9">
    <w:p w14:paraId="6DAE1FDC" w14:textId="77777777" w:rsidR="00A50459" w:rsidRPr="006B3659" w:rsidRDefault="00A50459">
      <w:pPr>
        <w:pStyle w:val="FootnoteText"/>
      </w:pPr>
      <w:r w:rsidRPr="006B3659">
        <w:rPr>
          <w:rStyle w:val="FootnoteReference"/>
        </w:rPr>
        <w:footnoteRef/>
      </w:r>
      <w:r w:rsidRPr="006B3659">
        <w:t xml:space="preserve"> HCJ 5377/09 </w:t>
      </w:r>
      <w:proofErr w:type="spellStart"/>
      <w:r w:rsidRPr="006B3659">
        <w:t>Regavim</w:t>
      </w:r>
      <w:proofErr w:type="spellEnd"/>
      <w:r w:rsidRPr="006B3659">
        <w:t xml:space="preserve"> v the Minister of </w:t>
      </w:r>
      <w:proofErr w:type="spellStart"/>
      <w:r w:rsidRPr="006B3659">
        <w:t>Defence</w:t>
      </w:r>
      <w:proofErr w:type="spellEnd"/>
      <w:r w:rsidRPr="006B3659">
        <w:t>, Military Commander and the Head of the Civil Administration.</w:t>
      </w:r>
    </w:p>
  </w:footnote>
  <w:footnote w:id="10">
    <w:p w14:paraId="4C091BA7" w14:textId="77777777" w:rsidR="00A50459" w:rsidRPr="006B3659" w:rsidRDefault="00A50459">
      <w:pPr>
        <w:pStyle w:val="FootnoteText"/>
      </w:pPr>
      <w:r w:rsidRPr="006B3659">
        <w:rPr>
          <w:rStyle w:val="FootnoteReference"/>
        </w:rPr>
        <w:footnoteRef/>
      </w:r>
      <w:r w:rsidRPr="006B3659">
        <w:t xml:space="preserve"> OCHA, Demolitions and Forced Displacement in the Occupied West Bank, January 2012.</w:t>
      </w:r>
    </w:p>
  </w:footnote>
  <w:footnote w:id="11">
    <w:p w14:paraId="1476C2B1" w14:textId="77777777" w:rsidR="00A50459" w:rsidRDefault="00A50459" w:rsidP="00597344">
      <w:pPr>
        <w:pStyle w:val="FootnoteText"/>
      </w:pPr>
      <w:r>
        <w:rPr>
          <w:rStyle w:val="FootnoteReference"/>
        </w:rPr>
        <w:footnoteRef/>
      </w:r>
      <w:r>
        <w:t xml:space="preserve"> </w:t>
      </w:r>
      <w:r w:rsidRPr="00215D20">
        <w:t>Displacement Working Group oPt, Demolition Summary Table</w:t>
      </w:r>
      <w:r>
        <w:t xml:space="preserve"> 2012.</w:t>
      </w:r>
    </w:p>
  </w:footnote>
  <w:footnote w:id="12">
    <w:p w14:paraId="2B17BECB" w14:textId="77777777" w:rsidR="00A50459" w:rsidRDefault="00A50459" w:rsidP="00796FA8">
      <w:pPr>
        <w:pStyle w:val="FootnoteText"/>
      </w:pPr>
      <w:r>
        <w:rPr>
          <w:rStyle w:val="FootnoteReference"/>
        </w:rPr>
        <w:footnoteRef/>
      </w:r>
      <w:r>
        <w:t xml:space="preserve"> </w:t>
      </w:r>
      <w:r w:rsidRPr="00215D20">
        <w:t>Displacement Working Group oPt, Demolition Summary Table</w:t>
      </w:r>
      <w:r>
        <w:t xml:space="preserve"> 2011.</w:t>
      </w:r>
    </w:p>
  </w:footnote>
  <w:footnote w:id="13">
    <w:p w14:paraId="48FF37F4" w14:textId="77777777" w:rsidR="00A50459" w:rsidRDefault="00A50459">
      <w:pPr>
        <w:pStyle w:val="FootnoteText"/>
      </w:pPr>
      <w:r>
        <w:rPr>
          <w:rStyle w:val="FootnoteReference"/>
        </w:rPr>
        <w:footnoteRef/>
      </w:r>
      <w:r>
        <w:t xml:space="preserve"> </w:t>
      </w:r>
      <w:r w:rsidRPr="00215D20">
        <w:t>Displacement Working Group oPt, Demolition Summary Table</w:t>
      </w:r>
      <w:r>
        <w:t xml:space="preserve"> 12 September 2013.</w:t>
      </w:r>
    </w:p>
  </w:footnote>
  <w:footnote w:id="14">
    <w:p w14:paraId="02126D0D" w14:textId="77777777" w:rsidR="00A50459" w:rsidRDefault="00A50459">
      <w:pPr>
        <w:pStyle w:val="FootnoteText"/>
      </w:pPr>
      <w:r>
        <w:rPr>
          <w:rStyle w:val="FootnoteReference"/>
        </w:rPr>
        <w:footnoteRef/>
      </w:r>
      <w:r>
        <w:t xml:space="preserve"> OCHA, Fragmented Lives Humanitarian Overview 2012, May 2013, p. 27.</w:t>
      </w:r>
    </w:p>
  </w:footnote>
  <w:footnote w:id="15">
    <w:p w14:paraId="17EE444C" w14:textId="77777777" w:rsidR="00A50459" w:rsidRDefault="00A50459">
      <w:pPr>
        <w:pStyle w:val="FootnoteText"/>
      </w:pPr>
      <w:r>
        <w:rPr>
          <w:rStyle w:val="FootnoteReference"/>
        </w:rPr>
        <w:footnoteRef/>
      </w:r>
      <w:r>
        <w:t xml:space="preserve"> </w:t>
      </w:r>
      <w:r w:rsidRPr="00215D20">
        <w:t>Displacement Working Group oPt, Demolition Summary Table</w:t>
      </w:r>
      <w:r>
        <w:t xml:space="preserve"> 2012.</w:t>
      </w:r>
    </w:p>
  </w:footnote>
  <w:footnote w:id="16">
    <w:p w14:paraId="2ABED069" w14:textId="77777777" w:rsidR="00A50459" w:rsidRDefault="00A50459" w:rsidP="00E22148">
      <w:pPr>
        <w:pStyle w:val="FootnoteText"/>
      </w:pPr>
      <w:r>
        <w:rPr>
          <w:rStyle w:val="FootnoteReference"/>
        </w:rPr>
        <w:footnoteRef/>
      </w:r>
      <w:r>
        <w:t xml:space="preserve"> ICAHD, </w:t>
      </w:r>
      <w:r w:rsidRPr="00E22148">
        <w:t>Forced evictions, demolitions and displacement in the W</w:t>
      </w:r>
      <w:r>
        <w:t xml:space="preserve">est Bank in 2012, </w:t>
      </w:r>
      <w:r w:rsidRPr="00E22148">
        <w:t>http://www.icahd.org/node/473#sthash.nCmWAkOg.Ym1mRHCa.dpuf</w:t>
      </w:r>
    </w:p>
  </w:footnote>
  <w:footnote w:id="17">
    <w:p w14:paraId="754E0A7B" w14:textId="77777777" w:rsidR="00A50459" w:rsidRPr="006B3659" w:rsidRDefault="00A50459" w:rsidP="00F61204">
      <w:pPr>
        <w:pStyle w:val="FootnoteText"/>
      </w:pPr>
      <w:r w:rsidRPr="006B3659">
        <w:rPr>
          <w:rStyle w:val="FootnoteReference"/>
        </w:rPr>
        <w:footnoteRef/>
      </w:r>
      <w:r w:rsidRPr="006B3659">
        <w:t xml:space="preserve"> HCJ 9961/03 </w:t>
      </w:r>
      <w:proofErr w:type="spellStart"/>
      <w:r w:rsidRPr="006B3659">
        <w:t>HaMoked</w:t>
      </w:r>
      <w:proofErr w:type="spellEnd"/>
      <w:r w:rsidRPr="006B3659">
        <w:t xml:space="preserve">: Center for the </w:t>
      </w:r>
      <w:proofErr w:type="spellStart"/>
      <w:r w:rsidRPr="006B3659">
        <w:t>Defence</w:t>
      </w:r>
      <w:proofErr w:type="spellEnd"/>
      <w:r w:rsidRPr="006B3659">
        <w:t xml:space="preserve"> of the Individual et al. v. Government of Israel et al. (published in “</w:t>
      </w:r>
      <w:proofErr w:type="spellStart"/>
      <w:r w:rsidRPr="006B3659">
        <w:t>Nevo</w:t>
      </w:r>
      <w:proofErr w:type="spellEnd"/>
      <w:r w:rsidRPr="006B3659">
        <w:t>”, 5.4.2011).</w:t>
      </w:r>
      <w:r>
        <w:t xml:space="preserve"> </w:t>
      </w:r>
      <w:r w:rsidRPr="006B3659">
        <w:t xml:space="preserve">Figures cited by the Government of Israel in their response to the petition. </w:t>
      </w:r>
    </w:p>
  </w:footnote>
  <w:footnote w:id="18">
    <w:p w14:paraId="4DF515AE" w14:textId="77777777" w:rsidR="00A50459" w:rsidRPr="006B3659" w:rsidRDefault="00A50459" w:rsidP="00F61204">
      <w:pPr>
        <w:pStyle w:val="FootnoteText"/>
      </w:pPr>
      <w:r w:rsidRPr="006B3659">
        <w:rPr>
          <w:rStyle w:val="FootnoteReference"/>
        </w:rPr>
        <w:footnoteRef/>
      </w:r>
      <w:r w:rsidRPr="006B3659">
        <w:t xml:space="preserve"> </w:t>
      </w:r>
      <w:proofErr w:type="spellStart"/>
      <w:r w:rsidRPr="006B3659">
        <w:t>HaMoked</w:t>
      </w:r>
      <w:proofErr w:type="spellEnd"/>
      <w:r w:rsidRPr="006B3659">
        <w:t xml:space="preserve">: Center for the </w:t>
      </w:r>
      <w:proofErr w:type="spellStart"/>
      <w:r w:rsidRPr="006B3659">
        <w:t>Defence</w:t>
      </w:r>
      <w:proofErr w:type="spellEnd"/>
      <w:r w:rsidRPr="006B3659">
        <w:t xml:space="preserve"> of the Individual. “High Court Approval of West Bank ‘Permit Regime’ – A Green Light to Expulsion of Palestinians from their Lands” Press Release, 5 April 2011.  </w:t>
      </w:r>
    </w:p>
  </w:footnote>
  <w:footnote w:id="19">
    <w:p w14:paraId="4E4D9DEF" w14:textId="77777777" w:rsidR="00A50459" w:rsidRDefault="00A50459">
      <w:pPr>
        <w:pStyle w:val="FootnoteText"/>
      </w:pPr>
      <w:r>
        <w:rPr>
          <w:rStyle w:val="FootnoteReference"/>
        </w:rPr>
        <w:footnoteRef/>
      </w:r>
      <w:r>
        <w:t xml:space="preserve"> UNRWA and </w:t>
      </w:r>
      <w:proofErr w:type="spellStart"/>
      <w:r>
        <w:t>Bimkom</w:t>
      </w:r>
      <w:proofErr w:type="spellEnd"/>
      <w:r>
        <w:t>, A Study on the Transfer of Bedouin Palestine Refugees, May 2013.</w:t>
      </w:r>
    </w:p>
  </w:footnote>
  <w:footnote w:id="20">
    <w:p w14:paraId="12B0BEFB" w14:textId="77777777" w:rsidR="00A50459" w:rsidRPr="006B3659" w:rsidRDefault="00A50459">
      <w:pPr>
        <w:pStyle w:val="FootnoteText"/>
      </w:pPr>
      <w:r w:rsidRPr="006B3659">
        <w:rPr>
          <w:rStyle w:val="FootnoteReference"/>
        </w:rPr>
        <w:footnoteRef/>
      </w:r>
      <w:r w:rsidRPr="006B3659">
        <w:t xml:space="preserve"> Palestinian children do not fully enjoy access to an adequate standard of education or a protected educational environment for various reasons, including the difficulty of obtaining building permits from the ICA for the construction, expansion or rehabilitation of schools, resulting in sub-standard school infrastructure and a chronic shortage of classrooms. Restrictions on access and movement</w:t>
      </w:r>
      <w:r>
        <w:t>, exacerbated since the construction of the Wall,</w:t>
      </w:r>
      <w:r w:rsidRPr="006B3659">
        <w:t xml:space="preserve"> constitute another major factor. Incidents of violence perpetrated by settlers and the Israeli military against children and educational staff are regular occurrences.</w:t>
      </w:r>
    </w:p>
  </w:footnote>
  <w:footnote w:id="21">
    <w:p w14:paraId="219B5EE7" w14:textId="77777777" w:rsidR="00A50459" w:rsidRPr="006B3659" w:rsidRDefault="00A50459">
      <w:pPr>
        <w:pStyle w:val="FootnoteText"/>
      </w:pPr>
      <w:r w:rsidRPr="006B3659">
        <w:rPr>
          <w:rStyle w:val="FootnoteReference"/>
        </w:rPr>
        <w:footnoteRef/>
      </w:r>
      <w:r w:rsidRPr="006B3659">
        <w:t xml:space="preserve"> Appeal 5665/11, Message from the Minister of </w:t>
      </w:r>
      <w:proofErr w:type="spellStart"/>
      <w:r w:rsidRPr="006B3659">
        <w:t>Defence</w:t>
      </w:r>
      <w:proofErr w:type="spellEnd"/>
      <w:r w:rsidRPr="006B3659">
        <w:t xml:space="preserve"> to the High Court of Justice regarding Khan al-</w:t>
      </w:r>
      <w:proofErr w:type="spellStart"/>
      <w:r w:rsidRPr="006B3659">
        <w:t>Ahmar</w:t>
      </w:r>
      <w:proofErr w:type="spellEnd"/>
      <w:r w:rsidRPr="006B3659">
        <w:t xml:space="preserve"> school, 18 April 2012.</w:t>
      </w:r>
    </w:p>
  </w:footnote>
  <w:footnote w:id="22">
    <w:p w14:paraId="609494D7" w14:textId="77777777" w:rsidR="00A50459" w:rsidRPr="006B3659" w:rsidRDefault="00A50459">
      <w:pPr>
        <w:pStyle w:val="FootnoteText"/>
      </w:pPr>
      <w:r w:rsidRPr="006B3659">
        <w:rPr>
          <w:rStyle w:val="FootnoteReference"/>
        </w:rPr>
        <w:footnoteRef/>
      </w:r>
      <w:r w:rsidRPr="006B3659">
        <w:t xml:space="preserve"> </w:t>
      </w:r>
      <w:r w:rsidRPr="006B3659">
        <w:rPr>
          <w:rFonts w:cstheme="majorBidi"/>
        </w:rPr>
        <w:t>Friend of the court.</w:t>
      </w:r>
    </w:p>
  </w:footnote>
  <w:footnote w:id="23">
    <w:p w14:paraId="3F1EDC8A" w14:textId="77777777" w:rsidR="00A50459" w:rsidRPr="009E1F6D" w:rsidRDefault="00A50459" w:rsidP="009E1F6D">
      <w:pPr>
        <w:pStyle w:val="FootnoteText"/>
        <w:rPr>
          <w:rStyle w:val="FootnoteReference"/>
          <w:vertAlign w:val="baseline"/>
        </w:rPr>
      </w:pPr>
      <w:r w:rsidRPr="009E1F6D">
        <w:rPr>
          <w:rStyle w:val="FootnoteReference"/>
          <w:vertAlign w:val="baseline"/>
        </w:rPr>
        <w:footnoteRef/>
      </w:r>
      <w:r w:rsidRPr="009E1F6D">
        <w:rPr>
          <w:rStyle w:val="FootnoteReference"/>
          <w:vertAlign w:val="baseline"/>
        </w:rPr>
        <w:t xml:space="preserve"> These are the priorities of the ICA for demolitions of Palestinian structures in Area C, as outlined in response to an earlier </w:t>
      </w:r>
      <w:proofErr w:type="spellStart"/>
      <w:r w:rsidRPr="009E1F6D">
        <w:rPr>
          <w:rStyle w:val="FootnoteReference"/>
          <w:vertAlign w:val="baseline"/>
        </w:rPr>
        <w:t>Regavim</w:t>
      </w:r>
      <w:proofErr w:type="spellEnd"/>
      <w:r w:rsidRPr="009E1F6D">
        <w:rPr>
          <w:rStyle w:val="FootnoteReference"/>
          <w:vertAlign w:val="baseline"/>
        </w:rPr>
        <w:t xml:space="preserve"> petition (HCJ 5377/09 </w:t>
      </w:r>
      <w:proofErr w:type="spellStart"/>
      <w:r w:rsidRPr="009E1F6D">
        <w:rPr>
          <w:rStyle w:val="FootnoteReference"/>
          <w:vertAlign w:val="baseline"/>
        </w:rPr>
        <w:t>Regavim</w:t>
      </w:r>
      <w:proofErr w:type="spellEnd"/>
      <w:r w:rsidRPr="009E1F6D">
        <w:rPr>
          <w:rStyle w:val="FootnoteReference"/>
          <w:vertAlign w:val="baseline"/>
        </w:rPr>
        <w:t xml:space="preserve"> v the Minister of </w:t>
      </w:r>
      <w:proofErr w:type="spellStart"/>
      <w:r w:rsidRPr="009E1F6D">
        <w:rPr>
          <w:rStyle w:val="FootnoteReference"/>
          <w:vertAlign w:val="baseline"/>
        </w:rPr>
        <w:t>Defence</w:t>
      </w:r>
      <w:proofErr w:type="spellEnd"/>
      <w:r w:rsidRPr="009E1F6D">
        <w:rPr>
          <w:rStyle w:val="FootnoteReference"/>
          <w:vertAlign w:val="baseline"/>
        </w:rPr>
        <w:t>, Military Commander and the Head of the Civil Administration).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508FB" w14:textId="77777777" w:rsidR="00A50459" w:rsidRDefault="00A50459" w:rsidP="00447CE6">
    <w:pPr>
      <w:pStyle w:val="Header"/>
      <w:jc w:val="center"/>
    </w:pPr>
    <w:r>
      <w:rPr>
        <w:noProof/>
        <w:lang w:val="fr-CH" w:eastAsia="fr-CH"/>
      </w:rPr>
      <w:drawing>
        <wp:inline distT="0" distB="0" distL="0" distR="0" wp14:anchorId="09A33F60" wp14:editId="56C3050A">
          <wp:extent cx="1857375" cy="608094"/>
          <wp:effectExtent l="0" t="0" r="0" b="1905"/>
          <wp:docPr id="1" name="Picture 1" descr="https://lh4.googleusercontent.com/Xarh0IONm8BoQw2wsVKxAR3wLyfIWIaJZGnuNmqrZv_O-Q8vhDe2i_cL7_u3AVFvTjD8K_nG6Ne2tCdrLtjvDVNGPmqyYSFXPgWTLYSuv5ZBZoBrB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arh0IONm8BoQw2wsVKxAR3wLyfIWIaJZGnuNmqrZv_O-Q8vhDe2i_cL7_u3AVFvTjD8K_nG6Ne2tCdrLtjvDVNGPmqyYSFXPgWTLYSuv5ZBZoBrB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080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D1A"/>
    <w:multiLevelType w:val="hybridMultilevel"/>
    <w:tmpl w:val="1780FF78"/>
    <w:lvl w:ilvl="0" w:tplc="95404E28">
      <w:start w:val="1"/>
      <w:numFmt w:val="bullet"/>
      <w:lvlText w:val=""/>
      <w:lvlJc w:val="left"/>
      <w:pPr>
        <w:tabs>
          <w:tab w:val="num" w:pos="170"/>
        </w:tabs>
        <w:ind w:left="170" w:hanging="170"/>
      </w:pPr>
      <w:rPr>
        <w:rFonts w:ascii="Wingdings" w:hAnsi="Wingdings"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E543D"/>
    <w:multiLevelType w:val="multilevel"/>
    <w:tmpl w:val="40985DF2"/>
    <w:lvl w:ilvl="0">
      <w:start w:val="1"/>
      <w:numFmt w:val="decimal"/>
      <w:pStyle w:val="Heading1"/>
      <w:lvlText w:val="%1."/>
      <w:lvlJc w:val="left"/>
      <w:pPr>
        <w:ind w:left="360" w:hanging="360"/>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411063D"/>
    <w:multiLevelType w:val="hybridMultilevel"/>
    <w:tmpl w:val="2A043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4581D"/>
    <w:multiLevelType w:val="hybridMultilevel"/>
    <w:tmpl w:val="3850C534"/>
    <w:lvl w:ilvl="0" w:tplc="0409000F">
      <w:start w:val="1"/>
      <w:numFmt w:val="decimal"/>
      <w:lvlText w:val="%1."/>
      <w:lvlJc w:val="left"/>
      <w:pPr>
        <w:tabs>
          <w:tab w:val="num" w:pos="170"/>
        </w:tabs>
        <w:ind w:left="170" w:hanging="170"/>
      </w:pPr>
      <w:rPr>
        <w:rFonts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944B0C"/>
    <w:multiLevelType w:val="hybridMultilevel"/>
    <w:tmpl w:val="E0DC1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07AE9"/>
    <w:multiLevelType w:val="hybridMultilevel"/>
    <w:tmpl w:val="2A043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F2F99"/>
    <w:multiLevelType w:val="hybridMultilevel"/>
    <w:tmpl w:val="E0DC1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01087"/>
    <w:multiLevelType w:val="hybridMultilevel"/>
    <w:tmpl w:val="E0DC1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1523F"/>
    <w:multiLevelType w:val="hybridMultilevel"/>
    <w:tmpl w:val="ED5E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F2B8D"/>
    <w:multiLevelType w:val="hybridMultilevel"/>
    <w:tmpl w:val="E0DC1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F48C3"/>
    <w:multiLevelType w:val="hybridMultilevel"/>
    <w:tmpl w:val="2A043522"/>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F7FC9"/>
    <w:multiLevelType w:val="hybridMultilevel"/>
    <w:tmpl w:val="3AB80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CF5B17"/>
    <w:multiLevelType w:val="hybridMultilevel"/>
    <w:tmpl w:val="B832EE9E"/>
    <w:lvl w:ilvl="0" w:tplc="BCF82E3E">
      <w:start w:val="1"/>
      <w:numFmt w:val="bullet"/>
      <w:lvlText w:val="-"/>
      <w:lvlJc w:val="left"/>
      <w:pPr>
        <w:tabs>
          <w:tab w:val="num" w:pos="720"/>
        </w:tabs>
        <w:ind w:left="720" w:hanging="360"/>
      </w:pPr>
      <w:rPr>
        <w:rFonts w:ascii="Times New Roman" w:hAnsi="Times New Roman" w:hint="default"/>
      </w:rPr>
    </w:lvl>
    <w:lvl w:ilvl="1" w:tplc="4ED0E994" w:tentative="1">
      <w:start w:val="1"/>
      <w:numFmt w:val="bullet"/>
      <w:lvlText w:val="-"/>
      <w:lvlJc w:val="left"/>
      <w:pPr>
        <w:tabs>
          <w:tab w:val="num" w:pos="1440"/>
        </w:tabs>
        <w:ind w:left="1440" w:hanging="360"/>
      </w:pPr>
      <w:rPr>
        <w:rFonts w:ascii="Times New Roman" w:hAnsi="Times New Roman" w:hint="default"/>
      </w:rPr>
    </w:lvl>
    <w:lvl w:ilvl="2" w:tplc="507AD0FE" w:tentative="1">
      <w:start w:val="1"/>
      <w:numFmt w:val="bullet"/>
      <w:lvlText w:val="-"/>
      <w:lvlJc w:val="left"/>
      <w:pPr>
        <w:tabs>
          <w:tab w:val="num" w:pos="2160"/>
        </w:tabs>
        <w:ind w:left="2160" w:hanging="360"/>
      </w:pPr>
      <w:rPr>
        <w:rFonts w:ascii="Times New Roman" w:hAnsi="Times New Roman" w:hint="default"/>
      </w:rPr>
    </w:lvl>
    <w:lvl w:ilvl="3" w:tplc="4AC4B3CA" w:tentative="1">
      <w:start w:val="1"/>
      <w:numFmt w:val="bullet"/>
      <w:lvlText w:val="-"/>
      <w:lvlJc w:val="left"/>
      <w:pPr>
        <w:tabs>
          <w:tab w:val="num" w:pos="2880"/>
        </w:tabs>
        <w:ind w:left="2880" w:hanging="360"/>
      </w:pPr>
      <w:rPr>
        <w:rFonts w:ascii="Times New Roman" w:hAnsi="Times New Roman" w:hint="default"/>
      </w:rPr>
    </w:lvl>
    <w:lvl w:ilvl="4" w:tplc="CF1E336C" w:tentative="1">
      <w:start w:val="1"/>
      <w:numFmt w:val="bullet"/>
      <w:lvlText w:val="-"/>
      <w:lvlJc w:val="left"/>
      <w:pPr>
        <w:tabs>
          <w:tab w:val="num" w:pos="3600"/>
        </w:tabs>
        <w:ind w:left="3600" w:hanging="360"/>
      </w:pPr>
      <w:rPr>
        <w:rFonts w:ascii="Times New Roman" w:hAnsi="Times New Roman" w:hint="default"/>
      </w:rPr>
    </w:lvl>
    <w:lvl w:ilvl="5" w:tplc="394A31C6" w:tentative="1">
      <w:start w:val="1"/>
      <w:numFmt w:val="bullet"/>
      <w:lvlText w:val="-"/>
      <w:lvlJc w:val="left"/>
      <w:pPr>
        <w:tabs>
          <w:tab w:val="num" w:pos="4320"/>
        </w:tabs>
        <w:ind w:left="4320" w:hanging="360"/>
      </w:pPr>
      <w:rPr>
        <w:rFonts w:ascii="Times New Roman" w:hAnsi="Times New Roman" w:hint="default"/>
      </w:rPr>
    </w:lvl>
    <w:lvl w:ilvl="6" w:tplc="DDBE3D10" w:tentative="1">
      <w:start w:val="1"/>
      <w:numFmt w:val="bullet"/>
      <w:lvlText w:val="-"/>
      <w:lvlJc w:val="left"/>
      <w:pPr>
        <w:tabs>
          <w:tab w:val="num" w:pos="5040"/>
        </w:tabs>
        <w:ind w:left="5040" w:hanging="360"/>
      </w:pPr>
      <w:rPr>
        <w:rFonts w:ascii="Times New Roman" w:hAnsi="Times New Roman" w:hint="default"/>
      </w:rPr>
    </w:lvl>
    <w:lvl w:ilvl="7" w:tplc="21D2C582" w:tentative="1">
      <w:start w:val="1"/>
      <w:numFmt w:val="bullet"/>
      <w:lvlText w:val="-"/>
      <w:lvlJc w:val="left"/>
      <w:pPr>
        <w:tabs>
          <w:tab w:val="num" w:pos="5760"/>
        </w:tabs>
        <w:ind w:left="5760" w:hanging="360"/>
      </w:pPr>
      <w:rPr>
        <w:rFonts w:ascii="Times New Roman" w:hAnsi="Times New Roman" w:hint="default"/>
      </w:rPr>
    </w:lvl>
    <w:lvl w:ilvl="8" w:tplc="8E32993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15A5AB7"/>
    <w:multiLevelType w:val="hybridMultilevel"/>
    <w:tmpl w:val="2A043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54E9B"/>
    <w:multiLevelType w:val="hybridMultilevel"/>
    <w:tmpl w:val="9C6ED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6F2EBA"/>
    <w:multiLevelType w:val="hybridMultilevel"/>
    <w:tmpl w:val="2A043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8"/>
  </w:num>
  <w:num w:numId="4">
    <w:abstractNumId w:val="11"/>
  </w:num>
  <w:num w:numId="5">
    <w:abstractNumId w:val="2"/>
  </w:num>
  <w:num w:numId="6">
    <w:abstractNumId w:val="7"/>
  </w:num>
  <w:num w:numId="7">
    <w:abstractNumId w:val="0"/>
  </w:num>
  <w:num w:numId="8">
    <w:abstractNumId w:val="3"/>
  </w:num>
  <w:num w:numId="9">
    <w:abstractNumId w:val="12"/>
  </w:num>
  <w:num w:numId="10">
    <w:abstractNumId w:val="6"/>
  </w:num>
  <w:num w:numId="11">
    <w:abstractNumId w:val="9"/>
  </w:num>
  <w:num w:numId="12">
    <w:abstractNumId w:val="10"/>
  </w:num>
  <w:num w:numId="13">
    <w:abstractNumId w:val="4"/>
  </w:num>
  <w:num w:numId="14">
    <w:abstractNumId w:val="1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F3"/>
    <w:rsid w:val="00015429"/>
    <w:rsid w:val="0001634B"/>
    <w:rsid w:val="000278BB"/>
    <w:rsid w:val="00035EBF"/>
    <w:rsid w:val="000416F5"/>
    <w:rsid w:val="00050A82"/>
    <w:rsid w:val="00055C6E"/>
    <w:rsid w:val="00055F0E"/>
    <w:rsid w:val="000730F1"/>
    <w:rsid w:val="000875D5"/>
    <w:rsid w:val="000A50FC"/>
    <w:rsid w:val="000B05D8"/>
    <w:rsid w:val="000B4E8D"/>
    <w:rsid w:val="000B78E9"/>
    <w:rsid w:val="000C26EF"/>
    <w:rsid w:val="000E5749"/>
    <w:rsid w:val="00115A88"/>
    <w:rsid w:val="00125D89"/>
    <w:rsid w:val="0012626E"/>
    <w:rsid w:val="00126C73"/>
    <w:rsid w:val="001271C2"/>
    <w:rsid w:val="00162CA2"/>
    <w:rsid w:val="00167547"/>
    <w:rsid w:val="001A0E4F"/>
    <w:rsid w:val="001B0D7F"/>
    <w:rsid w:val="001B184B"/>
    <w:rsid w:val="001B2CE8"/>
    <w:rsid w:val="001B4864"/>
    <w:rsid w:val="001C58B3"/>
    <w:rsid w:val="001D314A"/>
    <w:rsid w:val="001D499D"/>
    <w:rsid w:val="001F02FF"/>
    <w:rsid w:val="001F2619"/>
    <w:rsid w:val="001F2CCA"/>
    <w:rsid w:val="00205A6B"/>
    <w:rsid w:val="00215D20"/>
    <w:rsid w:val="00217E49"/>
    <w:rsid w:val="002225FC"/>
    <w:rsid w:val="00223192"/>
    <w:rsid w:val="00233849"/>
    <w:rsid w:val="002418C3"/>
    <w:rsid w:val="0024662F"/>
    <w:rsid w:val="002541EB"/>
    <w:rsid w:val="00260436"/>
    <w:rsid w:val="0027567E"/>
    <w:rsid w:val="0027646E"/>
    <w:rsid w:val="00276A0C"/>
    <w:rsid w:val="00285DD7"/>
    <w:rsid w:val="00293204"/>
    <w:rsid w:val="002A3686"/>
    <w:rsid w:val="002A431F"/>
    <w:rsid w:val="002D6F5B"/>
    <w:rsid w:val="002E3F66"/>
    <w:rsid w:val="002F23FC"/>
    <w:rsid w:val="002F6382"/>
    <w:rsid w:val="0032370A"/>
    <w:rsid w:val="003415BB"/>
    <w:rsid w:val="0034199D"/>
    <w:rsid w:val="00343C95"/>
    <w:rsid w:val="003450B6"/>
    <w:rsid w:val="00345FEF"/>
    <w:rsid w:val="00392DD4"/>
    <w:rsid w:val="003B5BED"/>
    <w:rsid w:val="003C06C8"/>
    <w:rsid w:val="003D4265"/>
    <w:rsid w:val="003F3827"/>
    <w:rsid w:val="004346C1"/>
    <w:rsid w:val="0044187B"/>
    <w:rsid w:val="00447CE6"/>
    <w:rsid w:val="00463CFF"/>
    <w:rsid w:val="00471C35"/>
    <w:rsid w:val="00475B7E"/>
    <w:rsid w:val="00487021"/>
    <w:rsid w:val="00491C57"/>
    <w:rsid w:val="00492659"/>
    <w:rsid w:val="004E28C6"/>
    <w:rsid w:val="004E6E26"/>
    <w:rsid w:val="004F0266"/>
    <w:rsid w:val="004F46D0"/>
    <w:rsid w:val="0050413D"/>
    <w:rsid w:val="00511AA1"/>
    <w:rsid w:val="0051452E"/>
    <w:rsid w:val="00527C38"/>
    <w:rsid w:val="00531456"/>
    <w:rsid w:val="00555AA1"/>
    <w:rsid w:val="0056191C"/>
    <w:rsid w:val="00565785"/>
    <w:rsid w:val="00573821"/>
    <w:rsid w:val="00580825"/>
    <w:rsid w:val="0058654D"/>
    <w:rsid w:val="0059204D"/>
    <w:rsid w:val="00594CDF"/>
    <w:rsid w:val="00597344"/>
    <w:rsid w:val="005976C3"/>
    <w:rsid w:val="005C5FBC"/>
    <w:rsid w:val="005D5531"/>
    <w:rsid w:val="005E656D"/>
    <w:rsid w:val="005F728C"/>
    <w:rsid w:val="00616FB3"/>
    <w:rsid w:val="00617D84"/>
    <w:rsid w:val="006334B0"/>
    <w:rsid w:val="00634904"/>
    <w:rsid w:val="00637F0C"/>
    <w:rsid w:val="00651F88"/>
    <w:rsid w:val="00654136"/>
    <w:rsid w:val="00662F11"/>
    <w:rsid w:val="00671BB3"/>
    <w:rsid w:val="00675D33"/>
    <w:rsid w:val="006944EE"/>
    <w:rsid w:val="00697CEF"/>
    <w:rsid w:val="006A3EE6"/>
    <w:rsid w:val="006A416A"/>
    <w:rsid w:val="006B3659"/>
    <w:rsid w:val="006C2DC0"/>
    <w:rsid w:val="006C3D9E"/>
    <w:rsid w:val="006E65F3"/>
    <w:rsid w:val="007012DC"/>
    <w:rsid w:val="00715365"/>
    <w:rsid w:val="007172F4"/>
    <w:rsid w:val="00720A30"/>
    <w:rsid w:val="00736A00"/>
    <w:rsid w:val="0074106E"/>
    <w:rsid w:val="00753926"/>
    <w:rsid w:val="00756093"/>
    <w:rsid w:val="00756798"/>
    <w:rsid w:val="00762437"/>
    <w:rsid w:val="007636C7"/>
    <w:rsid w:val="00784DEF"/>
    <w:rsid w:val="00796FA8"/>
    <w:rsid w:val="00797C7C"/>
    <w:rsid w:val="007A0ABD"/>
    <w:rsid w:val="007D3DE7"/>
    <w:rsid w:val="007D3E26"/>
    <w:rsid w:val="007E14B0"/>
    <w:rsid w:val="007F147A"/>
    <w:rsid w:val="007F7A18"/>
    <w:rsid w:val="0080323C"/>
    <w:rsid w:val="008058A7"/>
    <w:rsid w:val="00812FC4"/>
    <w:rsid w:val="0082131B"/>
    <w:rsid w:val="00821B27"/>
    <w:rsid w:val="00826EAC"/>
    <w:rsid w:val="008302BF"/>
    <w:rsid w:val="008321AD"/>
    <w:rsid w:val="00844315"/>
    <w:rsid w:val="00872C38"/>
    <w:rsid w:val="00874460"/>
    <w:rsid w:val="00891F5E"/>
    <w:rsid w:val="008A09D0"/>
    <w:rsid w:val="008A6C7D"/>
    <w:rsid w:val="008B346F"/>
    <w:rsid w:val="008B736B"/>
    <w:rsid w:val="008C5AFE"/>
    <w:rsid w:val="008D404D"/>
    <w:rsid w:val="008E7E9E"/>
    <w:rsid w:val="008F3824"/>
    <w:rsid w:val="00902DBA"/>
    <w:rsid w:val="00911CB2"/>
    <w:rsid w:val="00923B0A"/>
    <w:rsid w:val="00930221"/>
    <w:rsid w:val="009336C1"/>
    <w:rsid w:val="00941901"/>
    <w:rsid w:val="00963DF2"/>
    <w:rsid w:val="00975DB5"/>
    <w:rsid w:val="0099500F"/>
    <w:rsid w:val="009A1C3F"/>
    <w:rsid w:val="009B7230"/>
    <w:rsid w:val="009C6721"/>
    <w:rsid w:val="009D23CD"/>
    <w:rsid w:val="009E1F6D"/>
    <w:rsid w:val="009E26BA"/>
    <w:rsid w:val="009E4BE5"/>
    <w:rsid w:val="00A01D4E"/>
    <w:rsid w:val="00A01DDC"/>
    <w:rsid w:val="00A07E34"/>
    <w:rsid w:val="00A16CFD"/>
    <w:rsid w:val="00A211B6"/>
    <w:rsid w:val="00A23A07"/>
    <w:rsid w:val="00A26564"/>
    <w:rsid w:val="00A303DE"/>
    <w:rsid w:val="00A50459"/>
    <w:rsid w:val="00A570D4"/>
    <w:rsid w:val="00A61B53"/>
    <w:rsid w:val="00A645F7"/>
    <w:rsid w:val="00A64E64"/>
    <w:rsid w:val="00A670CF"/>
    <w:rsid w:val="00A7003D"/>
    <w:rsid w:val="00A739BC"/>
    <w:rsid w:val="00A909BB"/>
    <w:rsid w:val="00A96D8B"/>
    <w:rsid w:val="00A97628"/>
    <w:rsid w:val="00AA2007"/>
    <w:rsid w:val="00AA21F3"/>
    <w:rsid w:val="00AC278A"/>
    <w:rsid w:val="00AC6659"/>
    <w:rsid w:val="00AD0235"/>
    <w:rsid w:val="00AD6252"/>
    <w:rsid w:val="00AE7A4A"/>
    <w:rsid w:val="00B201FB"/>
    <w:rsid w:val="00B242D6"/>
    <w:rsid w:val="00B26393"/>
    <w:rsid w:val="00B417CE"/>
    <w:rsid w:val="00B473F3"/>
    <w:rsid w:val="00B47FAE"/>
    <w:rsid w:val="00B55261"/>
    <w:rsid w:val="00B624A7"/>
    <w:rsid w:val="00B95725"/>
    <w:rsid w:val="00BB47E6"/>
    <w:rsid w:val="00BD637E"/>
    <w:rsid w:val="00BF72EC"/>
    <w:rsid w:val="00C155D3"/>
    <w:rsid w:val="00C16285"/>
    <w:rsid w:val="00C172BD"/>
    <w:rsid w:val="00C33344"/>
    <w:rsid w:val="00C37A87"/>
    <w:rsid w:val="00C417FF"/>
    <w:rsid w:val="00C51BD6"/>
    <w:rsid w:val="00C75C59"/>
    <w:rsid w:val="00C93C1F"/>
    <w:rsid w:val="00CC260C"/>
    <w:rsid w:val="00CD18AF"/>
    <w:rsid w:val="00CE44BE"/>
    <w:rsid w:val="00CE50C0"/>
    <w:rsid w:val="00D07B02"/>
    <w:rsid w:val="00D20E8E"/>
    <w:rsid w:val="00D248D1"/>
    <w:rsid w:val="00D41F68"/>
    <w:rsid w:val="00D51F29"/>
    <w:rsid w:val="00D56134"/>
    <w:rsid w:val="00D6330B"/>
    <w:rsid w:val="00D656B3"/>
    <w:rsid w:val="00D86541"/>
    <w:rsid w:val="00D90778"/>
    <w:rsid w:val="00D9417E"/>
    <w:rsid w:val="00D947C4"/>
    <w:rsid w:val="00DA0E3E"/>
    <w:rsid w:val="00DC0C3C"/>
    <w:rsid w:val="00DD1BF7"/>
    <w:rsid w:val="00E14C0E"/>
    <w:rsid w:val="00E22148"/>
    <w:rsid w:val="00E26302"/>
    <w:rsid w:val="00E26443"/>
    <w:rsid w:val="00E361FC"/>
    <w:rsid w:val="00E64668"/>
    <w:rsid w:val="00EA7FA7"/>
    <w:rsid w:val="00ED3C5A"/>
    <w:rsid w:val="00ED6252"/>
    <w:rsid w:val="00EE505F"/>
    <w:rsid w:val="00F006FE"/>
    <w:rsid w:val="00F04E25"/>
    <w:rsid w:val="00F10EEF"/>
    <w:rsid w:val="00F10F51"/>
    <w:rsid w:val="00F1550E"/>
    <w:rsid w:val="00F21EDB"/>
    <w:rsid w:val="00F22637"/>
    <w:rsid w:val="00F2355C"/>
    <w:rsid w:val="00F370D0"/>
    <w:rsid w:val="00F41050"/>
    <w:rsid w:val="00F44F62"/>
    <w:rsid w:val="00F50977"/>
    <w:rsid w:val="00F542BB"/>
    <w:rsid w:val="00F575A9"/>
    <w:rsid w:val="00F61204"/>
    <w:rsid w:val="00F612A2"/>
    <w:rsid w:val="00F672D1"/>
    <w:rsid w:val="00F7678F"/>
    <w:rsid w:val="00F860CF"/>
    <w:rsid w:val="00F87217"/>
    <w:rsid w:val="00FB2574"/>
    <w:rsid w:val="00FC0622"/>
    <w:rsid w:val="00FC2AD3"/>
    <w:rsid w:val="00FC2E21"/>
    <w:rsid w:val="00FC7611"/>
    <w:rsid w:val="00FD044F"/>
    <w:rsid w:val="00FD178D"/>
    <w:rsid w:val="00FD5A21"/>
    <w:rsid w:val="00FD74C8"/>
    <w:rsid w:val="00FE0B25"/>
    <w:rsid w:val="00FF30A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27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28"/>
  </w:style>
  <w:style w:type="paragraph" w:styleId="Heading1">
    <w:name w:val="heading 1"/>
    <w:basedOn w:val="Normal"/>
    <w:next w:val="Normal"/>
    <w:link w:val="Heading1Char"/>
    <w:uiPriority w:val="9"/>
    <w:qFormat/>
    <w:rsid w:val="00F860CF"/>
    <w:pPr>
      <w:keepNext/>
      <w:numPr>
        <w:numId w:val="2"/>
      </w:numPr>
      <w:spacing w:after="0" w:line="240" w:lineRule="auto"/>
      <w:outlineLvl w:val="0"/>
    </w:pPr>
    <w:rPr>
      <w:rFonts w:ascii="Times New Roman Bold" w:eastAsia="Times New Roman" w:hAnsi="Times New Roman Bold" w:cs="Times New Roman"/>
      <w:b/>
      <w:bCs/>
      <w:smallCaps/>
      <w:kern w:val="32"/>
      <w:szCs w:val="32"/>
      <w:lang w:val="en-GB"/>
    </w:rPr>
  </w:style>
  <w:style w:type="paragraph" w:styleId="Heading2">
    <w:name w:val="heading 2"/>
    <w:basedOn w:val="Normal"/>
    <w:next w:val="Normal"/>
    <w:link w:val="Heading2Char"/>
    <w:uiPriority w:val="9"/>
    <w:unhideWhenUsed/>
    <w:qFormat/>
    <w:rsid w:val="00F860CF"/>
    <w:pPr>
      <w:keepNext/>
      <w:numPr>
        <w:ilvl w:val="1"/>
        <w:numId w:val="2"/>
      </w:numPr>
      <w:spacing w:after="0" w:line="240" w:lineRule="auto"/>
      <w:jc w:val="both"/>
      <w:outlineLvl w:val="1"/>
    </w:pPr>
    <w:rPr>
      <w:rFonts w:ascii="Times New Roman" w:eastAsia="Times New Roman" w:hAnsi="Times New Roman" w:cs="Times New Roman"/>
      <w:bCs/>
      <w:iCs/>
      <w:szCs w:val="28"/>
      <w:lang w:val="en-GB"/>
    </w:rPr>
  </w:style>
  <w:style w:type="paragraph" w:styleId="Heading3">
    <w:name w:val="heading 3"/>
    <w:basedOn w:val="Normal"/>
    <w:next w:val="Normal"/>
    <w:link w:val="Heading3Char"/>
    <w:uiPriority w:val="9"/>
    <w:unhideWhenUsed/>
    <w:qFormat/>
    <w:rsid w:val="00F860CF"/>
    <w:pPr>
      <w:keepNext/>
      <w:numPr>
        <w:ilvl w:val="2"/>
        <w:numId w:val="2"/>
      </w:numPr>
      <w:spacing w:before="240" w:after="60" w:line="240" w:lineRule="auto"/>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iPriority w:val="9"/>
    <w:unhideWhenUsed/>
    <w:qFormat/>
    <w:rsid w:val="00F860CF"/>
    <w:pPr>
      <w:keepNext/>
      <w:numPr>
        <w:ilvl w:val="3"/>
        <w:numId w:val="2"/>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
    <w:semiHidden/>
    <w:unhideWhenUsed/>
    <w:qFormat/>
    <w:rsid w:val="00F860CF"/>
    <w:pPr>
      <w:numPr>
        <w:ilvl w:val="4"/>
        <w:numId w:val="2"/>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
    <w:semiHidden/>
    <w:unhideWhenUsed/>
    <w:qFormat/>
    <w:rsid w:val="00F860CF"/>
    <w:pPr>
      <w:numPr>
        <w:ilvl w:val="5"/>
        <w:numId w:val="2"/>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
    <w:semiHidden/>
    <w:unhideWhenUsed/>
    <w:qFormat/>
    <w:rsid w:val="00F860CF"/>
    <w:pPr>
      <w:numPr>
        <w:ilvl w:val="6"/>
        <w:numId w:val="2"/>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
    <w:semiHidden/>
    <w:unhideWhenUsed/>
    <w:qFormat/>
    <w:rsid w:val="00F860CF"/>
    <w:pPr>
      <w:numPr>
        <w:ilvl w:val="7"/>
        <w:numId w:val="2"/>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
    <w:semiHidden/>
    <w:unhideWhenUsed/>
    <w:qFormat/>
    <w:rsid w:val="00F860CF"/>
    <w:pPr>
      <w:numPr>
        <w:ilvl w:val="8"/>
        <w:numId w:val="2"/>
      </w:num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0CF"/>
    <w:rPr>
      <w:rFonts w:ascii="Times New Roman Bold" w:eastAsia="Times New Roman" w:hAnsi="Times New Roman Bold" w:cs="Times New Roman"/>
      <w:b/>
      <w:bCs/>
      <w:smallCaps/>
      <w:kern w:val="32"/>
      <w:szCs w:val="32"/>
      <w:lang w:val="en-GB"/>
    </w:rPr>
  </w:style>
  <w:style w:type="character" w:customStyle="1" w:styleId="Heading2Char">
    <w:name w:val="Heading 2 Char"/>
    <w:basedOn w:val="DefaultParagraphFont"/>
    <w:link w:val="Heading2"/>
    <w:uiPriority w:val="9"/>
    <w:rsid w:val="00F860CF"/>
    <w:rPr>
      <w:rFonts w:ascii="Times New Roman" w:eastAsia="Times New Roman" w:hAnsi="Times New Roman" w:cs="Times New Roman"/>
      <w:bCs/>
      <w:iCs/>
      <w:szCs w:val="28"/>
      <w:lang w:val="en-GB"/>
    </w:rPr>
  </w:style>
  <w:style w:type="character" w:customStyle="1" w:styleId="Heading3Char">
    <w:name w:val="Heading 3 Char"/>
    <w:basedOn w:val="DefaultParagraphFont"/>
    <w:link w:val="Heading3"/>
    <w:uiPriority w:val="9"/>
    <w:rsid w:val="00F860CF"/>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F860C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
    <w:semiHidden/>
    <w:rsid w:val="00F860CF"/>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
    <w:semiHidden/>
    <w:rsid w:val="00F860C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F860C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semiHidden/>
    <w:rsid w:val="00F860C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semiHidden/>
    <w:rsid w:val="00F860CF"/>
    <w:rPr>
      <w:rFonts w:ascii="Cambria" w:eastAsia="Times New Roman" w:hAnsi="Cambria" w:cs="Times New Roman"/>
      <w:lang w:val="en-GB"/>
    </w:rPr>
  </w:style>
  <w:style w:type="paragraph" w:styleId="ListParagraph">
    <w:name w:val="List Paragraph"/>
    <w:basedOn w:val="Normal"/>
    <w:uiPriority w:val="34"/>
    <w:qFormat/>
    <w:rsid w:val="00F860CF"/>
    <w:pPr>
      <w:ind w:left="720"/>
      <w:contextualSpacing/>
    </w:pPr>
    <w:rPr>
      <w:rFonts w:eastAsiaTheme="minorEastAsia"/>
    </w:rPr>
  </w:style>
  <w:style w:type="paragraph" w:styleId="FootnoteText">
    <w:name w:val="footnote text"/>
    <w:basedOn w:val="Normal"/>
    <w:link w:val="FootnoteTextChar1"/>
    <w:uiPriority w:val="99"/>
    <w:rsid w:val="00F860CF"/>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uiPriority w:val="99"/>
    <w:semiHidden/>
    <w:rsid w:val="00F860CF"/>
    <w:rPr>
      <w:sz w:val="20"/>
      <w:szCs w:val="20"/>
    </w:rPr>
  </w:style>
  <w:style w:type="character" w:styleId="FootnoteReference">
    <w:name w:val="footnote reference"/>
    <w:basedOn w:val="DefaultParagraphFont"/>
    <w:uiPriority w:val="99"/>
    <w:rsid w:val="00F860CF"/>
    <w:rPr>
      <w:rFonts w:cs="Times New Roman"/>
      <w:vertAlign w:val="superscript"/>
    </w:rPr>
  </w:style>
  <w:style w:type="character" w:customStyle="1" w:styleId="FootnoteTextChar1">
    <w:name w:val="Footnote Text Char1"/>
    <w:basedOn w:val="DefaultParagraphFont"/>
    <w:link w:val="FootnoteText"/>
    <w:uiPriority w:val="99"/>
    <w:locked/>
    <w:rsid w:val="00F860CF"/>
    <w:rPr>
      <w:rFonts w:ascii="Times New Roman" w:eastAsia="SimSun" w:hAnsi="Times New Roman" w:cs="Times New Roman"/>
      <w:sz w:val="20"/>
      <w:szCs w:val="20"/>
      <w:lang w:eastAsia="zh-CN"/>
    </w:rPr>
  </w:style>
  <w:style w:type="paragraph" w:styleId="CommentText">
    <w:name w:val="annotation text"/>
    <w:basedOn w:val="Normal"/>
    <w:link w:val="CommentTextChar"/>
    <w:semiHidden/>
    <w:unhideWhenUsed/>
    <w:rsid w:val="00F860CF"/>
    <w:rPr>
      <w:rFonts w:ascii="Times New Roman" w:eastAsia="Calibri" w:hAnsi="Times New Roman" w:cs="Arial"/>
      <w:sz w:val="20"/>
      <w:szCs w:val="20"/>
      <w:lang w:val="en-GB"/>
    </w:rPr>
  </w:style>
  <w:style w:type="character" w:customStyle="1" w:styleId="CommentTextChar">
    <w:name w:val="Comment Text Char"/>
    <w:basedOn w:val="DefaultParagraphFont"/>
    <w:link w:val="CommentText"/>
    <w:semiHidden/>
    <w:rsid w:val="00F860CF"/>
    <w:rPr>
      <w:rFonts w:ascii="Times New Roman" w:eastAsia="Calibri" w:hAnsi="Times New Roman" w:cs="Arial"/>
      <w:sz w:val="20"/>
      <w:szCs w:val="20"/>
      <w:lang w:val="en-GB"/>
    </w:rPr>
  </w:style>
  <w:style w:type="character" w:styleId="CommentReference">
    <w:name w:val="annotation reference"/>
    <w:basedOn w:val="DefaultParagraphFont"/>
    <w:semiHidden/>
    <w:unhideWhenUsed/>
    <w:rsid w:val="00F860CF"/>
    <w:rPr>
      <w:sz w:val="16"/>
      <w:szCs w:val="16"/>
    </w:rPr>
  </w:style>
  <w:style w:type="paragraph" w:styleId="BalloonText">
    <w:name w:val="Balloon Text"/>
    <w:basedOn w:val="Normal"/>
    <w:link w:val="BalloonTextChar"/>
    <w:uiPriority w:val="99"/>
    <w:semiHidden/>
    <w:unhideWhenUsed/>
    <w:rsid w:val="00F8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C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76A0C"/>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76A0C"/>
    <w:rPr>
      <w:rFonts w:ascii="Times New Roman" w:eastAsia="Calibri" w:hAnsi="Times New Roman" w:cs="Arial"/>
      <w:b/>
      <w:bCs/>
      <w:sz w:val="20"/>
      <w:szCs w:val="20"/>
      <w:lang w:val="en-GB"/>
    </w:rPr>
  </w:style>
  <w:style w:type="paragraph" w:styleId="EndnoteText">
    <w:name w:val="endnote text"/>
    <w:basedOn w:val="Normal"/>
    <w:link w:val="EndnoteTextChar"/>
    <w:uiPriority w:val="99"/>
    <w:semiHidden/>
    <w:unhideWhenUsed/>
    <w:rsid w:val="00B957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5725"/>
    <w:rPr>
      <w:sz w:val="20"/>
      <w:szCs w:val="20"/>
    </w:rPr>
  </w:style>
  <w:style w:type="character" w:styleId="EndnoteReference">
    <w:name w:val="endnote reference"/>
    <w:basedOn w:val="DefaultParagraphFont"/>
    <w:uiPriority w:val="99"/>
    <w:semiHidden/>
    <w:unhideWhenUsed/>
    <w:rsid w:val="00B95725"/>
    <w:rPr>
      <w:sz w:val="32"/>
      <w:szCs w:val="32"/>
      <w:vertAlign w:val="superscript"/>
    </w:rPr>
  </w:style>
  <w:style w:type="paragraph" w:customStyle="1" w:styleId="sa">
    <w:name w:val="sa"/>
    <w:basedOn w:val="Normal"/>
    <w:rsid w:val="00B95725"/>
    <w:pPr>
      <w:spacing w:before="100" w:beforeAutospacing="1" w:after="100" w:afterAutospacing="1" w:line="240" w:lineRule="auto"/>
    </w:pPr>
    <w:rPr>
      <w:rFonts w:ascii="Tahoma" w:eastAsia="Times New Roman" w:hAnsi="Tahoma" w:cs="Tahoma"/>
      <w:sz w:val="24"/>
      <w:szCs w:val="24"/>
      <w:lang w:bidi="th-TH"/>
    </w:rPr>
  </w:style>
  <w:style w:type="character" w:customStyle="1" w:styleId="apple-converted-space">
    <w:name w:val="apple-converted-space"/>
    <w:basedOn w:val="DefaultParagraphFont"/>
    <w:rsid w:val="00B95725"/>
  </w:style>
  <w:style w:type="character" w:styleId="Hyperlink">
    <w:name w:val="Hyperlink"/>
    <w:basedOn w:val="DefaultParagraphFont"/>
    <w:uiPriority w:val="99"/>
    <w:semiHidden/>
    <w:unhideWhenUsed/>
    <w:rsid w:val="006334B0"/>
    <w:rPr>
      <w:color w:val="0000FF"/>
      <w:u w:val="single"/>
    </w:rPr>
  </w:style>
  <w:style w:type="paragraph" w:styleId="Header">
    <w:name w:val="header"/>
    <w:basedOn w:val="Normal"/>
    <w:link w:val="HeaderChar"/>
    <w:uiPriority w:val="99"/>
    <w:unhideWhenUsed/>
    <w:rsid w:val="0044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CE6"/>
  </w:style>
  <w:style w:type="paragraph" w:styleId="Footer">
    <w:name w:val="footer"/>
    <w:basedOn w:val="Normal"/>
    <w:link w:val="FooterChar"/>
    <w:uiPriority w:val="99"/>
    <w:unhideWhenUsed/>
    <w:rsid w:val="0044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28"/>
  </w:style>
  <w:style w:type="paragraph" w:styleId="Heading1">
    <w:name w:val="heading 1"/>
    <w:basedOn w:val="Normal"/>
    <w:next w:val="Normal"/>
    <w:link w:val="Heading1Char"/>
    <w:uiPriority w:val="9"/>
    <w:qFormat/>
    <w:rsid w:val="00F860CF"/>
    <w:pPr>
      <w:keepNext/>
      <w:numPr>
        <w:numId w:val="2"/>
      </w:numPr>
      <w:spacing w:after="0" w:line="240" w:lineRule="auto"/>
      <w:outlineLvl w:val="0"/>
    </w:pPr>
    <w:rPr>
      <w:rFonts w:ascii="Times New Roman Bold" w:eastAsia="Times New Roman" w:hAnsi="Times New Roman Bold" w:cs="Times New Roman"/>
      <w:b/>
      <w:bCs/>
      <w:smallCaps/>
      <w:kern w:val="32"/>
      <w:szCs w:val="32"/>
      <w:lang w:val="en-GB"/>
    </w:rPr>
  </w:style>
  <w:style w:type="paragraph" w:styleId="Heading2">
    <w:name w:val="heading 2"/>
    <w:basedOn w:val="Normal"/>
    <w:next w:val="Normal"/>
    <w:link w:val="Heading2Char"/>
    <w:uiPriority w:val="9"/>
    <w:unhideWhenUsed/>
    <w:qFormat/>
    <w:rsid w:val="00F860CF"/>
    <w:pPr>
      <w:keepNext/>
      <w:numPr>
        <w:ilvl w:val="1"/>
        <w:numId w:val="2"/>
      </w:numPr>
      <w:spacing w:after="0" w:line="240" w:lineRule="auto"/>
      <w:jc w:val="both"/>
      <w:outlineLvl w:val="1"/>
    </w:pPr>
    <w:rPr>
      <w:rFonts w:ascii="Times New Roman" w:eastAsia="Times New Roman" w:hAnsi="Times New Roman" w:cs="Times New Roman"/>
      <w:bCs/>
      <w:iCs/>
      <w:szCs w:val="28"/>
      <w:lang w:val="en-GB"/>
    </w:rPr>
  </w:style>
  <w:style w:type="paragraph" w:styleId="Heading3">
    <w:name w:val="heading 3"/>
    <w:basedOn w:val="Normal"/>
    <w:next w:val="Normal"/>
    <w:link w:val="Heading3Char"/>
    <w:uiPriority w:val="9"/>
    <w:unhideWhenUsed/>
    <w:qFormat/>
    <w:rsid w:val="00F860CF"/>
    <w:pPr>
      <w:keepNext/>
      <w:numPr>
        <w:ilvl w:val="2"/>
        <w:numId w:val="2"/>
      </w:numPr>
      <w:spacing w:before="240" w:after="60" w:line="240" w:lineRule="auto"/>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iPriority w:val="9"/>
    <w:unhideWhenUsed/>
    <w:qFormat/>
    <w:rsid w:val="00F860CF"/>
    <w:pPr>
      <w:keepNext/>
      <w:numPr>
        <w:ilvl w:val="3"/>
        <w:numId w:val="2"/>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
    <w:semiHidden/>
    <w:unhideWhenUsed/>
    <w:qFormat/>
    <w:rsid w:val="00F860CF"/>
    <w:pPr>
      <w:numPr>
        <w:ilvl w:val="4"/>
        <w:numId w:val="2"/>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
    <w:semiHidden/>
    <w:unhideWhenUsed/>
    <w:qFormat/>
    <w:rsid w:val="00F860CF"/>
    <w:pPr>
      <w:numPr>
        <w:ilvl w:val="5"/>
        <w:numId w:val="2"/>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
    <w:semiHidden/>
    <w:unhideWhenUsed/>
    <w:qFormat/>
    <w:rsid w:val="00F860CF"/>
    <w:pPr>
      <w:numPr>
        <w:ilvl w:val="6"/>
        <w:numId w:val="2"/>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
    <w:semiHidden/>
    <w:unhideWhenUsed/>
    <w:qFormat/>
    <w:rsid w:val="00F860CF"/>
    <w:pPr>
      <w:numPr>
        <w:ilvl w:val="7"/>
        <w:numId w:val="2"/>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
    <w:semiHidden/>
    <w:unhideWhenUsed/>
    <w:qFormat/>
    <w:rsid w:val="00F860CF"/>
    <w:pPr>
      <w:numPr>
        <w:ilvl w:val="8"/>
        <w:numId w:val="2"/>
      </w:num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0CF"/>
    <w:rPr>
      <w:rFonts w:ascii="Times New Roman Bold" w:eastAsia="Times New Roman" w:hAnsi="Times New Roman Bold" w:cs="Times New Roman"/>
      <w:b/>
      <w:bCs/>
      <w:smallCaps/>
      <w:kern w:val="32"/>
      <w:szCs w:val="32"/>
      <w:lang w:val="en-GB"/>
    </w:rPr>
  </w:style>
  <w:style w:type="character" w:customStyle="1" w:styleId="Heading2Char">
    <w:name w:val="Heading 2 Char"/>
    <w:basedOn w:val="DefaultParagraphFont"/>
    <w:link w:val="Heading2"/>
    <w:uiPriority w:val="9"/>
    <w:rsid w:val="00F860CF"/>
    <w:rPr>
      <w:rFonts w:ascii="Times New Roman" w:eastAsia="Times New Roman" w:hAnsi="Times New Roman" w:cs="Times New Roman"/>
      <w:bCs/>
      <w:iCs/>
      <w:szCs w:val="28"/>
      <w:lang w:val="en-GB"/>
    </w:rPr>
  </w:style>
  <w:style w:type="character" w:customStyle="1" w:styleId="Heading3Char">
    <w:name w:val="Heading 3 Char"/>
    <w:basedOn w:val="DefaultParagraphFont"/>
    <w:link w:val="Heading3"/>
    <w:uiPriority w:val="9"/>
    <w:rsid w:val="00F860CF"/>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F860C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
    <w:semiHidden/>
    <w:rsid w:val="00F860CF"/>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
    <w:semiHidden/>
    <w:rsid w:val="00F860C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F860C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
    <w:semiHidden/>
    <w:rsid w:val="00F860C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semiHidden/>
    <w:rsid w:val="00F860CF"/>
    <w:rPr>
      <w:rFonts w:ascii="Cambria" w:eastAsia="Times New Roman" w:hAnsi="Cambria" w:cs="Times New Roman"/>
      <w:lang w:val="en-GB"/>
    </w:rPr>
  </w:style>
  <w:style w:type="paragraph" w:styleId="ListParagraph">
    <w:name w:val="List Paragraph"/>
    <w:basedOn w:val="Normal"/>
    <w:uiPriority w:val="34"/>
    <w:qFormat/>
    <w:rsid w:val="00F860CF"/>
    <w:pPr>
      <w:ind w:left="720"/>
      <w:contextualSpacing/>
    </w:pPr>
    <w:rPr>
      <w:rFonts w:eastAsiaTheme="minorEastAsia"/>
    </w:rPr>
  </w:style>
  <w:style w:type="paragraph" w:styleId="FootnoteText">
    <w:name w:val="footnote text"/>
    <w:basedOn w:val="Normal"/>
    <w:link w:val="FootnoteTextChar1"/>
    <w:uiPriority w:val="99"/>
    <w:rsid w:val="00F860CF"/>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uiPriority w:val="99"/>
    <w:semiHidden/>
    <w:rsid w:val="00F860CF"/>
    <w:rPr>
      <w:sz w:val="20"/>
      <w:szCs w:val="20"/>
    </w:rPr>
  </w:style>
  <w:style w:type="character" w:styleId="FootnoteReference">
    <w:name w:val="footnote reference"/>
    <w:basedOn w:val="DefaultParagraphFont"/>
    <w:uiPriority w:val="99"/>
    <w:rsid w:val="00F860CF"/>
    <w:rPr>
      <w:rFonts w:cs="Times New Roman"/>
      <w:vertAlign w:val="superscript"/>
    </w:rPr>
  </w:style>
  <w:style w:type="character" w:customStyle="1" w:styleId="FootnoteTextChar1">
    <w:name w:val="Footnote Text Char1"/>
    <w:basedOn w:val="DefaultParagraphFont"/>
    <w:link w:val="FootnoteText"/>
    <w:uiPriority w:val="99"/>
    <w:locked/>
    <w:rsid w:val="00F860CF"/>
    <w:rPr>
      <w:rFonts w:ascii="Times New Roman" w:eastAsia="SimSun" w:hAnsi="Times New Roman" w:cs="Times New Roman"/>
      <w:sz w:val="20"/>
      <w:szCs w:val="20"/>
      <w:lang w:eastAsia="zh-CN"/>
    </w:rPr>
  </w:style>
  <w:style w:type="paragraph" w:styleId="CommentText">
    <w:name w:val="annotation text"/>
    <w:basedOn w:val="Normal"/>
    <w:link w:val="CommentTextChar"/>
    <w:semiHidden/>
    <w:unhideWhenUsed/>
    <w:rsid w:val="00F860CF"/>
    <w:rPr>
      <w:rFonts w:ascii="Times New Roman" w:eastAsia="Calibri" w:hAnsi="Times New Roman" w:cs="Arial"/>
      <w:sz w:val="20"/>
      <w:szCs w:val="20"/>
      <w:lang w:val="en-GB"/>
    </w:rPr>
  </w:style>
  <w:style w:type="character" w:customStyle="1" w:styleId="CommentTextChar">
    <w:name w:val="Comment Text Char"/>
    <w:basedOn w:val="DefaultParagraphFont"/>
    <w:link w:val="CommentText"/>
    <w:semiHidden/>
    <w:rsid w:val="00F860CF"/>
    <w:rPr>
      <w:rFonts w:ascii="Times New Roman" w:eastAsia="Calibri" w:hAnsi="Times New Roman" w:cs="Arial"/>
      <w:sz w:val="20"/>
      <w:szCs w:val="20"/>
      <w:lang w:val="en-GB"/>
    </w:rPr>
  </w:style>
  <w:style w:type="character" w:styleId="CommentReference">
    <w:name w:val="annotation reference"/>
    <w:basedOn w:val="DefaultParagraphFont"/>
    <w:semiHidden/>
    <w:unhideWhenUsed/>
    <w:rsid w:val="00F860CF"/>
    <w:rPr>
      <w:sz w:val="16"/>
      <w:szCs w:val="16"/>
    </w:rPr>
  </w:style>
  <w:style w:type="paragraph" w:styleId="BalloonText">
    <w:name w:val="Balloon Text"/>
    <w:basedOn w:val="Normal"/>
    <w:link w:val="BalloonTextChar"/>
    <w:uiPriority w:val="99"/>
    <w:semiHidden/>
    <w:unhideWhenUsed/>
    <w:rsid w:val="00F8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C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76A0C"/>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76A0C"/>
    <w:rPr>
      <w:rFonts w:ascii="Times New Roman" w:eastAsia="Calibri" w:hAnsi="Times New Roman" w:cs="Arial"/>
      <w:b/>
      <w:bCs/>
      <w:sz w:val="20"/>
      <w:szCs w:val="20"/>
      <w:lang w:val="en-GB"/>
    </w:rPr>
  </w:style>
  <w:style w:type="paragraph" w:styleId="EndnoteText">
    <w:name w:val="endnote text"/>
    <w:basedOn w:val="Normal"/>
    <w:link w:val="EndnoteTextChar"/>
    <w:uiPriority w:val="99"/>
    <w:semiHidden/>
    <w:unhideWhenUsed/>
    <w:rsid w:val="00B957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5725"/>
    <w:rPr>
      <w:sz w:val="20"/>
      <w:szCs w:val="20"/>
    </w:rPr>
  </w:style>
  <w:style w:type="character" w:styleId="EndnoteReference">
    <w:name w:val="endnote reference"/>
    <w:basedOn w:val="DefaultParagraphFont"/>
    <w:uiPriority w:val="99"/>
    <w:semiHidden/>
    <w:unhideWhenUsed/>
    <w:rsid w:val="00B95725"/>
    <w:rPr>
      <w:sz w:val="32"/>
      <w:szCs w:val="32"/>
      <w:vertAlign w:val="superscript"/>
    </w:rPr>
  </w:style>
  <w:style w:type="paragraph" w:customStyle="1" w:styleId="sa">
    <w:name w:val="sa"/>
    <w:basedOn w:val="Normal"/>
    <w:rsid w:val="00B95725"/>
    <w:pPr>
      <w:spacing w:before="100" w:beforeAutospacing="1" w:after="100" w:afterAutospacing="1" w:line="240" w:lineRule="auto"/>
    </w:pPr>
    <w:rPr>
      <w:rFonts w:ascii="Tahoma" w:eastAsia="Times New Roman" w:hAnsi="Tahoma" w:cs="Tahoma"/>
      <w:sz w:val="24"/>
      <w:szCs w:val="24"/>
      <w:lang w:bidi="th-TH"/>
    </w:rPr>
  </w:style>
  <w:style w:type="character" w:customStyle="1" w:styleId="apple-converted-space">
    <w:name w:val="apple-converted-space"/>
    <w:basedOn w:val="DefaultParagraphFont"/>
    <w:rsid w:val="00B95725"/>
  </w:style>
  <w:style w:type="character" w:styleId="Hyperlink">
    <w:name w:val="Hyperlink"/>
    <w:basedOn w:val="DefaultParagraphFont"/>
    <w:uiPriority w:val="99"/>
    <w:semiHidden/>
    <w:unhideWhenUsed/>
    <w:rsid w:val="006334B0"/>
    <w:rPr>
      <w:color w:val="0000FF"/>
      <w:u w:val="single"/>
    </w:rPr>
  </w:style>
  <w:style w:type="paragraph" w:styleId="Header">
    <w:name w:val="header"/>
    <w:basedOn w:val="Normal"/>
    <w:link w:val="HeaderChar"/>
    <w:uiPriority w:val="99"/>
    <w:unhideWhenUsed/>
    <w:rsid w:val="0044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CE6"/>
  </w:style>
  <w:style w:type="paragraph" w:styleId="Footer">
    <w:name w:val="footer"/>
    <w:basedOn w:val="Normal"/>
    <w:link w:val="FooterChar"/>
    <w:uiPriority w:val="99"/>
    <w:unhideWhenUsed/>
    <w:rsid w:val="0044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5158">
      <w:bodyDiv w:val="1"/>
      <w:marLeft w:val="0"/>
      <w:marRight w:val="0"/>
      <w:marTop w:val="0"/>
      <w:marBottom w:val="0"/>
      <w:divBdr>
        <w:top w:val="none" w:sz="0" w:space="0" w:color="auto"/>
        <w:left w:val="none" w:sz="0" w:space="0" w:color="auto"/>
        <w:bottom w:val="none" w:sz="0" w:space="0" w:color="auto"/>
        <w:right w:val="none" w:sz="0" w:space="0" w:color="auto"/>
      </w:divBdr>
    </w:div>
    <w:div w:id="297616420">
      <w:bodyDiv w:val="1"/>
      <w:marLeft w:val="0"/>
      <w:marRight w:val="0"/>
      <w:marTop w:val="0"/>
      <w:marBottom w:val="0"/>
      <w:divBdr>
        <w:top w:val="none" w:sz="0" w:space="0" w:color="auto"/>
        <w:left w:val="none" w:sz="0" w:space="0" w:color="auto"/>
        <w:bottom w:val="none" w:sz="0" w:space="0" w:color="auto"/>
        <w:right w:val="none" w:sz="0" w:space="0" w:color="auto"/>
      </w:divBdr>
    </w:div>
    <w:div w:id="360938759">
      <w:bodyDiv w:val="1"/>
      <w:marLeft w:val="0"/>
      <w:marRight w:val="0"/>
      <w:marTop w:val="0"/>
      <w:marBottom w:val="0"/>
      <w:divBdr>
        <w:top w:val="none" w:sz="0" w:space="0" w:color="auto"/>
        <w:left w:val="none" w:sz="0" w:space="0" w:color="auto"/>
        <w:bottom w:val="none" w:sz="0" w:space="0" w:color="auto"/>
        <w:right w:val="none" w:sz="0" w:space="0" w:color="auto"/>
      </w:divBdr>
    </w:div>
    <w:div w:id="580335226">
      <w:bodyDiv w:val="1"/>
      <w:marLeft w:val="0"/>
      <w:marRight w:val="0"/>
      <w:marTop w:val="0"/>
      <w:marBottom w:val="0"/>
      <w:divBdr>
        <w:top w:val="none" w:sz="0" w:space="0" w:color="auto"/>
        <w:left w:val="none" w:sz="0" w:space="0" w:color="auto"/>
        <w:bottom w:val="none" w:sz="0" w:space="0" w:color="auto"/>
        <w:right w:val="none" w:sz="0" w:space="0" w:color="auto"/>
      </w:divBdr>
    </w:div>
    <w:div w:id="1474060372">
      <w:bodyDiv w:val="1"/>
      <w:marLeft w:val="0"/>
      <w:marRight w:val="0"/>
      <w:marTop w:val="0"/>
      <w:marBottom w:val="0"/>
      <w:divBdr>
        <w:top w:val="none" w:sz="0" w:space="0" w:color="auto"/>
        <w:left w:val="none" w:sz="0" w:space="0" w:color="auto"/>
        <w:bottom w:val="none" w:sz="0" w:space="0" w:color="auto"/>
        <w:right w:val="none" w:sz="0" w:space="0" w:color="auto"/>
      </w:divBdr>
    </w:div>
    <w:div w:id="1554391012">
      <w:bodyDiv w:val="1"/>
      <w:marLeft w:val="0"/>
      <w:marRight w:val="0"/>
      <w:marTop w:val="0"/>
      <w:marBottom w:val="0"/>
      <w:divBdr>
        <w:top w:val="none" w:sz="0" w:space="0" w:color="auto"/>
        <w:left w:val="none" w:sz="0" w:space="0" w:color="auto"/>
        <w:bottom w:val="none" w:sz="0" w:space="0" w:color="auto"/>
        <w:right w:val="none" w:sz="0" w:space="0" w:color="auto"/>
      </w:divBdr>
    </w:div>
    <w:div w:id="1667631448">
      <w:bodyDiv w:val="1"/>
      <w:marLeft w:val="0"/>
      <w:marRight w:val="0"/>
      <w:marTop w:val="0"/>
      <w:marBottom w:val="0"/>
      <w:divBdr>
        <w:top w:val="none" w:sz="0" w:space="0" w:color="auto"/>
        <w:left w:val="none" w:sz="0" w:space="0" w:color="auto"/>
        <w:bottom w:val="none" w:sz="0" w:space="0" w:color="auto"/>
        <w:right w:val="none" w:sz="0" w:space="0" w:color="auto"/>
      </w:divBdr>
    </w:div>
    <w:div w:id="211976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F3F91-5397-4BDC-B1A0-45F260AB071C}"/>
</file>

<file path=customXml/itemProps2.xml><?xml version="1.0" encoding="utf-8"?>
<ds:datastoreItem xmlns:ds="http://schemas.openxmlformats.org/officeDocument/2006/customXml" ds:itemID="{3309CB47-D91A-4175-B839-0B6DF0F17E77}"/>
</file>

<file path=customXml/itemProps3.xml><?xml version="1.0" encoding="utf-8"?>
<ds:datastoreItem xmlns:ds="http://schemas.openxmlformats.org/officeDocument/2006/customXml" ds:itemID="{F8E38D7A-33E7-4F3F-871B-A34026D313A9}"/>
</file>

<file path=customXml/itemProps4.xml><?xml version="1.0" encoding="utf-8"?>
<ds:datastoreItem xmlns:ds="http://schemas.openxmlformats.org/officeDocument/2006/customXml" ds:itemID="{70C64B8B-EADE-4C30-8AE2-A24B81EA145D}"/>
</file>

<file path=docProps/app.xml><?xml version="1.0" encoding="utf-8"?>
<Properties xmlns="http://schemas.openxmlformats.org/officeDocument/2006/extended-properties" xmlns:vt="http://schemas.openxmlformats.org/officeDocument/2006/docPropsVTypes">
  <Template>Normal</Template>
  <TotalTime>4</TotalTime>
  <Pages>8</Pages>
  <Words>3014</Words>
  <Characters>16940</Characters>
  <Application>Microsoft Office Word</Application>
  <DocSecurity>0</DocSecurity>
  <Lines>282</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Emilie Arnaud</cp:lastModifiedBy>
  <cp:revision>2</cp:revision>
  <cp:lastPrinted>2013-09-30T14:06:00Z</cp:lastPrinted>
  <dcterms:created xsi:type="dcterms:W3CDTF">2013-09-30T14:09:00Z</dcterms:created>
  <dcterms:modified xsi:type="dcterms:W3CDTF">2013-09-30T14:09:00Z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1289300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