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5022" w:rsidRPr="007575C6" w:rsidRDefault="004B5022" w:rsidP="004B5022">
      <w:pPr>
        <w:pStyle w:val="NoSpacing"/>
        <w:jc w:val="center"/>
        <w:rPr>
          <w:rFonts w:asciiTheme="majorHAnsi" w:hAnsiTheme="majorHAnsi" w:cs="Times New Roman"/>
          <w:b/>
          <w:bCs/>
        </w:rPr>
      </w:pPr>
      <w:r w:rsidRPr="007575C6">
        <w:rPr>
          <w:rFonts w:asciiTheme="majorHAnsi" w:hAnsiTheme="majorHAnsi" w:cs="Times New Roman"/>
          <w:b/>
          <w:bCs/>
        </w:rPr>
        <w:t>Universal Periodic Review (UPR)</w:t>
      </w:r>
      <w:r>
        <w:rPr>
          <w:rFonts w:asciiTheme="majorHAnsi" w:hAnsiTheme="majorHAnsi" w:cs="Times New Roman"/>
          <w:b/>
          <w:bCs/>
        </w:rPr>
        <w:t xml:space="preserve"> - Israel</w:t>
      </w:r>
    </w:p>
    <w:p w:rsidR="004B5022" w:rsidRPr="007575C6" w:rsidRDefault="004B5022" w:rsidP="004B5022">
      <w:pPr>
        <w:pStyle w:val="NoSpacing"/>
        <w:jc w:val="center"/>
        <w:rPr>
          <w:rFonts w:asciiTheme="majorHAnsi" w:hAnsiTheme="majorHAnsi" w:cs="Times New Roman"/>
          <w:b/>
          <w:bCs/>
        </w:rPr>
      </w:pPr>
    </w:p>
    <w:p w:rsidR="004B5022" w:rsidRPr="007575C6" w:rsidRDefault="004B5022" w:rsidP="004B5022">
      <w:pPr>
        <w:pStyle w:val="NoSpacing"/>
        <w:jc w:val="center"/>
        <w:rPr>
          <w:rFonts w:asciiTheme="majorHAnsi" w:hAnsiTheme="majorHAnsi" w:cs="Times New Roman"/>
          <w:b/>
          <w:bCs/>
        </w:rPr>
      </w:pPr>
    </w:p>
    <w:p w:rsidR="004B5022" w:rsidRDefault="004B5022" w:rsidP="004B5022">
      <w:pPr>
        <w:pStyle w:val="NoSpacing"/>
        <w:jc w:val="center"/>
        <w:rPr>
          <w:rFonts w:asciiTheme="majorHAnsi" w:hAnsiTheme="majorHAnsi" w:cs="Times New Roman"/>
          <w:b/>
          <w:bCs/>
        </w:rPr>
      </w:pPr>
      <w:r w:rsidRPr="007575C6">
        <w:rPr>
          <w:rFonts w:asciiTheme="majorHAnsi" w:hAnsiTheme="majorHAnsi" w:cs="Times New Roman"/>
          <w:b/>
          <w:bCs/>
        </w:rPr>
        <w:t xml:space="preserve">Report submitted on </w:t>
      </w:r>
      <w:r w:rsidRPr="00486F39">
        <w:rPr>
          <w:rFonts w:asciiTheme="majorHAnsi" w:hAnsiTheme="majorHAnsi" w:cs="Times New Roman"/>
          <w:b/>
          <w:bCs/>
        </w:rPr>
        <w:t>30 September 2013</w:t>
      </w:r>
      <w:r w:rsidRPr="007575C6">
        <w:rPr>
          <w:rFonts w:asciiTheme="majorHAnsi" w:hAnsiTheme="majorHAnsi" w:cs="Times New Roman"/>
          <w:b/>
          <w:bCs/>
        </w:rPr>
        <w:t xml:space="preserve"> by </w:t>
      </w:r>
      <w:r w:rsidRPr="004B5022">
        <w:rPr>
          <w:rFonts w:asciiTheme="majorHAnsi" w:hAnsiTheme="majorHAnsi" w:cs="Times New Roman"/>
          <w:b/>
          <w:bCs/>
        </w:rPr>
        <w:t>BADIL Resource Center for Palestinian Residency and Refugee Rights</w:t>
      </w:r>
    </w:p>
    <w:p w:rsidR="00FC25CC" w:rsidRDefault="00FC25CC" w:rsidP="00FC25CC">
      <w:pPr>
        <w:pStyle w:val="NoSpacing"/>
        <w:rPr>
          <w:rFonts w:asciiTheme="majorHAnsi" w:hAnsiTheme="majorHAnsi" w:cs="Times New Roman"/>
          <w:b/>
          <w:bCs/>
        </w:rPr>
      </w:pPr>
    </w:p>
    <w:p w:rsidR="00FC25CC" w:rsidRDefault="006E619D" w:rsidP="00FC25CC">
      <w:pPr>
        <w:pStyle w:val="NoSpacing"/>
        <w:rPr>
          <w:rFonts w:asciiTheme="majorHAnsi" w:hAnsiTheme="majorHAnsi" w:cs="Times New Roman"/>
          <w:b/>
          <w:bCs/>
        </w:rPr>
      </w:pPr>
      <w:r>
        <w:rPr>
          <w:rFonts w:asciiTheme="majorHAnsi" w:hAnsiTheme="majorHAnsi" w:cs="Times New Roman"/>
          <w:b/>
          <w:bCs/>
          <w:noProof/>
        </w:rPr>
        <w:drawing>
          <wp:inline distT="0" distB="0" distL="0" distR="0">
            <wp:extent cx="5943600" cy="1251297"/>
            <wp:effectExtent l="19050" t="0" r="0" b="0"/>
            <wp:docPr id="1" name="Picture 1" descr="\\server3\badil\BADIL Publications\BADIL Logo\logo\logobadilwi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3\badil\BADIL Publications\BADIL Logo\logo\logobadilwide.jpg"/>
                    <pic:cNvPicPr>
                      <a:picLocks noChangeAspect="1" noChangeArrowheads="1"/>
                    </pic:cNvPicPr>
                  </pic:nvPicPr>
                  <pic:blipFill>
                    <a:blip r:embed="rId7"/>
                    <a:srcRect/>
                    <a:stretch>
                      <a:fillRect/>
                    </a:stretch>
                  </pic:blipFill>
                  <pic:spPr bwMode="auto">
                    <a:xfrm>
                      <a:off x="0" y="0"/>
                      <a:ext cx="5943600" cy="1251297"/>
                    </a:xfrm>
                    <a:prstGeom prst="rect">
                      <a:avLst/>
                    </a:prstGeom>
                    <a:noFill/>
                    <a:ln w="9525">
                      <a:noFill/>
                      <a:miter lim="800000"/>
                      <a:headEnd/>
                      <a:tailEnd/>
                    </a:ln>
                  </pic:spPr>
                </pic:pic>
              </a:graphicData>
            </a:graphic>
          </wp:inline>
        </w:drawing>
      </w:r>
    </w:p>
    <w:p w:rsidR="004B5022" w:rsidRDefault="004B5022" w:rsidP="00D672FA">
      <w:pPr>
        <w:pStyle w:val="Heading1"/>
        <w:jc w:val="both"/>
        <w:rPr>
          <w:rFonts w:ascii="Times New Roman" w:hAnsi="Times New Roman"/>
        </w:rPr>
      </w:pPr>
    </w:p>
    <w:p w:rsidR="00DA7119" w:rsidRPr="00D672FA" w:rsidRDefault="00DA7119" w:rsidP="002A54CB">
      <w:pPr>
        <w:jc w:val="both"/>
        <w:rPr>
          <w:rFonts w:ascii="Times New Roman" w:hAnsi="Times New Roman" w:cs="Times New Roman"/>
          <w:sz w:val="24"/>
          <w:szCs w:val="24"/>
        </w:rPr>
      </w:pPr>
      <w:r w:rsidRPr="00D672FA">
        <w:rPr>
          <w:rFonts w:ascii="Times New Roman" w:hAnsi="Times New Roman" w:cs="Times New Roman"/>
          <w:sz w:val="24"/>
          <w:szCs w:val="24"/>
        </w:rPr>
        <w:t xml:space="preserve">Palestinian refugees and internally displaced persons (IDPs) are the largest and longest-standing case of displaced persons in the world today. There are at least 7.4 million displaced Palestinians including 360,000 IDPs in </w:t>
      </w:r>
      <w:smartTag w:uri="urn:schemas-microsoft-com:office:smarttags" w:element="country-region">
        <w:smartTag w:uri="urn:schemas-microsoft-com:office:smarttags" w:element="place">
          <w:r w:rsidRPr="00D672FA">
            <w:rPr>
              <w:rFonts w:ascii="Times New Roman" w:hAnsi="Times New Roman" w:cs="Times New Roman"/>
              <w:sz w:val="24"/>
              <w:szCs w:val="24"/>
            </w:rPr>
            <w:t>Israel</w:t>
          </w:r>
        </w:smartTag>
      </w:smartTag>
      <w:r w:rsidRPr="00D672FA">
        <w:rPr>
          <w:rFonts w:ascii="Times New Roman" w:hAnsi="Times New Roman" w:cs="Times New Roman"/>
          <w:sz w:val="24"/>
          <w:szCs w:val="24"/>
        </w:rPr>
        <w:t>, representing 66 percent of the entire Palestinian population (11.2 million) worldwide.</w:t>
      </w:r>
      <w:r w:rsidRPr="00D672FA">
        <w:rPr>
          <w:rStyle w:val="FootnoteReference"/>
          <w:sz w:val="24"/>
          <w:szCs w:val="24"/>
        </w:rPr>
        <w:footnoteReference w:id="1"/>
      </w:r>
      <w:r w:rsidRPr="00D672FA">
        <w:rPr>
          <w:rFonts w:ascii="Times New Roman" w:hAnsi="Times New Roman" w:cs="Times New Roman"/>
          <w:sz w:val="24"/>
          <w:szCs w:val="24"/>
        </w:rPr>
        <w:t xml:space="preserve"> Among them are: </w:t>
      </w:r>
      <w:r>
        <w:rPr>
          <w:rFonts w:ascii="Times New Roman" w:hAnsi="Times New Roman" w:cs="Times New Roman"/>
          <w:sz w:val="24"/>
          <w:szCs w:val="24"/>
        </w:rPr>
        <w:t>5.2</w:t>
      </w:r>
      <w:r w:rsidRPr="00D672FA">
        <w:rPr>
          <w:rFonts w:ascii="Times New Roman" w:hAnsi="Times New Roman" w:cs="Times New Roman"/>
          <w:sz w:val="24"/>
          <w:szCs w:val="24"/>
        </w:rPr>
        <w:t xml:space="preserve"> million who are registered with and assisted by the UN Relief and Works Agency for Palestine Refugees (UNRWA).</w:t>
      </w:r>
      <w:r w:rsidRPr="00D672FA">
        <w:rPr>
          <w:rStyle w:val="FootnoteReference"/>
          <w:sz w:val="24"/>
          <w:szCs w:val="24"/>
        </w:rPr>
        <w:footnoteReference w:id="2"/>
      </w:r>
    </w:p>
    <w:p w:rsidR="00DA7119" w:rsidRPr="00430324" w:rsidRDefault="00DA7119" w:rsidP="00BD55B3">
      <w:pPr>
        <w:jc w:val="both"/>
        <w:rPr>
          <w:rFonts w:ascii="Times New Roman" w:hAnsi="Times New Roman" w:cs="Times New Roman"/>
          <w:sz w:val="24"/>
          <w:szCs w:val="24"/>
        </w:rPr>
      </w:pPr>
      <w:smartTag w:uri="urn:schemas-microsoft-com:office:smarttags" w:element="place">
        <w:smartTag w:uri="urn:schemas-microsoft-com:office:smarttags" w:element="country-region">
          <w:r w:rsidRPr="00D672FA">
            <w:rPr>
              <w:rFonts w:ascii="Times New Roman" w:hAnsi="Times New Roman" w:cs="Times New Roman"/>
              <w:sz w:val="24"/>
              <w:szCs w:val="24"/>
            </w:rPr>
            <w:t>Israel</w:t>
          </w:r>
        </w:smartTag>
      </w:smartTag>
      <w:r w:rsidRPr="00D672FA">
        <w:rPr>
          <w:rFonts w:ascii="Times New Roman" w:hAnsi="Times New Roman" w:cs="Times New Roman"/>
          <w:sz w:val="24"/>
          <w:szCs w:val="24"/>
        </w:rPr>
        <w:t xml:space="preserve"> fails to respect and meet its obligations under international law, including UN resolutions, and continues its politics aiming at forcible population transfer of the Palestinian people. These politics are applied in order to annex, de facto, the main Israeli settlements in the occupied Palestinian territory (oPt), and establish a Israeli Jewish majority in areas populated by Palestinians, in particular in occupied East-Jerusalem, but also in the </w:t>
      </w:r>
      <w:proofErr w:type="spellStart"/>
      <w:r w:rsidRPr="00D672FA">
        <w:rPr>
          <w:rFonts w:ascii="Times New Roman" w:hAnsi="Times New Roman" w:cs="Times New Roman"/>
          <w:sz w:val="24"/>
          <w:szCs w:val="24"/>
        </w:rPr>
        <w:t>Naqab</w:t>
      </w:r>
      <w:proofErr w:type="spellEnd"/>
      <w:r w:rsidRPr="00D672FA">
        <w:rPr>
          <w:rFonts w:ascii="Times New Roman" w:hAnsi="Times New Roman" w:cs="Times New Roman"/>
          <w:sz w:val="24"/>
          <w:szCs w:val="24"/>
        </w:rPr>
        <w:t xml:space="preserve"> (Negev) and the Galilee.</w:t>
      </w:r>
      <w:r w:rsidRPr="00D672FA">
        <w:rPr>
          <w:rStyle w:val="FootnoteReference"/>
          <w:sz w:val="24"/>
          <w:szCs w:val="24"/>
        </w:rPr>
        <w:footnoteReference w:id="3"/>
      </w:r>
      <w:r w:rsidRPr="00D672FA">
        <w:rPr>
          <w:rFonts w:ascii="Times New Roman" w:hAnsi="Times New Roman" w:cs="Times New Roman"/>
          <w:sz w:val="24"/>
          <w:szCs w:val="24"/>
        </w:rPr>
        <w:t xml:space="preserve">   </w:t>
      </w:r>
    </w:p>
    <w:p w:rsidR="00DA7119" w:rsidRPr="00D672FA" w:rsidRDefault="00DA7119" w:rsidP="00D672FA">
      <w:pPr>
        <w:pStyle w:val="Heading2"/>
        <w:jc w:val="both"/>
        <w:rPr>
          <w:rFonts w:ascii="Times New Roman" w:hAnsi="Times New Roman"/>
        </w:rPr>
      </w:pPr>
      <w:r w:rsidRPr="00D672FA">
        <w:rPr>
          <w:rFonts w:ascii="Times New Roman" w:hAnsi="Times New Roman"/>
        </w:rPr>
        <w:t>Denying the Right of Return</w:t>
      </w:r>
    </w:p>
    <w:p w:rsidR="00DA7119" w:rsidRPr="00D672FA" w:rsidRDefault="00DA7119" w:rsidP="00D71088">
      <w:pPr>
        <w:jc w:val="both"/>
        <w:rPr>
          <w:rFonts w:ascii="Times New Roman" w:hAnsi="Times New Roman" w:cs="Times New Roman"/>
          <w:sz w:val="24"/>
          <w:szCs w:val="24"/>
        </w:rPr>
      </w:pPr>
      <w:r w:rsidRPr="00D672FA">
        <w:rPr>
          <w:rFonts w:ascii="Times New Roman" w:hAnsi="Times New Roman" w:cs="Times New Roman"/>
          <w:sz w:val="24"/>
          <w:szCs w:val="24"/>
        </w:rPr>
        <w:t>Most</w:t>
      </w:r>
      <w:r w:rsidR="00D71088">
        <w:rPr>
          <w:rFonts w:ascii="Times New Roman" w:hAnsi="Times New Roman" w:cs="Times New Roman"/>
          <w:sz w:val="24"/>
          <w:szCs w:val="24"/>
        </w:rPr>
        <w:t xml:space="preserve"> </w:t>
      </w:r>
      <w:r w:rsidRPr="00D672FA">
        <w:rPr>
          <w:rFonts w:ascii="Times New Roman" w:hAnsi="Times New Roman" w:cs="Times New Roman"/>
          <w:sz w:val="24"/>
          <w:szCs w:val="24"/>
        </w:rPr>
        <w:t>importantly, Israel is denying the return of Palestinian refugees through legal and political mechanisms. However, the right of return exists in the law of nationality, customary law, international humanitarian law, international human rights law, and refugee law.</w:t>
      </w:r>
      <w:r w:rsidRPr="00D672FA">
        <w:rPr>
          <w:rStyle w:val="FootnoteReference"/>
          <w:sz w:val="24"/>
          <w:szCs w:val="24"/>
        </w:rPr>
        <w:footnoteReference w:id="4"/>
      </w:r>
      <w:r w:rsidRPr="00D672FA">
        <w:rPr>
          <w:rFonts w:ascii="Times New Roman" w:hAnsi="Times New Roman" w:cs="Times New Roman"/>
          <w:sz w:val="24"/>
          <w:szCs w:val="24"/>
        </w:rPr>
        <w:t xml:space="preserve"> In fact, the </w:t>
      </w:r>
      <w:r w:rsidRPr="00D672FA">
        <w:rPr>
          <w:rFonts w:ascii="Times New Roman" w:hAnsi="Times New Roman" w:cs="Times New Roman"/>
          <w:sz w:val="24"/>
          <w:szCs w:val="24"/>
        </w:rPr>
        <w:lastRenderedPageBreak/>
        <w:t xml:space="preserve">obligation to respect the right of return has been a customary, legally binding, norm of international law since before 1948. Later, in December 1948, the UN General Assembly called upon </w:t>
      </w:r>
      <w:smartTag w:uri="urn:schemas-microsoft-com:office:smarttags" w:element="place">
        <w:smartTag w:uri="urn:schemas-microsoft-com:office:smarttags" w:element="country-region">
          <w:r w:rsidRPr="00D672FA">
            <w:rPr>
              <w:rFonts w:ascii="Times New Roman" w:hAnsi="Times New Roman" w:cs="Times New Roman"/>
              <w:sz w:val="24"/>
              <w:szCs w:val="24"/>
            </w:rPr>
            <w:t>Israel</w:t>
          </w:r>
        </w:smartTag>
      </w:smartTag>
      <w:r w:rsidRPr="00D672FA">
        <w:rPr>
          <w:rFonts w:ascii="Times New Roman" w:hAnsi="Times New Roman" w:cs="Times New Roman"/>
          <w:sz w:val="24"/>
          <w:szCs w:val="24"/>
        </w:rPr>
        <w:t xml:space="preserve"> to respect the Palestinian refugees’ right of return in Resolution 194 (III).</w:t>
      </w:r>
      <w:r>
        <w:rPr>
          <w:rFonts w:ascii="Times New Roman" w:hAnsi="Times New Roman" w:cs="Times New Roman"/>
          <w:sz w:val="24"/>
          <w:szCs w:val="24"/>
        </w:rPr>
        <w:t xml:space="preserve"> Also, in its resolution 237, June 1967, the UN Security Council called upon the government of Israel to “facilitate the return of those inhabitants who have fled the areas since the outbreak of hostilities”. </w:t>
      </w:r>
      <w:r w:rsidRPr="00D672FA">
        <w:rPr>
          <w:rFonts w:ascii="Times New Roman" w:hAnsi="Times New Roman" w:cs="Times New Roman"/>
          <w:sz w:val="24"/>
          <w:szCs w:val="24"/>
        </w:rPr>
        <w:t>Th</w:t>
      </w:r>
      <w:r>
        <w:rPr>
          <w:rFonts w:ascii="Times New Roman" w:hAnsi="Times New Roman" w:cs="Times New Roman"/>
          <w:sz w:val="24"/>
          <w:szCs w:val="24"/>
        </w:rPr>
        <w:t>ese</w:t>
      </w:r>
      <w:r w:rsidRPr="00D672FA">
        <w:rPr>
          <w:rFonts w:ascii="Times New Roman" w:hAnsi="Times New Roman" w:cs="Times New Roman"/>
          <w:sz w:val="24"/>
          <w:szCs w:val="24"/>
        </w:rPr>
        <w:t xml:space="preserve"> resolution</w:t>
      </w:r>
      <w:r>
        <w:rPr>
          <w:rFonts w:ascii="Times New Roman" w:hAnsi="Times New Roman" w:cs="Times New Roman"/>
          <w:sz w:val="24"/>
          <w:szCs w:val="24"/>
        </w:rPr>
        <w:t>s, among many others,</w:t>
      </w:r>
      <w:r w:rsidRPr="00D672FA">
        <w:rPr>
          <w:rFonts w:ascii="Times New Roman" w:hAnsi="Times New Roman" w:cs="Times New Roman"/>
          <w:sz w:val="24"/>
          <w:szCs w:val="24"/>
        </w:rPr>
        <w:t xml:space="preserve"> explicitly stated that Palestinians had the right of return to their homes of origin. Since </w:t>
      </w:r>
      <w:smartTag w:uri="urn:schemas-microsoft-com:office:smarttags" w:element="place">
        <w:smartTag w:uri="urn:schemas-microsoft-com:office:smarttags" w:element="country-region">
          <w:r w:rsidRPr="00D672FA">
            <w:rPr>
              <w:rFonts w:ascii="Times New Roman" w:hAnsi="Times New Roman" w:cs="Times New Roman"/>
              <w:sz w:val="24"/>
              <w:szCs w:val="24"/>
            </w:rPr>
            <w:t>Israel</w:t>
          </w:r>
        </w:smartTag>
      </w:smartTag>
      <w:r w:rsidRPr="00D672FA">
        <w:rPr>
          <w:rFonts w:ascii="Times New Roman" w:hAnsi="Times New Roman" w:cs="Times New Roman"/>
          <w:sz w:val="24"/>
          <w:szCs w:val="24"/>
        </w:rPr>
        <w:t xml:space="preserve"> is the only state from which Palestinian refugees originated, it is the only state of origin and thus is obligated under international law to receive these refugees. </w:t>
      </w:r>
    </w:p>
    <w:p w:rsidR="00BD55B3" w:rsidRPr="00BD55B3" w:rsidRDefault="00DA7119" w:rsidP="00BD55B3">
      <w:pPr>
        <w:pStyle w:val="Heading3"/>
        <w:jc w:val="both"/>
        <w:rPr>
          <w:rFonts w:ascii="Times New Roman" w:hAnsi="Times New Roman"/>
        </w:rPr>
      </w:pPr>
      <w:r w:rsidRPr="00D672FA">
        <w:rPr>
          <w:rFonts w:ascii="Times New Roman" w:hAnsi="Times New Roman"/>
        </w:rPr>
        <w:t>Legal statuses under Israeli law</w:t>
      </w:r>
    </w:p>
    <w:p w:rsidR="00BD55B3" w:rsidRPr="00BD55B3" w:rsidRDefault="00BD55B3" w:rsidP="00BD55B3">
      <w:pPr>
        <w:autoSpaceDE w:val="0"/>
        <w:autoSpaceDN w:val="0"/>
        <w:adjustRightInd w:val="0"/>
        <w:spacing w:after="0"/>
        <w:jc w:val="both"/>
        <w:rPr>
          <w:rFonts w:ascii="Times New Roman" w:hAnsi="Times New Roman" w:cs="Times New Roman"/>
          <w:sz w:val="24"/>
          <w:szCs w:val="24"/>
        </w:rPr>
      </w:pPr>
      <w:r w:rsidRPr="00BD55B3">
        <w:rPr>
          <w:rFonts w:ascii="Times New Roman" w:hAnsi="Times New Roman" w:cs="Times New Roman"/>
          <w:sz w:val="24"/>
          <w:szCs w:val="24"/>
        </w:rPr>
        <w:t xml:space="preserve">Next to this, the Israeli nationality law embodies in law the separation of citizenship ('Israeli'), from nationality ('Jewish'). This separation was confirmed by the Israeli Supreme Court in </w:t>
      </w:r>
      <w:r w:rsidRPr="00BD55B3">
        <w:rPr>
          <w:rFonts w:ascii="Times New Roman" w:hAnsi="Times New Roman" w:cs="Times New Roman"/>
          <w:i/>
          <w:iCs/>
          <w:sz w:val="24"/>
          <w:szCs w:val="24"/>
        </w:rPr>
        <w:t xml:space="preserve">George Raphael </w:t>
      </w:r>
      <w:proofErr w:type="spellStart"/>
      <w:r w:rsidRPr="00BD55B3">
        <w:rPr>
          <w:rFonts w:ascii="Times New Roman" w:hAnsi="Times New Roman" w:cs="Times New Roman"/>
          <w:i/>
          <w:iCs/>
          <w:sz w:val="24"/>
          <w:szCs w:val="24"/>
        </w:rPr>
        <w:t>Tamarin</w:t>
      </w:r>
      <w:proofErr w:type="spellEnd"/>
      <w:r w:rsidRPr="00BD55B3">
        <w:rPr>
          <w:rFonts w:ascii="Times New Roman" w:hAnsi="Times New Roman" w:cs="Times New Roman"/>
          <w:i/>
          <w:iCs/>
          <w:sz w:val="24"/>
          <w:szCs w:val="24"/>
        </w:rPr>
        <w:t xml:space="preserve"> v State of Israel 1972</w:t>
      </w:r>
      <w:r w:rsidRPr="00BD55B3">
        <w:rPr>
          <w:rFonts w:ascii="Times New Roman" w:hAnsi="Times New Roman" w:cs="Times New Roman"/>
          <w:sz w:val="24"/>
          <w:szCs w:val="24"/>
        </w:rPr>
        <w:t>.</w:t>
      </w:r>
      <w:r>
        <w:rPr>
          <w:rFonts w:ascii="Times New Roman" w:hAnsi="Times New Roman" w:cs="Times New Roman"/>
          <w:sz w:val="24"/>
          <w:szCs w:val="24"/>
        </w:rPr>
        <w:t xml:space="preserve"> </w:t>
      </w:r>
      <w:r w:rsidRPr="00BD55B3">
        <w:rPr>
          <w:rFonts w:ascii="Times New Roman" w:hAnsi="Times New Roman" w:cs="Times New Roman"/>
          <w:sz w:val="24"/>
          <w:szCs w:val="24"/>
        </w:rPr>
        <w:t>Such a distinction allows Israel to discriminate against its Palestinian citizens and, even more severely, against Palestinian refugees by ensuring that certain rights and privileges are conditioned upon Jewish nationality. The Israeli regime has essentially divided the Palestinian people into several distinct political-legal statuses</w:t>
      </w:r>
      <w:r>
        <w:rPr>
          <w:rFonts w:ascii="Times New Roman" w:hAnsi="Times New Roman" w:cs="Times New Roman"/>
          <w:sz w:val="24"/>
          <w:szCs w:val="24"/>
        </w:rPr>
        <w:t xml:space="preserve"> -Palestinian citizens of Israel, permanent residents of East Jerusalem, West Bank identity card holders, Gaza Strip identity card holders and the millions of Palestinian refugees living in forced exile. </w:t>
      </w:r>
      <w:r w:rsidRPr="00BD55B3">
        <w:rPr>
          <w:rFonts w:ascii="Times New Roman" w:hAnsi="Times New Roman" w:cs="Times New Roman"/>
          <w:sz w:val="24"/>
          <w:szCs w:val="24"/>
        </w:rPr>
        <w:t>Despite their differing categorizations under Israeli law, Palestinians across the board maintain an inferior status to that of Jewish nationals living within the same territory or beyond.</w:t>
      </w:r>
    </w:p>
    <w:p w:rsidR="00BD55B3" w:rsidRDefault="00BD55B3" w:rsidP="009A4937">
      <w:pPr>
        <w:autoSpaceDE w:val="0"/>
        <w:autoSpaceDN w:val="0"/>
        <w:adjustRightInd w:val="0"/>
        <w:spacing w:after="0"/>
        <w:jc w:val="both"/>
        <w:rPr>
          <w:rFonts w:ascii="Times New Roman" w:hAnsi="Times New Roman" w:cs="Times New Roman"/>
          <w:sz w:val="24"/>
          <w:szCs w:val="24"/>
        </w:rPr>
      </w:pPr>
    </w:p>
    <w:p w:rsidR="00DA7119" w:rsidRDefault="00DA7119" w:rsidP="00D672FA">
      <w:pPr>
        <w:autoSpaceDE w:val="0"/>
        <w:autoSpaceDN w:val="0"/>
        <w:adjustRightInd w:val="0"/>
        <w:spacing w:after="0"/>
        <w:jc w:val="both"/>
        <w:rPr>
          <w:rFonts w:ascii="Times New Roman" w:hAnsi="Times New Roman" w:cs="Times New Roman"/>
          <w:sz w:val="24"/>
          <w:szCs w:val="24"/>
        </w:rPr>
      </w:pPr>
      <w:r w:rsidRPr="00D672FA">
        <w:rPr>
          <w:rFonts w:ascii="Times New Roman" w:hAnsi="Times New Roman" w:cs="Times New Roman"/>
          <w:sz w:val="24"/>
          <w:szCs w:val="24"/>
        </w:rPr>
        <w:t xml:space="preserve">Israel’s distinction between Jewish nationality, Israeli citizenship, and Palestinian Arabs status within Israel, </w:t>
      </w:r>
      <w:proofErr w:type="gramStart"/>
      <w:r w:rsidRPr="00D672FA">
        <w:rPr>
          <w:rFonts w:ascii="Times New Roman" w:hAnsi="Times New Roman" w:cs="Times New Roman"/>
          <w:sz w:val="24"/>
          <w:szCs w:val="24"/>
        </w:rPr>
        <w:t>the oPt</w:t>
      </w:r>
      <w:proofErr w:type="gramEnd"/>
      <w:r w:rsidRPr="00D672FA">
        <w:rPr>
          <w:rFonts w:ascii="Times New Roman" w:hAnsi="Times New Roman" w:cs="Times New Roman"/>
          <w:sz w:val="24"/>
          <w:szCs w:val="24"/>
        </w:rPr>
        <w:t xml:space="preserve">, including East Jerusalem, provides a basis upon which discriminatory policies are applied to the detriment of Palestinians, both within Israel and the </w:t>
      </w:r>
      <w:proofErr w:type="spellStart"/>
      <w:r w:rsidRPr="00D672FA">
        <w:rPr>
          <w:rFonts w:ascii="Times New Roman" w:hAnsi="Times New Roman" w:cs="Times New Roman"/>
          <w:sz w:val="24"/>
          <w:szCs w:val="24"/>
        </w:rPr>
        <w:t>oPt.</w:t>
      </w:r>
      <w:proofErr w:type="spellEnd"/>
      <w:r w:rsidRPr="00D672FA">
        <w:rPr>
          <w:rFonts w:ascii="Times New Roman" w:hAnsi="Times New Roman" w:cs="Times New Roman"/>
          <w:sz w:val="24"/>
          <w:szCs w:val="24"/>
        </w:rPr>
        <w:t xml:space="preserve"> Israel and the oPt are in fact treated as one legal entity by Israel, which has two effects: (1) Jewish nationals, wherever they may reside, benefit from a range of legal rights and privileges afforded by Israel; and (2) Palestinian Arabs, wherever they may reside, are collectively exposed to a single coherent structure of apartheid and discrimination. In particular, </w:t>
      </w:r>
      <w:smartTag w:uri="urn:schemas-microsoft-com:office:smarttags" w:element="place">
        <w:smartTag w:uri="urn:schemas-microsoft-com:office:smarttags" w:element="country-region">
          <w:r w:rsidRPr="00D672FA">
            <w:rPr>
              <w:rFonts w:ascii="Times New Roman" w:hAnsi="Times New Roman" w:cs="Times New Roman"/>
              <w:sz w:val="24"/>
              <w:szCs w:val="24"/>
            </w:rPr>
            <w:t>Israel</w:t>
          </w:r>
        </w:smartTag>
      </w:smartTag>
      <w:r w:rsidRPr="00D672FA">
        <w:rPr>
          <w:rFonts w:ascii="Times New Roman" w:hAnsi="Times New Roman" w:cs="Times New Roman"/>
          <w:sz w:val="24"/>
          <w:szCs w:val="24"/>
        </w:rPr>
        <w:t>’s institutionalized discrimination aims to privilege Jewish nationals, and abridge the right of Palestinian Arabs, with regard to residency rights, land ownership, freedom of movement, nationality, citizenship and the right to leave and return to one’s country.</w:t>
      </w:r>
    </w:p>
    <w:p w:rsidR="00BD55B3" w:rsidRDefault="00BD55B3" w:rsidP="00D672FA">
      <w:pPr>
        <w:autoSpaceDE w:val="0"/>
        <w:autoSpaceDN w:val="0"/>
        <w:adjustRightInd w:val="0"/>
        <w:spacing w:after="0"/>
        <w:jc w:val="both"/>
        <w:rPr>
          <w:rFonts w:ascii="Times New Roman" w:hAnsi="Times New Roman" w:cs="Times New Roman"/>
          <w:sz w:val="24"/>
          <w:szCs w:val="24"/>
        </w:rPr>
      </w:pPr>
    </w:p>
    <w:p w:rsidR="00BD55B3" w:rsidRPr="00D672FA" w:rsidRDefault="00BD55B3" w:rsidP="00BD55B3">
      <w:pPr>
        <w:autoSpaceDE w:val="0"/>
        <w:autoSpaceDN w:val="0"/>
        <w:adjustRightInd w:val="0"/>
        <w:spacing w:after="0"/>
        <w:jc w:val="both"/>
        <w:rPr>
          <w:rFonts w:ascii="Times New Roman" w:hAnsi="Times New Roman" w:cs="Times New Roman"/>
          <w:sz w:val="24"/>
          <w:szCs w:val="24"/>
        </w:rPr>
      </w:pPr>
      <w:r w:rsidRPr="00D672FA">
        <w:rPr>
          <w:rFonts w:ascii="Times New Roman" w:hAnsi="Times New Roman" w:cs="Times New Roman"/>
          <w:sz w:val="24"/>
          <w:szCs w:val="24"/>
        </w:rPr>
        <w:t>Jewish people all over the world are given “the automatic right, by virtue of being Jewish, to immigrate to Israel and acquire Israeli citizenship [but] Arab Palestinians</w:t>
      </w:r>
      <w:r>
        <w:rPr>
          <w:rFonts w:ascii="Times New Roman" w:hAnsi="Times New Roman" w:cs="Times New Roman"/>
          <w:sz w:val="24"/>
          <w:szCs w:val="24"/>
        </w:rPr>
        <w:t xml:space="preserve"> including the millions of Palestinian refugees,</w:t>
      </w:r>
      <w:r w:rsidRPr="00D672FA">
        <w:rPr>
          <w:rFonts w:ascii="Times New Roman" w:hAnsi="Times New Roman" w:cs="Times New Roman"/>
          <w:sz w:val="24"/>
          <w:szCs w:val="24"/>
        </w:rPr>
        <w:t xml:space="preserve"> on the other hand, </w:t>
      </w:r>
      <w:r>
        <w:rPr>
          <w:rFonts w:ascii="Times New Roman" w:hAnsi="Times New Roman" w:cs="Times New Roman"/>
          <w:sz w:val="24"/>
          <w:szCs w:val="24"/>
        </w:rPr>
        <w:t>are denied to return to their homes and to acquire</w:t>
      </w:r>
      <w:r w:rsidRPr="00D672FA">
        <w:rPr>
          <w:rFonts w:ascii="Times New Roman" w:hAnsi="Times New Roman" w:cs="Times New Roman"/>
          <w:sz w:val="24"/>
          <w:szCs w:val="24"/>
        </w:rPr>
        <w:t xml:space="preserve"> citizenship.”</w:t>
      </w:r>
      <w:r w:rsidRPr="00D672FA">
        <w:rPr>
          <w:rStyle w:val="FootnoteReference"/>
          <w:sz w:val="24"/>
          <w:szCs w:val="24"/>
        </w:rPr>
        <w:footnoteReference w:id="5"/>
      </w:r>
      <w:r w:rsidRPr="00D672FA">
        <w:rPr>
          <w:rFonts w:ascii="Times New Roman" w:hAnsi="Times New Roman" w:cs="Times New Roman"/>
          <w:sz w:val="24"/>
          <w:szCs w:val="24"/>
        </w:rPr>
        <w:t xml:space="preserve"> Thus, under </w:t>
      </w:r>
      <w:smartTag w:uri="urn:schemas-microsoft-com:office:smarttags" w:element="country-region">
        <w:r w:rsidRPr="00D672FA">
          <w:rPr>
            <w:rFonts w:ascii="Times New Roman" w:hAnsi="Times New Roman" w:cs="Times New Roman"/>
            <w:sz w:val="24"/>
            <w:szCs w:val="24"/>
          </w:rPr>
          <w:t>Israel</w:t>
        </w:r>
      </w:smartTag>
      <w:r w:rsidRPr="00D672FA">
        <w:rPr>
          <w:rFonts w:ascii="Times New Roman" w:hAnsi="Times New Roman" w:cs="Times New Roman"/>
          <w:sz w:val="24"/>
          <w:szCs w:val="24"/>
        </w:rPr>
        <w:t xml:space="preserve">’s legal regime, </w:t>
      </w:r>
      <w:r w:rsidRPr="00D672FA">
        <w:rPr>
          <w:rFonts w:ascii="Times New Roman" w:hAnsi="Times New Roman" w:cs="Times New Roman"/>
          <w:i/>
          <w:iCs/>
          <w:sz w:val="24"/>
          <w:szCs w:val="24"/>
        </w:rPr>
        <w:t>only</w:t>
      </w:r>
      <w:r>
        <w:rPr>
          <w:rFonts w:ascii="Times New Roman" w:hAnsi="Times New Roman" w:cs="Times New Roman"/>
          <w:sz w:val="24"/>
          <w:szCs w:val="24"/>
        </w:rPr>
        <w:t xml:space="preserve"> Jews have the right to return, and only </w:t>
      </w:r>
      <w:r w:rsidRPr="00D672FA">
        <w:rPr>
          <w:rFonts w:ascii="Times New Roman" w:hAnsi="Times New Roman" w:cs="Times New Roman"/>
          <w:sz w:val="24"/>
          <w:szCs w:val="24"/>
        </w:rPr>
        <w:lastRenderedPageBreak/>
        <w:t xml:space="preserve">“Jewish nationals and citizens of </w:t>
      </w:r>
      <w:smartTag w:uri="urn:schemas-microsoft-com:office:smarttags" w:element="place">
        <w:smartTag w:uri="urn:schemas-microsoft-com:office:smarttags" w:element="country-region">
          <w:r w:rsidRPr="00D672FA">
            <w:rPr>
              <w:rFonts w:ascii="Times New Roman" w:hAnsi="Times New Roman" w:cs="Times New Roman"/>
              <w:sz w:val="24"/>
              <w:szCs w:val="24"/>
            </w:rPr>
            <w:t>Israel</w:t>
          </w:r>
        </w:smartTag>
      </w:smartTag>
      <w:r w:rsidRPr="00D672FA">
        <w:rPr>
          <w:rFonts w:ascii="Times New Roman" w:hAnsi="Times New Roman" w:cs="Times New Roman"/>
          <w:sz w:val="24"/>
          <w:szCs w:val="24"/>
        </w:rPr>
        <w:t>” constitute the privileged group of Israeli citizens who have full access to [human rights].</w:t>
      </w:r>
    </w:p>
    <w:p w:rsidR="00BD55B3" w:rsidRPr="00D672FA" w:rsidRDefault="00BD55B3" w:rsidP="00D672FA">
      <w:pPr>
        <w:autoSpaceDE w:val="0"/>
        <w:autoSpaceDN w:val="0"/>
        <w:adjustRightInd w:val="0"/>
        <w:spacing w:after="0"/>
        <w:jc w:val="both"/>
        <w:rPr>
          <w:rFonts w:ascii="Times New Roman" w:hAnsi="Times New Roman" w:cs="Times New Roman"/>
          <w:sz w:val="24"/>
          <w:szCs w:val="24"/>
        </w:rPr>
      </w:pPr>
    </w:p>
    <w:p w:rsidR="00DA7119" w:rsidRDefault="00DA7119" w:rsidP="00430324">
      <w:pPr>
        <w:autoSpaceDE w:val="0"/>
        <w:autoSpaceDN w:val="0"/>
        <w:adjustRightInd w:val="0"/>
        <w:spacing w:after="0"/>
        <w:jc w:val="both"/>
        <w:rPr>
          <w:rFonts w:ascii="Times New Roman" w:hAnsi="Times New Roman" w:cs="Times New Roman"/>
          <w:sz w:val="24"/>
          <w:szCs w:val="24"/>
        </w:rPr>
      </w:pPr>
      <w:r w:rsidRPr="00D672FA">
        <w:rPr>
          <w:rFonts w:ascii="Times New Roman" w:hAnsi="Times New Roman" w:cs="Times New Roman"/>
          <w:sz w:val="24"/>
          <w:szCs w:val="24"/>
        </w:rPr>
        <w:t xml:space="preserve">Among Israel’s pillars is the policy of legal separation between Jewish nationality, Israeli citizenship and the status of Palestinian Arabs as well as the practice of forced population transfer: a practice aimed at displacing non-Jewish nationals (Palestinian Arabs) within Israel and the </w:t>
      </w:r>
      <w:proofErr w:type="spellStart"/>
      <w:r w:rsidRPr="00D672FA">
        <w:rPr>
          <w:rFonts w:ascii="Times New Roman" w:hAnsi="Times New Roman" w:cs="Times New Roman"/>
          <w:sz w:val="24"/>
          <w:szCs w:val="24"/>
        </w:rPr>
        <w:t>oPt.</w:t>
      </w:r>
      <w:proofErr w:type="spellEnd"/>
    </w:p>
    <w:p w:rsidR="00DA7119" w:rsidRPr="00D672FA" w:rsidRDefault="00DA7119" w:rsidP="00430324">
      <w:pPr>
        <w:autoSpaceDE w:val="0"/>
        <w:autoSpaceDN w:val="0"/>
        <w:adjustRightInd w:val="0"/>
        <w:spacing w:after="0"/>
        <w:jc w:val="both"/>
        <w:rPr>
          <w:rFonts w:ascii="Times New Roman" w:hAnsi="Times New Roman" w:cs="Times New Roman"/>
          <w:sz w:val="24"/>
          <w:szCs w:val="24"/>
        </w:rPr>
      </w:pPr>
    </w:p>
    <w:p w:rsidR="00DA7119" w:rsidRPr="00D672FA" w:rsidRDefault="00DA7119" w:rsidP="009A4937">
      <w:pPr>
        <w:autoSpaceDE w:val="0"/>
        <w:autoSpaceDN w:val="0"/>
        <w:adjustRightInd w:val="0"/>
        <w:spacing w:after="0"/>
        <w:jc w:val="both"/>
        <w:rPr>
          <w:rFonts w:ascii="Times New Roman" w:hAnsi="Times New Roman" w:cs="Times New Roman"/>
          <w:sz w:val="24"/>
          <w:szCs w:val="24"/>
        </w:rPr>
      </w:pPr>
      <w:r w:rsidRPr="00D672FA">
        <w:rPr>
          <w:rFonts w:ascii="Times New Roman" w:hAnsi="Times New Roman" w:cs="Times New Roman"/>
          <w:sz w:val="24"/>
          <w:szCs w:val="24"/>
        </w:rPr>
        <w:t>Palestinians who did not meet the criteria of the 1952 Citizenship Law because they were outside the country or in territory controlled by Israeli-defined ‘enemy forces’ at certain cutoff dates, are excluded from Israeli citizenship and consequently made stateless by the law.</w:t>
      </w:r>
      <w:r w:rsidRPr="00D672FA">
        <w:rPr>
          <w:rStyle w:val="FootnoteReference"/>
          <w:sz w:val="24"/>
          <w:szCs w:val="24"/>
        </w:rPr>
        <w:footnoteReference w:id="6"/>
      </w:r>
      <w:r w:rsidRPr="00D672FA">
        <w:rPr>
          <w:rFonts w:ascii="Times New Roman" w:hAnsi="Times New Roman" w:cs="Times New Roman"/>
          <w:sz w:val="24"/>
          <w:szCs w:val="24"/>
        </w:rPr>
        <w:t xml:space="preserve"> At least 750,000 Palestinians and their descendants (approximately 6</w:t>
      </w:r>
      <w:r>
        <w:rPr>
          <w:rFonts w:ascii="Times New Roman" w:hAnsi="Times New Roman" w:cs="Times New Roman"/>
          <w:sz w:val="24"/>
          <w:szCs w:val="24"/>
        </w:rPr>
        <w:t xml:space="preserve"> </w:t>
      </w:r>
      <w:r w:rsidRPr="00D672FA">
        <w:rPr>
          <w:rFonts w:ascii="Times New Roman" w:hAnsi="Times New Roman" w:cs="Times New Roman"/>
          <w:sz w:val="24"/>
          <w:szCs w:val="24"/>
        </w:rPr>
        <w:t>million persons) suffer from statelessness and/or a lack of nationality (1948 Palestinian refugees) until today.</w:t>
      </w:r>
      <w:r w:rsidRPr="00D672FA">
        <w:rPr>
          <w:rStyle w:val="FootnoteReference"/>
          <w:sz w:val="24"/>
          <w:szCs w:val="24"/>
        </w:rPr>
        <w:footnoteReference w:id="7"/>
      </w:r>
    </w:p>
    <w:p w:rsidR="00DA7119" w:rsidRPr="00D672FA" w:rsidRDefault="00DA7119" w:rsidP="00D672FA">
      <w:pPr>
        <w:autoSpaceDE w:val="0"/>
        <w:autoSpaceDN w:val="0"/>
        <w:adjustRightInd w:val="0"/>
        <w:spacing w:after="0"/>
        <w:jc w:val="both"/>
        <w:rPr>
          <w:rFonts w:ascii="Times New Roman" w:hAnsi="Times New Roman" w:cs="Times New Roman"/>
          <w:sz w:val="24"/>
          <w:szCs w:val="24"/>
        </w:rPr>
      </w:pPr>
    </w:p>
    <w:p w:rsidR="00DA7119" w:rsidRPr="00D672FA" w:rsidRDefault="00DA7119" w:rsidP="00D672FA">
      <w:pPr>
        <w:autoSpaceDE w:val="0"/>
        <w:autoSpaceDN w:val="0"/>
        <w:adjustRightInd w:val="0"/>
        <w:spacing w:after="0"/>
        <w:jc w:val="both"/>
        <w:rPr>
          <w:rFonts w:ascii="Times New Roman" w:hAnsi="Times New Roman" w:cs="Times New Roman"/>
          <w:sz w:val="24"/>
          <w:szCs w:val="24"/>
        </w:rPr>
      </w:pPr>
      <w:smartTag w:uri="urn:schemas-microsoft-com:office:smarttags" w:element="place">
        <w:smartTag w:uri="urn:schemas-microsoft-com:office:smarttags" w:element="country-region">
          <w:r w:rsidRPr="00D672FA">
            <w:rPr>
              <w:rFonts w:ascii="Times New Roman" w:hAnsi="Times New Roman" w:cs="Times New Roman"/>
              <w:sz w:val="24"/>
              <w:szCs w:val="24"/>
            </w:rPr>
            <w:t>Israel</w:t>
          </w:r>
        </w:smartTag>
      </w:smartTag>
      <w:r w:rsidRPr="00D672FA">
        <w:rPr>
          <w:rFonts w:ascii="Times New Roman" w:hAnsi="Times New Roman" w:cs="Times New Roman"/>
          <w:sz w:val="24"/>
          <w:szCs w:val="24"/>
        </w:rPr>
        <w:t xml:space="preserve"> continues to deny and violate the right of these refugees to return to their country of origin. In 2001 the Israeli Knesset passed the </w:t>
      </w:r>
      <w:r w:rsidRPr="00D672FA">
        <w:rPr>
          <w:rFonts w:ascii="Times New Roman" w:hAnsi="Times New Roman" w:cs="Times New Roman"/>
          <w:i/>
          <w:iCs/>
          <w:sz w:val="24"/>
          <w:szCs w:val="24"/>
        </w:rPr>
        <w:t>Entrenchment of the Negation of</w:t>
      </w:r>
      <w:r w:rsidRPr="00D672FA">
        <w:rPr>
          <w:rFonts w:ascii="Times New Roman" w:hAnsi="Times New Roman" w:cs="Times New Roman"/>
          <w:sz w:val="24"/>
          <w:szCs w:val="24"/>
        </w:rPr>
        <w:t xml:space="preserve"> </w:t>
      </w:r>
      <w:r w:rsidRPr="00D672FA">
        <w:rPr>
          <w:rFonts w:ascii="Times New Roman" w:hAnsi="Times New Roman" w:cs="Times New Roman"/>
          <w:i/>
          <w:iCs/>
          <w:sz w:val="24"/>
          <w:szCs w:val="24"/>
        </w:rPr>
        <w:t>the Right to Return Law</w:t>
      </w:r>
      <w:r w:rsidRPr="00D672FA">
        <w:rPr>
          <w:rFonts w:ascii="Times New Roman" w:hAnsi="Times New Roman" w:cs="Times New Roman"/>
          <w:sz w:val="24"/>
          <w:szCs w:val="24"/>
        </w:rPr>
        <w:t xml:space="preserve">.19 Section 2 of this law states that “refugees will not be returned to the territory of the State of Israel save with the approval of the majority of the Knesset Members.” Section 1 of the law defines a refugee as a person who “left the borders of the State of Israel at a time of war and is not a citizen of the State of Israel, including, persons displaced in 1967 and refugees from 1948 or a family member.” Furthermore, based on the 1954 </w:t>
      </w:r>
      <w:r w:rsidRPr="00D672FA">
        <w:rPr>
          <w:rFonts w:ascii="Times New Roman" w:hAnsi="Times New Roman" w:cs="Times New Roman"/>
          <w:i/>
          <w:iCs/>
          <w:sz w:val="24"/>
          <w:szCs w:val="24"/>
        </w:rPr>
        <w:t xml:space="preserve">Prevention of Infiltration Law </w:t>
      </w:r>
      <w:r w:rsidRPr="00D672FA">
        <w:rPr>
          <w:rFonts w:ascii="Times New Roman" w:hAnsi="Times New Roman" w:cs="Times New Roman"/>
          <w:sz w:val="24"/>
          <w:szCs w:val="24"/>
        </w:rPr>
        <w:t>and military orders 1649 and 165020 those Palestinians are prohibited from legally returning to Israel or the oPt as well.</w:t>
      </w:r>
    </w:p>
    <w:p w:rsidR="00DA7119" w:rsidRPr="00D672FA" w:rsidRDefault="00DA7119" w:rsidP="00D672FA">
      <w:pPr>
        <w:autoSpaceDE w:val="0"/>
        <w:autoSpaceDN w:val="0"/>
        <w:adjustRightInd w:val="0"/>
        <w:spacing w:after="0"/>
        <w:jc w:val="both"/>
        <w:rPr>
          <w:rFonts w:ascii="Times New Roman" w:hAnsi="Times New Roman" w:cs="Times New Roman"/>
          <w:sz w:val="24"/>
          <w:szCs w:val="24"/>
        </w:rPr>
      </w:pPr>
    </w:p>
    <w:p w:rsidR="00DA7119" w:rsidRPr="00D672FA" w:rsidRDefault="00DA7119" w:rsidP="002539F1">
      <w:pPr>
        <w:autoSpaceDE w:val="0"/>
        <w:autoSpaceDN w:val="0"/>
        <w:adjustRightInd w:val="0"/>
        <w:spacing w:after="0"/>
        <w:jc w:val="both"/>
        <w:rPr>
          <w:rFonts w:ascii="Times New Roman" w:hAnsi="Times New Roman" w:cs="Times New Roman"/>
          <w:sz w:val="24"/>
          <w:szCs w:val="24"/>
        </w:rPr>
      </w:pPr>
      <w:r w:rsidRPr="00D672FA">
        <w:rPr>
          <w:rFonts w:ascii="Times New Roman" w:hAnsi="Times New Roman" w:cs="Times New Roman"/>
          <w:sz w:val="24"/>
          <w:szCs w:val="24"/>
        </w:rPr>
        <w:t xml:space="preserve">In effect, </w:t>
      </w:r>
      <w:smartTag w:uri="urn:schemas-microsoft-com:office:smarttags" w:element="place">
        <w:smartTag w:uri="urn:schemas-microsoft-com:office:smarttags" w:element="country-region">
          <w:r w:rsidRPr="00D672FA">
            <w:rPr>
              <w:rFonts w:ascii="Times New Roman" w:hAnsi="Times New Roman" w:cs="Times New Roman"/>
              <w:sz w:val="24"/>
              <w:szCs w:val="24"/>
            </w:rPr>
            <w:t>Israel</w:t>
          </w:r>
        </w:smartTag>
      </w:smartTag>
      <w:r w:rsidRPr="00D672FA">
        <w:rPr>
          <w:rFonts w:ascii="Times New Roman" w:hAnsi="Times New Roman" w:cs="Times New Roman"/>
          <w:sz w:val="24"/>
          <w:szCs w:val="24"/>
        </w:rPr>
        <w:t xml:space="preserve"> has institutionalized its exclusion of, and discrimination against, the indigenous Palestinian refugees who were forcibly displaced and denationalized. The Law of Return (1950)</w:t>
      </w:r>
      <w:r w:rsidRPr="00D672FA">
        <w:rPr>
          <w:rStyle w:val="FootnoteReference"/>
          <w:sz w:val="24"/>
          <w:szCs w:val="24"/>
        </w:rPr>
        <w:footnoteReference w:id="8"/>
      </w:r>
      <w:r w:rsidRPr="00D672FA">
        <w:rPr>
          <w:rFonts w:ascii="Times New Roman" w:hAnsi="Times New Roman" w:cs="Times New Roman"/>
          <w:sz w:val="24"/>
          <w:szCs w:val="24"/>
        </w:rPr>
        <w:t xml:space="preserve"> provides that every Jewish person in the world is automatically entitled to “Jewish nationality” in </w:t>
      </w:r>
      <w:smartTag w:uri="urn:schemas-microsoft-com:office:smarttags" w:element="place">
        <w:smartTag w:uri="urn:schemas-microsoft-com:office:smarttags" w:element="country-region">
          <w:r w:rsidRPr="00D672FA">
            <w:rPr>
              <w:rFonts w:ascii="Times New Roman" w:hAnsi="Times New Roman" w:cs="Times New Roman"/>
              <w:sz w:val="24"/>
              <w:szCs w:val="24"/>
            </w:rPr>
            <w:t>Israel</w:t>
          </w:r>
        </w:smartTag>
      </w:smartTag>
      <w:r w:rsidRPr="00D672FA">
        <w:rPr>
          <w:rFonts w:ascii="Times New Roman" w:hAnsi="Times New Roman" w:cs="Times New Roman"/>
          <w:sz w:val="24"/>
          <w:szCs w:val="24"/>
        </w:rPr>
        <w:t>. Under the Law of Return, a Jewish national is “born of a Jewish mother or has become converted to Judaism and who is not a member of another religion.”</w:t>
      </w:r>
      <w:r w:rsidRPr="00D672FA">
        <w:rPr>
          <w:rStyle w:val="FootnoteReference"/>
          <w:sz w:val="24"/>
          <w:szCs w:val="24"/>
        </w:rPr>
        <w:footnoteReference w:id="9"/>
      </w:r>
      <w:r w:rsidRPr="00D672FA">
        <w:rPr>
          <w:rFonts w:ascii="Times New Roman" w:hAnsi="Times New Roman" w:cs="Times New Roman"/>
          <w:sz w:val="24"/>
          <w:szCs w:val="24"/>
        </w:rPr>
        <w:t xml:space="preserve"> Thus Jewish nationals enjoy the right to enter </w:t>
      </w:r>
      <w:smartTag w:uri="urn:schemas-microsoft-com:office:smarttags" w:element="country-region">
        <w:r w:rsidRPr="00D672FA">
          <w:rPr>
            <w:rFonts w:ascii="Times New Roman" w:hAnsi="Times New Roman" w:cs="Times New Roman"/>
            <w:sz w:val="24"/>
            <w:szCs w:val="24"/>
          </w:rPr>
          <w:t>Israel</w:t>
        </w:r>
      </w:smartTag>
      <w:r w:rsidRPr="00D672FA">
        <w:rPr>
          <w:rFonts w:ascii="Times New Roman" w:hAnsi="Times New Roman" w:cs="Times New Roman"/>
          <w:sz w:val="24"/>
          <w:szCs w:val="24"/>
        </w:rPr>
        <w:t xml:space="preserve"> even if they were not born in </w:t>
      </w:r>
      <w:smartTag w:uri="urn:schemas-microsoft-com:office:smarttags" w:element="country-region">
        <w:r w:rsidRPr="00D672FA">
          <w:rPr>
            <w:rFonts w:ascii="Times New Roman" w:hAnsi="Times New Roman" w:cs="Times New Roman"/>
            <w:sz w:val="24"/>
            <w:szCs w:val="24"/>
          </w:rPr>
          <w:t>Israel</w:t>
        </w:r>
      </w:smartTag>
      <w:r w:rsidRPr="00D672FA">
        <w:rPr>
          <w:rFonts w:ascii="Times New Roman" w:hAnsi="Times New Roman" w:cs="Times New Roman"/>
          <w:sz w:val="24"/>
          <w:szCs w:val="24"/>
        </w:rPr>
        <w:t xml:space="preserve"> and have no connection whatsoever to </w:t>
      </w:r>
      <w:smartTag w:uri="urn:schemas-microsoft-com:office:smarttags" w:element="place">
        <w:smartTag w:uri="urn:schemas-microsoft-com:office:smarttags" w:element="country-region">
          <w:r w:rsidRPr="00D672FA">
            <w:rPr>
              <w:rFonts w:ascii="Times New Roman" w:hAnsi="Times New Roman" w:cs="Times New Roman"/>
              <w:sz w:val="24"/>
              <w:szCs w:val="24"/>
            </w:rPr>
            <w:t>Israel</w:t>
          </w:r>
        </w:smartTag>
      </w:smartTag>
      <w:r w:rsidRPr="00D672FA">
        <w:rPr>
          <w:rFonts w:ascii="Times New Roman" w:hAnsi="Times New Roman" w:cs="Times New Roman"/>
          <w:sz w:val="24"/>
          <w:szCs w:val="24"/>
        </w:rPr>
        <w:t>. On the other hand Palestinians, the indigenous population of the territory, are excluded from the Law of Return on grounds that they are not of Jewish origin, do not enjoy the legal status of nationals under any other Israeli law; and have no right to enter the country.</w:t>
      </w:r>
    </w:p>
    <w:p w:rsidR="00DA7119" w:rsidRPr="00D672FA" w:rsidRDefault="00DA7119" w:rsidP="00D672FA">
      <w:pPr>
        <w:pStyle w:val="Heading2"/>
        <w:jc w:val="both"/>
        <w:rPr>
          <w:rFonts w:ascii="Times New Roman" w:hAnsi="Times New Roman"/>
        </w:rPr>
      </w:pPr>
      <w:r w:rsidRPr="00D672FA">
        <w:rPr>
          <w:rFonts w:ascii="Times New Roman" w:hAnsi="Times New Roman"/>
        </w:rPr>
        <w:lastRenderedPageBreak/>
        <w:t>Palestinian land</w:t>
      </w:r>
    </w:p>
    <w:p w:rsidR="00DA7119" w:rsidRPr="00D672FA" w:rsidRDefault="00DA7119" w:rsidP="00D672FA">
      <w:pPr>
        <w:autoSpaceDE w:val="0"/>
        <w:autoSpaceDN w:val="0"/>
        <w:adjustRightInd w:val="0"/>
        <w:spacing w:after="0"/>
        <w:jc w:val="both"/>
        <w:rPr>
          <w:rFonts w:ascii="Times New Roman" w:hAnsi="Times New Roman" w:cs="Times New Roman"/>
          <w:sz w:val="24"/>
          <w:szCs w:val="24"/>
        </w:rPr>
      </w:pPr>
      <w:r w:rsidRPr="00D672FA">
        <w:rPr>
          <w:rFonts w:ascii="Times New Roman" w:hAnsi="Times New Roman" w:cs="Times New Roman"/>
          <w:sz w:val="24"/>
          <w:szCs w:val="24"/>
        </w:rPr>
        <w:t xml:space="preserve">Israeli legislation is also threatening the land rights of Palestinian citizens of </w:t>
      </w:r>
      <w:smartTag w:uri="urn:schemas-microsoft-com:office:smarttags" w:element="place">
        <w:smartTag w:uri="urn:schemas-microsoft-com:office:smarttags" w:element="country-region">
          <w:r w:rsidRPr="00D672FA">
            <w:rPr>
              <w:rFonts w:ascii="Times New Roman" w:hAnsi="Times New Roman" w:cs="Times New Roman"/>
              <w:sz w:val="24"/>
              <w:szCs w:val="24"/>
            </w:rPr>
            <w:t>Israel</w:t>
          </w:r>
        </w:smartTag>
      </w:smartTag>
      <w:r w:rsidRPr="00D672FA">
        <w:rPr>
          <w:rFonts w:ascii="Times New Roman" w:hAnsi="Times New Roman" w:cs="Times New Roman"/>
          <w:sz w:val="24"/>
          <w:szCs w:val="24"/>
        </w:rPr>
        <w:t xml:space="preserve">, Palestinian residents of </w:t>
      </w:r>
      <w:proofErr w:type="gramStart"/>
      <w:r w:rsidRPr="00D672FA">
        <w:rPr>
          <w:rFonts w:ascii="Times New Roman" w:hAnsi="Times New Roman" w:cs="Times New Roman"/>
          <w:sz w:val="24"/>
          <w:szCs w:val="24"/>
        </w:rPr>
        <w:t>the oPt</w:t>
      </w:r>
      <w:proofErr w:type="gramEnd"/>
      <w:r w:rsidRPr="00D672FA">
        <w:rPr>
          <w:rFonts w:ascii="Times New Roman" w:hAnsi="Times New Roman" w:cs="Times New Roman"/>
          <w:sz w:val="24"/>
          <w:szCs w:val="24"/>
        </w:rPr>
        <w:t xml:space="preserve"> as well as those Palestinian refugees who are forcibly exiled. </w:t>
      </w:r>
      <w:r w:rsidR="00F5423D" w:rsidRPr="00BD55B3">
        <w:rPr>
          <w:rFonts w:ascii="Times New Roman" w:hAnsi="Times New Roman" w:cs="Times New Roman"/>
          <w:sz w:val="24"/>
          <w:szCs w:val="24"/>
        </w:rPr>
        <w:t>The Land Acquisition for Public Purposes Ordinance (1943)</w:t>
      </w:r>
      <w:r w:rsidRPr="00D672FA">
        <w:rPr>
          <w:rFonts w:ascii="Times New Roman" w:hAnsi="Times New Roman" w:cs="Times New Roman"/>
          <w:sz w:val="24"/>
          <w:szCs w:val="24"/>
        </w:rPr>
        <w:t xml:space="preserve"> is a British-mandate era law that authorizes the Finance Minister to confiscate Palestinian lands for “public purposes” in perpetuity. In February 2010, the Knesset amended the law to prevent Palestinian landowners from restoring land confiscated pursuant to the ordinance even if it was never used for the alleged public purpose for which it was originally confiscated. The Amendment allows the state not to use the land for the original intended purpose for 17 years and it prevents landowners from demanding restoration if the land has been transferred to a third party or if more than 25 years has lapsed since the confiscation. This impacts Palestinians collectively as </w:t>
      </w:r>
      <w:smartTag w:uri="urn:schemas-microsoft-com:office:smarttags" w:element="place">
        <w:smartTag w:uri="urn:schemas-microsoft-com:office:smarttags" w:element="country-region">
          <w:r w:rsidRPr="00D672FA">
            <w:rPr>
              <w:rFonts w:ascii="Times New Roman" w:hAnsi="Times New Roman" w:cs="Times New Roman"/>
              <w:sz w:val="24"/>
              <w:szCs w:val="24"/>
            </w:rPr>
            <w:t>Israel</w:t>
          </w:r>
        </w:smartTag>
      </w:smartTag>
      <w:r w:rsidRPr="00D672FA">
        <w:rPr>
          <w:rFonts w:ascii="Times New Roman" w:hAnsi="Times New Roman" w:cs="Times New Roman"/>
          <w:sz w:val="24"/>
          <w:szCs w:val="24"/>
        </w:rPr>
        <w:t xml:space="preserve"> confiscated significant portions of their lands over 25 years ago and has since transferred them to third parties.</w:t>
      </w:r>
      <w:r w:rsidRPr="00D672FA">
        <w:rPr>
          <w:rFonts w:ascii="Times New Roman" w:hAnsi="Times New Roman" w:cs="Times New Roman"/>
          <w:color w:val="000000"/>
          <w:sz w:val="24"/>
          <w:szCs w:val="24"/>
        </w:rPr>
        <w:t xml:space="preserve"> </w:t>
      </w:r>
    </w:p>
    <w:p w:rsidR="00DA7119" w:rsidRPr="00D672FA" w:rsidRDefault="00DA7119" w:rsidP="00D672FA">
      <w:pPr>
        <w:jc w:val="both"/>
        <w:rPr>
          <w:rFonts w:ascii="Times New Roman" w:hAnsi="Times New Roman" w:cs="Times New Roman"/>
          <w:color w:val="000000"/>
          <w:sz w:val="24"/>
          <w:szCs w:val="24"/>
        </w:rPr>
      </w:pPr>
      <w:r w:rsidRPr="00D672FA">
        <w:rPr>
          <w:rFonts w:ascii="Times New Roman" w:hAnsi="Times New Roman" w:cs="Times New Roman"/>
          <w:color w:val="000000"/>
          <w:sz w:val="24"/>
          <w:szCs w:val="24"/>
        </w:rPr>
        <w:t xml:space="preserve">After 1948, </w:t>
      </w:r>
      <w:smartTag w:uri="urn:schemas-microsoft-com:office:smarttags" w:element="place">
        <w:smartTag w:uri="urn:schemas-microsoft-com:office:smarttags" w:element="country-region">
          <w:r w:rsidRPr="00D672FA">
            <w:rPr>
              <w:rFonts w:ascii="Times New Roman" w:hAnsi="Times New Roman" w:cs="Times New Roman"/>
              <w:color w:val="000000"/>
              <w:sz w:val="24"/>
              <w:szCs w:val="24"/>
            </w:rPr>
            <w:t>Israel</w:t>
          </w:r>
        </w:smartTag>
      </w:smartTag>
      <w:r w:rsidRPr="00D672FA">
        <w:rPr>
          <w:rFonts w:ascii="Times New Roman" w:hAnsi="Times New Roman" w:cs="Times New Roman"/>
          <w:color w:val="000000"/>
          <w:sz w:val="24"/>
          <w:szCs w:val="24"/>
        </w:rPr>
        <w:t xml:space="preserve"> ‘inherited’ all the land that was registered in the High Commissioner’s name from the British government, which thus became Israeli state land.</w:t>
      </w:r>
      <w:r w:rsidRPr="00D672FA">
        <w:rPr>
          <w:rStyle w:val="FootnoteReference"/>
          <w:color w:val="000000"/>
          <w:sz w:val="24"/>
          <w:szCs w:val="24"/>
        </w:rPr>
        <w:footnoteReference w:id="10"/>
      </w:r>
      <w:r w:rsidRPr="00D672FA">
        <w:rPr>
          <w:rFonts w:ascii="Times New Roman" w:hAnsi="Times New Roman" w:cs="Times New Roman"/>
          <w:color w:val="000000"/>
          <w:sz w:val="24"/>
          <w:szCs w:val="24"/>
        </w:rPr>
        <w:t xml:space="preserve"> After 1967, </w:t>
      </w:r>
      <w:smartTag w:uri="urn:schemas-microsoft-com:office:smarttags" w:element="country-region">
        <w:r w:rsidRPr="00D672FA">
          <w:rPr>
            <w:rFonts w:ascii="Times New Roman" w:hAnsi="Times New Roman" w:cs="Times New Roman"/>
            <w:color w:val="000000"/>
            <w:sz w:val="24"/>
            <w:szCs w:val="24"/>
          </w:rPr>
          <w:t>Israel</w:t>
        </w:r>
      </w:smartTag>
      <w:r w:rsidRPr="00D672FA">
        <w:rPr>
          <w:rFonts w:ascii="Times New Roman" w:hAnsi="Times New Roman" w:cs="Times New Roman"/>
          <w:color w:val="000000"/>
          <w:sz w:val="24"/>
          <w:szCs w:val="24"/>
        </w:rPr>
        <w:t xml:space="preserve"> also claimed all the ‘</w:t>
      </w:r>
      <w:r w:rsidRPr="00D672FA">
        <w:rPr>
          <w:rFonts w:ascii="Times New Roman" w:hAnsi="Times New Roman" w:cs="Times New Roman"/>
          <w:iCs/>
          <w:color w:val="000000"/>
          <w:sz w:val="24"/>
          <w:szCs w:val="24"/>
        </w:rPr>
        <w:t>state land’</w:t>
      </w:r>
      <w:r w:rsidRPr="00D672FA">
        <w:rPr>
          <w:rFonts w:ascii="Times New Roman" w:hAnsi="Times New Roman" w:cs="Times New Roman"/>
          <w:color w:val="000000"/>
          <w:sz w:val="24"/>
          <w:szCs w:val="24"/>
        </w:rPr>
        <w:t xml:space="preserve"> that </w:t>
      </w:r>
      <w:smartTag w:uri="urn:schemas-microsoft-com:office:smarttags" w:element="country-region">
        <w:r w:rsidRPr="00D672FA">
          <w:rPr>
            <w:rFonts w:ascii="Times New Roman" w:hAnsi="Times New Roman" w:cs="Times New Roman"/>
            <w:color w:val="000000"/>
            <w:sz w:val="24"/>
            <w:szCs w:val="24"/>
          </w:rPr>
          <w:t>Jordan</w:t>
        </w:r>
      </w:smartTag>
      <w:r w:rsidRPr="00D672FA">
        <w:rPr>
          <w:rFonts w:ascii="Times New Roman" w:hAnsi="Times New Roman" w:cs="Times New Roman"/>
          <w:color w:val="000000"/>
          <w:sz w:val="24"/>
          <w:szCs w:val="24"/>
        </w:rPr>
        <w:t xml:space="preserve"> had designated as such under its rule in the </w:t>
      </w:r>
      <w:smartTag w:uri="urn:schemas-microsoft-com:office:smarttags" w:element="place">
        <w:r w:rsidRPr="00D672FA">
          <w:rPr>
            <w:rFonts w:ascii="Times New Roman" w:hAnsi="Times New Roman" w:cs="Times New Roman"/>
            <w:color w:val="000000"/>
            <w:sz w:val="24"/>
            <w:szCs w:val="24"/>
          </w:rPr>
          <w:t>West Bank</w:t>
        </w:r>
      </w:smartTag>
      <w:r w:rsidRPr="00D672FA">
        <w:rPr>
          <w:rFonts w:ascii="Times New Roman" w:hAnsi="Times New Roman" w:cs="Times New Roman"/>
          <w:color w:val="000000"/>
          <w:sz w:val="24"/>
          <w:szCs w:val="24"/>
        </w:rPr>
        <w:t xml:space="preserve">. This was achieved through the application of a 1967-adopted military order, </w:t>
      </w:r>
      <w:r w:rsidR="00F5423D" w:rsidRPr="00BD55B3">
        <w:rPr>
          <w:rFonts w:ascii="Times New Roman" w:hAnsi="Times New Roman" w:cs="Times New Roman"/>
          <w:color w:val="000000"/>
          <w:sz w:val="24"/>
          <w:szCs w:val="24"/>
        </w:rPr>
        <w:t>the Order Concerning Government Property (No. 59)</w:t>
      </w:r>
      <w:r w:rsidRPr="00D672FA">
        <w:rPr>
          <w:rFonts w:ascii="Times New Roman" w:hAnsi="Times New Roman" w:cs="Times New Roman"/>
          <w:color w:val="000000"/>
          <w:sz w:val="24"/>
          <w:szCs w:val="24"/>
        </w:rPr>
        <w:t>.</w:t>
      </w:r>
      <w:r w:rsidRPr="00D672FA">
        <w:rPr>
          <w:rStyle w:val="FootnoteReference"/>
          <w:color w:val="000000"/>
          <w:sz w:val="24"/>
          <w:szCs w:val="24"/>
        </w:rPr>
        <w:footnoteReference w:id="11"/>
      </w:r>
      <w:r w:rsidRPr="00D672FA">
        <w:rPr>
          <w:rFonts w:ascii="Times New Roman" w:hAnsi="Times New Roman" w:cs="Times New Roman"/>
          <w:color w:val="000000"/>
          <w:sz w:val="24"/>
          <w:szCs w:val="24"/>
        </w:rPr>
        <w:t xml:space="preserve"> This defines state land as property that, on the “relevant date” (7 June 1967, the day Israel occupied the West Bank), belonged to an enemy state and/or corporation of which an enemy state had control or rights or that was registered at that time in its name.</w:t>
      </w:r>
      <w:r w:rsidRPr="00D672FA">
        <w:rPr>
          <w:rStyle w:val="FootnoteReference"/>
          <w:color w:val="000000"/>
          <w:sz w:val="24"/>
          <w:szCs w:val="24"/>
        </w:rPr>
        <w:footnoteReference w:id="12"/>
      </w:r>
      <w:r w:rsidRPr="00D672FA">
        <w:rPr>
          <w:rFonts w:ascii="Times New Roman" w:hAnsi="Times New Roman" w:cs="Times New Roman"/>
          <w:color w:val="000000"/>
          <w:sz w:val="24"/>
          <w:szCs w:val="24"/>
        </w:rPr>
        <w:t xml:space="preserve"> Furthermore, the Order bestows administration of state land to the Custodian who is appointed by the Israeli Military Commander and empowered, “to take possession of government property and to take any measure he deems necessary to that end”.</w:t>
      </w:r>
      <w:r w:rsidRPr="00D672FA">
        <w:rPr>
          <w:rStyle w:val="FootnoteReference"/>
          <w:color w:val="000000"/>
          <w:sz w:val="24"/>
          <w:szCs w:val="24"/>
        </w:rPr>
        <w:footnoteReference w:id="13"/>
      </w:r>
      <w:r w:rsidRPr="00D672FA">
        <w:rPr>
          <w:rFonts w:ascii="Times New Roman" w:hAnsi="Times New Roman" w:cs="Times New Roman"/>
          <w:color w:val="000000"/>
          <w:sz w:val="24"/>
          <w:szCs w:val="24"/>
        </w:rPr>
        <w:t xml:space="preserve"> The Order also allows for the custodian to deem any lands as state lands, even if they are retroactively shown not to be state lands, provided he held “good faith” that they were state lands.</w:t>
      </w:r>
      <w:r w:rsidRPr="00D672FA">
        <w:rPr>
          <w:rStyle w:val="FootnoteReference"/>
          <w:color w:val="000000"/>
          <w:sz w:val="24"/>
          <w:szCs w:val="24"/>
        </w:rPr>
        <w:footnoteReference w:id="14"/>
      </w:r>
      <w:r w:rsidRPr="00D672FA">
        <w:rPr>
          <w:rFonts w:ascii="Times New Roman" w:hAnsi="Times New Roman" w:cs="Times New Roman"/>
          <w:color w:val="000000"/>
          <w:sz w:val="24"/>
          <w:szCs w:val="24"/>
        </w:rPr>
        <w:t xml:space="preserve"> This Order was since amended. </w:t>
      </w:r>
    </w:p>
    <w:p w:rsidR="00DA7119" w:rsidRPr="00D672FA" w:rsidRDefault="00DA7119" w:rsidP="00D672FA">
      <w:pPr>
        <w:jc w:val="both"/>
        <w:rPr>
          <w:rFonts w:ascii="Times New Roman" w:hAnsi="Times New Roman" w:cs="Times New Roman"/>
          <w:sz w:val="24"/>
          <w:szCs w:val="24"/>
        </w:rPr>
      </w:pPr>
      <w:r w:rsidRPr="00D672FA">
        <w:rPr>
          <w:rFonts w:ascii="Times New Roman" w:hAnsi="Times New Roman" w:cs="Times New Roman"/>
          <w:sz w:val="24"/>
          <w:szCs w:val="24"/>
        </w:rPr>
        <w:t xml:space="preserve">Parallel to that in 1968 the Israeli military commander passed the </w:t>
      </w:r>
      <w:r w:rsidR="00F5423D" w:rsidRPr="00BD55B3">
        <w:rPr>
          <w:rFonts w:ascii="Times New Roman" w:hAnsi="Times New Roman" w:cs="Times New Roman"/>
          <w:bCs/>
          <w:sz w:val="24"/>
          <w:szCs w:val="24"/>
        </w:rPr>
        <w:t>Order concerning Land and Water Settlement</w:t>
      </w:r>
      <w:r w:rsidRPr="00D672FA">
        <w:rPr>
          <w:rFonts w:ascii="Times New Roman" w:hAnsi="Times New Roman" w:cs="Times New Roman"/>
          <w:bCs/>
          <w:sz w:val="24"/>
          <w:szCs w:val="24"/>
        </w:rPr>
        <w:t xml:space="preserve"> (Judea and Samaria) (No. 291) </w:t>
      </w:r>
      <w:r w:rsidRPr="00D672FA">
        <w:rPr>
          <w:rFonts w:ascii="Times New Roman" w:hAnsi="Times New Roman" w:cs="Times New Roman"/>
          <w:sz w:val="24"/>
          <w:szCs w:val="24"/>
        </w:rPr>
        <w:t>– an order which forbade any further land settlement/registration for Palestinians and put a halt to any settlements, or registrations which were at that time being processed which has resulted in only 33% of all West Bank land being registered.</w:t>
      </w:r>
      <w:r w:rsidRPr="00D672FA">
        <w:rPr>
          <w:rFonts w:ascii="Times New Roman" w:hAnsi="Times New Roman" w:cs="Times New Roman"/>
          <w:sz w:val="24"/>
          <w:szCs w:val="24"/>
          <w:vertAlign w:val="superscript"/>
        </w:rPr>
        <w:footnoteReference w:id="15"/>
      </w:r>
      <w:r w:rsidRPr="00D672FA">
        <w:rPr>
          <w:rFonts w:ascii="Times New Roman" w:hAnsi="Times New Roman" w:cs="Times New Roman"/>
          <w:sz w:val="24"/>
          <w:szCs w:val="24"/>
        </w:rPr>
        <w:t xml:space="preserve"> </w:t>
      </w:r>
    </w:p>
    <w:p w:rsidR="00DA7119" w:rsidRPr="00D672FA" w:rsidRDefault="00DA7119" w:rsidP="00D672FA">
      <w:pPr>
        <w:jc w:val="both"/>
        <w:rPr>
          <w:rFonts w:ascii="Times New Roman" w:hAnsi="Times New Roman" w:cs="Times New Roman"/>
          <w:iCs/>
          <w:color w:val="000000"/>
          <w:sz w:val="24"/>
          <w:szCs w:val="24"/>
        </w:rPr>
      </w:pPr>
      <w:r w:rsidRPr="00D672FA">
        <w:rPr>
          <w:rFonts w:ascii="Times New Roman" w:hAnsi="Times New Roman" w:cs="Times New Roman"/>
          <w:sz w:val="24"/>
          <w:szCs w:val="24"/>
        </w:rPr>
        <w:t xml:space="preserve">In 1969 a provision was added to the </w:t>
      </w:r>
      <w:r w:rsidR="00F5423D" w:rsidRPr="00BD55B3">
        <w:rPr>
          <w:rFonts w:ascii="Times New Roman" w:hAnsi="Times New Roman" w:cs="Times New Roman"/>
          <w:sz w:val="24"/>
          <w:szCs w:val="24"/>
        </w:rPr>
        <w:t>Order Concerning Government Property</w:t>
      </w:r>
      <w:r w:rsidRPr="00D672FA">
        <w:rPr>
          <w:rFonts w:ascii="Times New Roman" w:hAnsi="Times New Roman" w:cs="Times New Roman"/>
          <w:sz w:val="24"/>
          <w:szCs w:val="24"/>
        </w:rPr>
        <w:t xml:space="preserve"> stating that, “</w:t>
      </w:r>
      <w:proofErr w:type="gramStart"/>
      <w:r w:rsidRPr="00D672FA">
        <w:rPr>
          <w:rFonts w:ascii="Times New Roman" w:hAnsi="Times New Roman" w:cs="Times New Roman"/>
          <w:sz w:val="24"/>
          <w:szCs w:val="24"/>
        </w:rPr>
        <w:t>if</w:t>
      </w:r>
      <w:proofErr w:type="gramEnd"/>
      <w:r w:rsidRPr="00D672FA">
        <w:rPr>
          <w:rFonts w:ascii="Times New Roman" w:hAnsi="Times New Roman" w:cs="Times New Roman"/>
          <w:sz w:val="24"/>
          <w:szCs w:val="24"/>
        </w:rPr>
        <w:t xml:space="preserve"> the Custodian confirms in a written document with his signature that a given property is government </w:t>
      </w:r>
      <w:r w:rsidRPr="00D672FA">
        <w:rPr>
          <w:rFonts w:ascii="Times New Roman" w:hAnsi="Times New Roman" w:cs="Times New Roman"/>
          <w:sz w:val="24"/>
          <w:szCs w:val="24"/>
        </w:rPr>
        <w:lastRenderedPageBreak/>
        <w:t>property, that property will be considered government property unless proven otherwise”.</w:t>
      </w:r>
      <w:r w:rsidRPr="00D672FA">
        <w:rPr>
          <w:rStyle w:val="FootnoteReference"/>
          <w:sz w:val="24"/>
          <w:szCs w:val="24"/>
        </w:rPr>
        <w:footnoteReference w:id="16"/>
      </w:r>
      <w:r w:rsidRPr="00D672FA">
        <w:rPr>
          <w:rFonts w:ascii="Times New Roman" w:hAnsi="Times New Roman" w:cs="Times New Roman"/>
          <w:sz w:val="24"/>
          <w:szCs w:val="24"/>
        </w:rPr>
        <w:t xml:space="preserve"> This transferred the burden of proof from the State to the individual.</w:t>
      </w:r>
      <w:r w:rsidRPr="00D672FA">
        <w:rPr>
          <w:rFonts w:ascii="Times New Roman" w:hAnsi="Times New Roman" w:cs="Times New Roman"/>
          <w:iCs/>
          <w:color w:val="000000"/>
          <w:sz w:val="24"/>
          <w:szCs w:val="24"/>
        </w:rPr>
        <w:t xml:space="preserve"> </w:t>
      </w:r>
      <w:r w:rsidRPr="00D672FA">
        <w:rPr>
          <w:rFonts w:ascii="Times New Roman" w:hAnsi="Times New Roman" w:cs="Times New Roman"/>
          <w:sz w:val="24"/>
          <w:szCs w:val="24"/>
        </w:rPr>
        <w:t>In 1984, the military commander amended the Order Concerning Government Property to expand the types of land that could fall under its control. The amendment defines government property as, “property that on the relevant date or thereafter belongs, is registered in the name of or is imparted to an enemy state or a corporation in which an enemy state has rights”.</w:t>
      </w:r>
      <w:r w:rsidRPr="00D672FA">
        <w:rPr>
          <w:rStyle w:val="FootnoteReference"/>
          <w:sz w:val="24"/>
          <w:szCs w:val="24"/>
        </w:rPr>
        <w:footnoteReference w:id="17"/>
      </w:r>
      <w:r w:rsidRPr="00D672FA">
        <w:rPr>
          <w:rFonts w:ascii="Times New Roman" w:hAnsi="Times New Roman" w:cs="Times New Roman"/>
          <w:sz w:val="24"/>
          <w:szCs w:val="24"/>
        </w:rPr>
        <w:t xml:space="preserve"> The use of the word “thereafter” offers scope to expand upon a previously static definition of state land. </w:t>
      </w:r>
    </w:p>
    <w:p w:rsidR="00DA7119" w:rsidRPr="00D672FA" w:rsidRDefault="00DA7119" w:rsidP="00BD55B3">
      <w:pPr>
        <w:pStyle w:val="Heading3"/>
        <w:jc w:val="both"/>
        <w:rPr>
          <w:rFonts w:ascii="Times New Roman" w:hAnsi="Times New Roman"/>
        </w:rPr>
      </w:pPr>
      <w:r w:rsidRPr="00D672FA">
        <w:rPr>
          <w:rFonts w:ascii="Times New Roman" w:hAnsi="Times New Roman"/>
        </w:rPr>
        <w:t>Declaration process</w:t>
      </w:r>
      <w:r>
        <w:rPr>
          <w:rFonts w:ascii="Times New Roman" w:hAnsi="Times New Roman"/>
        </w:rPr>
        <w:t xml:space="preserve"> </w:t>
      </w:r>
    </w:p>
    <w:p w:rsidR="00DA7119" w:rsidRPr="00D672FA" w:rsidRDefault="00DA7119" w:rsidP="00D672FA">
      <w:pPr>
        <w:jc w:val="both"/>
        <w:rPr>
          <w:rFonts w:ascii="Times New Roman" w:hAnsi="Times New Roman" w:cs="Times New Roman"/>
          <w:sz w:val="24"/>
          <w:szCs w:val="24"/>
        </w:rPr>
      </w:pPr>
      <w:r w:rsidRPr="00D672FA">
        <w:rPr>
          <w:rFonts w:ascii="Times New Roman" w:hAnsi="Times New Roman" w:cs="Times New Roman"/>
          <w:sz w:val="24"/>
          <w:szCs w:val="24"/>
        </w:rPr>
        <w:t>The declaration (of state land) process is not anchored in the law or in military legislation, but rather in the procedures of the Israeli Civil Administration alone.</w:t>
      </w:r>
      <w:r w:rsidRPr="00D672FA">
        <w:rPr>
          <w:rStyle w:val="FootnoteReference"/>
          <w:sz w:val="24"/>
          <w:szCs w:val="24"/>
        </w:rPr>
        <w:footnoteReference w:id="18"/>
      </w:r>
      <w:r w:rsidRPr="00D672FA">
        <w:rPr>
          <w:rFonts w:ascii="Times New Roman" w:hAnsi="Times New Roman" w:cs="Times New Roman"/>
          <w:sz w:val="24"/>
          <w:szCs w:val="24"/>
        </w:rPr>
        <w:t xml:space="preserve"> Among their requirements is that the Custodian must sign a certificate specifying the location of the land for declaration accompanied by a map demonstrating the plot’s total area. </w:t>
      </w:r>
    </w:p>
    <w:p w:rsidR="00DA7119" w:rsidRPr="00D672FA" w:rsidRDefault="00DA7119" w:rsidP="00D672FA">
      <w:pPr>
        <w:jc w:val="both"/>
        <w:rPr>
          <w:rFonts w:ascii="Times New Roman" w:hAnsi="Times New Roman" w:cs="Times New Roman"/>
          <w:color w:val="1B1718"/>
          <w:sz w:val="24"/>
          <w:szCs w:val="24"/>
        </w:rPr>
      </w:pPr>
      <w:r w:rsidRPr="00D672FA">
        <w:rPr>
          <w:rFonts w:ascii="Times New Roman" w:hAnsi="Times New Roman" w:cs="Times New Roman"/>
          <w:sz w:val="24"/>
          <w:szCs w:val="24"/>
        </w:rPr>
        <w:t>Various petitions filed by Palestinians against the declaration process and against the appeals committee (whereby individuals can oppose declarations) failed before the Israeli Supreme Court.</w:t>
      </w:r>
      <w:r w:rsidRPr="00D672FA">
        <w:rPr>
          <w:rStyle w:val="FootnoteReference"/>
          <w:sz w:val="24"/>
          <w:szCs w:val="24"/>
        </w:rPr>
        <w:footnoteReference w:id="19"/>
      </w:r>
      <w:r w:rsidRPr="00D672FA">
        <w:rPr>
          <w:rFonts w:ascii="Times New Roman" w:hAnsi="Times New Roman" w:cs="Times New Roman"/>
          <w:sz w:val="24"/>
          <w:szCs w:val="24"/>
        </w:rPr>
        <w:t xml:space="preserve"> </w:t>
      </w:r>
      <w:r w:rsidRPr="00D672FA">
        <w:rPr>
          <w:rFonts w:ascii="Times New Roman" w:hAnsi="Times New Roman" w:cs="Times New Roman"/>
          <w:color w:val="1B1718"/>
          <w:sz w:val="24"/>
          <w:szCs w:val="24"/>
        </w:rPr>
        <w:t>The Court upheld the legality of the declaration mechanism and rejected the petitioners’ right to object: as they could not prove personal injury on non-private, ‘state land’.</w:t>
      </w:r>
    </w:p>
    <w:p w:rsidR="00DA7119" w:rsidRPr="00D672FA" w:rsidRDefault="00DA7119" w:rsidP="00D672FA">
      <w:pPr>
        <w:pStyle w:val="Heading2"/>
        <w:jc w:val="both"/>
        <w:rPr>
          <w:rFonts w:ascii="Times New Roman" w:hAnsi="Times New Roman"/>
        </w:rPr>
      </w:pPr>
      <w:r w:rsidRPr="00D672FA">
        <w:rPr>
          <w:rFonts w:ascii="Times New Roman" w:hAnsi="Times New Roman"/>
        </w:rPr>
        <w:t>Absentee Property Law</w:t>
      </w:r>
    </w:p>
    <w:p w:rsidR="00DA7119" w:rsidRPr="00D672FA" w:rsidRDefault="00F5423D" w:rsidP="00D672FA">
      <w:pPr>
        <w:spacing w:before="120" w:after="120"/>
        <w:jc w:val="both"/>
        <w:rPr>
          <w:rFonts w:ascii="Times New Roman" w:hAnsi="Times New Roman" w:cs="Times New Roman"/>
          <w:sz w:val="24"/>
          <w:szCs w:val="24"/>
        </w:rPr>
      </w:pPr>
      <w:r w:rsidRPr="00BD55B3">
        <w:rPr>
          <w:rFonts w:ascii="Times New Roman" w:hAnsi="Times New Roman" w:cs="Times New Roman"/>
          <w:sz w:val="24"/>
          <w:szCs w:val="24"/>
        </w:rPr>
        <w:t xml:space="preserve">The </w:t>
      </w:r>
      <w:r w:rsidRPr="00BD55B3">
        <w:rPr>
          <w:rFonts w:ascii="Times New Roman" w:hAnsi="Times New Roman" w:cs="Times New Roman"/>
          <w:i/>
          <w:iCs/>
          <w:sz w:val="24"/>
          <w:szCs w:val="24"/>
        </w:rPr>
        <w:t>Absentee Property Law</w:t>
      </w:r>
      <w:r w:rsidRPr="00BD55B3">
        <w:rPr>
          <w:rFonts w:ascii="Times New Roman" w:hAnsi="Times New Roman" w:cs="Times New Roman"/>
          <w:sz w:val="24"/>
          <w:szCs w:val="24"/>
        </w:rPr>
        <w:t xml:space="preserve"> of 1950</w:t>
      </w:r>
      <w:r w:rsidR="00DA7119" w:rsidRPr="00D672FA">
        <w:rPr>
          <w:rFonts w:ascii="Times New Roman" w:hAnsi="Times New Roman" w:cs="Times New Roman"/>
          <w:sz w:val="24"/>
          <w:szCs w:val="24"/>
        </w:rPr>
        <w:t xml:space="preserve"> is another law that is applied in order to confiscate Palestinian land. The term ‘absentee’ was defined so broadly as to include not only Palestinians who had fled the newly established state of Israel but also those who had fled their homes but remained within its borders.</w:t>
      </w:r>
    </w:p>
    <w:p w:rsidR="00DA7119" w:rsidRPr="00D672FA" w:rsidRDefault="00DA7119" w:rsidP="003B0FD0">
      <w:pPr>
        <w:jc w:val="both"/>
        <w:rPr>
          <w:rFonts w:ascii="Times New Roman" w:hAnsi="Times New Roman" w:cs="Times New Roman"/>
          <w:sz w:val="24"/>
          <w:szCs w:val="24"/>
        </w:rPr>
      </w:pPr>
      <w:r w:rsidRPr="00D672FA">
        <w:rPr>
          <w:rFonts w:ascii="Times New Roman" w:hAnsi="Times New Roman" w:cs="Times New Roman"/>
          <w:color w:val="212125"/>
          <w:sz w:val="24"/>
          <w:szCs w:val="24"/>
        </w:rPr>
        <w:t xml:space="preserve">Estimates of the total amount of ‘abandoned’ lands to which Israel laid claim vary between 4.2 and 5.8 million </w:t>
      </w:r>
      <w:proofErr w:type="spellStart"/>
      <w:r w:rsidRPr="00D672FA">
        <w:rPr>
          <w:rFonts w:ascii="Times New Roman" w:hAnsi="Times New Roman" w:cs="Times New Roman"/>
          <w:color w:val="212125"/>
          <w:sz w:val="24"/>
          <w:szCs w:val="24"/>
        </w:rPr>
        <w:t>dunums</w:t>
      </w:r>
      <w:proofErr w:type="spellEnd"/>
      <w:r w:rsidRPr="00D672FA">
        <w:rPr>
          <w:rFonts w:ascii="Times New Roman" w:hAnsi="Times New Roman" w:cs="Times New Roman"/>
          <w:color w:val="212125"/>
          <w:sz w:val="24"/>
          <w:szCs w:val="24"/>
        </w:rPr>
        <w:t xml:space="preserve"> (4,200-5,800 km</w:t>
      </w:r>
      <w:r w:rsidRPr="00D672FA">
        <w:rPr>
          <w:rFonts w:ascii="Times New Roman" w:hAnsi="Times New Roman" w:cs="Times New Roman"/>
          <w:sz w:val="24"/>
          <w:szCs w:val="24"/>
          <w:vertAlign w:val="superscript"/>
        </w:rPr>
        <w:t>2</w:t>
      </w:r>
      <w:r w:rsidRPr="00D672FA">
        <w:rPr>
          <w:rFonts w:ascii="Times New Roman" w:hAnsi="Times New Roman" w:cs="Times New Roman"/>
          <w:color w:val="212125"/>
          <w:sz w:val="24"/>
          <w:szCs w:val="24"/>
        </w:rPr>
        <w:t>).</w:t>
      </w:r>
      <w:r w:rsidRPr="00D672FA">
        <w:rPr>
          <w:rStyle w:val="FootnoteReference"/>
          <w:color w:val="212125"/>
          <w:sz w:val="24"/>
          <w:szCs w:val="24"/>
        </w:rPr>
        <w:footnoteReference w:id="20"/>
      </w:r>
      <w:r w:rsidRPr="00D672FA">
        <w:rPr>
          <w:rFonts w:ascii="Times New Roman" w:hAnsi="Times New Roman" w:cs="Times New Roman"/>
          <w:color w:val="212125"/>
          <w:sz w:val="24"/>
          <w:szCs w:val="24"/>
        </w:rPr>
        <w:t xml:space="preserve"> </w:t>
      </w:r>
      <w:r w:rsidRPr="00D672FA">
        <w:rPr>
          <w:rFonts w:ascii="Times New Roman" w:hAnsi="Times New Roman" w:cs="Times New Roman"/>
          <w:sz w:val="24"/>
          <w:szCs w:val="24"/>
        </w:rPr>
        <w:t xml:space="preserve">As a result of the Absentee Property Law, the pre-1948 Palestinian Bedouins of the </w:t>
      </w:r>
      <w:proofErr w:type="spellStart"/>
      <w:r w:rsidRPr="00D672FA">
        <w:rPr>
          <w:rFonts w:ascii="Times New Roman" w:hAnsi="Times New Roman" w:cs="Times New Roman"/>
          <w:sz w:val="24"/>
          <w:szCs w:val="24"/>
        </w:rPr>
        <w:t>Naqab</w:t>
      </w:r>
      <w:proofErr w:type="spellEnd"/>
      <w:r w:rsidRPr="00D672FA">
        <w:rPr>
          <w:rFonts w:ascii="Times New Roman" w:hAnsi="Times New Roman" w:cs="Times New Roman"/>
          <w:sz w:val="24"/>
          <w:szCs w:val="24"/>
        </w:rPr>
        <w:t xml:space="preserve"> lost 90% of their lands and property.</w:t>
      </w:r>
      <w:r w:rsidRPr="00D672FA">
        <w:rPr>
          <w:rStyle w:val="FootnoteReference"/>
          <w:sz w:val="24"/>
          <w:szCs w:val="24"/>
        </w:rPr>
        <w:footnoteReference w:id="21"/>
      </w:r>
      <w:r w:rsidRPr="00D672FA">
        <w:rPr>
          <w:rFonts w:ascii="Times New Roman" w:hAnsi="Times New Roman" w:cs="Times New Roman"/>
          <w:sz w:val="24"/>
          <w:szCs w:val="24"/>
        </w:rPr>
        <w:t xml:space="preserve"> </w:t>
      </w:r>
      <w:r w:rsidRPr="00D672FA">
        <w:rPr>
          <w:rFonts w:ascii="Times New Roman" w:hAnsi="Times New Roman" w:cs="Times New Roman"/>
          <w:color w:val="212125"/>
          <w:sz w:val="24"/>
          <w:szCs w:val="24"/>
        </w:rPr>
        <w:t xml:space="preserve">Between 1948 </w:t>
      </w:r>
      <w:r w:rsidRPr="00D672FA">
        <w:rPr>
          <w:rFonts w:ascii="Times New Roman" w:hAnsi="Times New Roman" w:cs="Times New Roman"/>
          <w:color w:val="212125"/>
          <w:sz w:val="24"/>
          <w:szCs w:val="24"/>
        </w:rPr>
        <w:lastRenderedPageBreak/>
        <w:t xml:space="preserve">and 1953 alone, 350 of the 370 new Israeli Jewish settlements were created in lands confiscated under the </w:t>
      </w:r>
      <w:r w:rsidRPr="00D672FA">
        <w:rPr>
          <w:rFonts w:ascii="Times New Roman" w:hAnsi="Times New Roman" w:cs="Times New Roman"/>
          <w:sz w:val="24"/>
          <w:szCs w:val="24"/>
        </w:rPr>
        <w:t>Law</w:t>
      </w:r>
      <w:r w:rsidRPr="00D672FA">
        <w:rPr>
          <w:rFonts w:ascii="Times New Roman" w:hAnsi="Times New Roman" w:cs="Times New Roman"/>
          <w:color w:val="212125"/>
          <w:sz w:val="24"/>
          <w:szCs w:val="24"/>
        </w:rPr>
        <w:t>.</w:t>
      </w:r>
      <w:r w:rsidRPr="00D672FA">
        <w:rPr>
          <w:rStyle w:val="FootnoteReference"/>
          <w:sz w:val="24"/>
          <w:szCs w:val="24"/>
        </w:rPr>
        <w:footnoteReference w:id="22"/>
      </w:r>
      <w:r w:rsidRPr="00D672FA">
        <w:rPr>
          <w:rFonts w:ascii="Times New Roman" w:hAnsi="Times New Roman" w:cs="Times New Roman"/>
          <w:sz w:val="24"/>
          <w:szCs w:val="24"/>
        </w:rPr>
        <w:t xml:space="preserve"> </w:t>
      </w:r>
    </w:p>
    <w:p w:rsidR="00DA7119" w:rsidRDefault="00DA7119" w:rsidP="00D672FA">
      <w:pPr>
        <w:spacing w:before="120" w:after="120"/>
        <w:jc w:val="both"/>
        <w:rPr>
          <w:rFonts w:ascii="Times New Roman" w:hAnsi="Times New Roman" w:cs="Times New Roman"/>
          <w:sz w:val="24"/>
          <w:szCs w:val="24"/>
        </w:rPr>
      </w:pPr>
      <w:r w:rsidRPr="00D672FA">
        <w:rPr>
          <w:rFonts w:ascii="Times New Roman" w:hAnsi="Times New Roman" w:cs="Times New Roman"/>
          <w:sz w:val="24"/>
          <w:szCs w:val="24"/>
        </w:rPr>
        <w:t xml:space="preserve">The authority to declare land or property as ‘abandoned’ extends to property whose owner is “unknown”. Following the mass forcible displacement of Palestinians from their homes and lands in 1948, the </w:t>
      </w:r>
      <w:r w:rsidRPr="00D672FA">
        <w:rPr>
          <w:rFonts w:ascii="Times New Roman" w:hAnsi="Times New Roman" w:cs="Times New Roman"/>
          <w:i/>
          <w:iCs/>
          <w:sz w:val="24"/>
          <w:szCs w:val="24"/>
        </w:rPr>
        <w:t>Absentee Property Law</w:t>
      </w:r>
      <w:r w:rsidRPr="00D672FA">
        <w:rPr>
          <w:rFonts w:ascii="Times New Roman" w:hAnsi="Times New Roman" w:cs="Times New Roman"/>
          <w:sz w:val="24"/>
          <w:szCs w:val="24"/>
        </w:rPr>
        <w:t xml:space="preserve"> transferred the ownership of such lands to the State of Israel should the owner have been residing, even for a short while, in one of a list of territories outlined in the law between the 29</w:t>
      </w:r>
      <w:r w:rsidRPr="00D672FA">
        <w:rPr>
          <w:rFonts w:ascii="Times New Roman" w:hAnsi="Times New Roman" w:cs="Times New Roman"/>
          <w:sz w:val="24"/>
          <w:szCs w:val="24"/>
          <w:vertAlign w:val="superscript"/>
        </w:rPr>
        <w:t>th</w:t>
      </w:r>
      <w:r w:rsidRPr="00D672FA">
        <w:rPr>
          <w:rFonts w:ascii="Times New Roman" w:hAnsi="Times New Roman" w:cs="Times New Roman"/>
          <w:sz w:val="24"/>
          <w:szCs w:val="24"/>
        </w:rPr>
        <w:t xml:space="preserve"> November 1947, and the day on which “it shall be declared that the state of emergency shall cease to exist”. Along with the ‘state of emergency’, the law continues to apply. Further, the law even applies to persons who left their ordinary place of residence in Palestine, to another location in Palestine. Such persons are referred to as ‘</w:t>
      </w:r>
      <w:r w:rsidRPr="00D672FA">
        <w:rPr>
          <w:rFonts w:ascii="Times New Roman" w:hAnsi="Times New Roman" w:cs="Times New Roman"/>
          <w:bCs/>
          <w:i/>
          <w:iCs/>
          <w:sz w:val="24"/>
          <w:szCs w:val="24"/>
        </w:rPr>
        <w:t>Present Absentees</w:t>
      </w:r>
      <w:r w:rsidRPr="00D672FA">
        <w:rPr>
          <w:rFonts w:ascii="Times New Roman" w:hAnsi="Times New Roman" w:cs="Times New Roman"/>
          <w:sz w:val="24"/>
          <w:szCs w:val="24"/>
        </w:rPr>
        <w:t>’, to whom Absentee Law also applies. Absentee property is any property, within Israel, that the ‘absentee’ owns or has a right to. This requirement that the property itself be located within the State of Israel, also applies to East Jerusalem subsequent to Israel’s illegal 1967 annexation.</w:t>
      </w:r>
    </w:p>
    <w:p w:rsidR="00DA7119" w:rsidRPr="00D672FA" w:rsidRDefault="00DA7119" w:rsidP="00D672FA">
      <w:pPr>
        <w:pStyle w:val="Heading3"/>
        <w:jc w:val="both"/>
        <w:rPr>
          <w:rFonts w:ascii="Times New Roman" w:hAnsi="Times New Roman"/>
        </w:rPr>
      </w:pPr>
      <w:r w:rsidRPr="00D672FA">
        <w:rPr>
          <w:rFonts w:ascii="Times New Roman" w:hAnsi="Times New Roman"/>
        </w:rPr>
        <w:t>Custodian</w:t>
      </w:r>
    </w:p>
    <w:p w:rsidR="00DA7119" w:rsidRPr="00D672FA" w:rsidRDefault="00DA7119" w:rsidP="00D672FA">
      <w:pPr>
        <w:spacing w:before="120" w:after="120"/>
        <w:jc w:val="both"/>
        <w:rPr>
          <w:rFonts w:ascii="Times New Roman" w:hAnsi="Times New Roman" w:cs="Times New Roman"/>
          <w:sz w:val="24"/>
          <w:szCs w:val="24"/>
        </w:rPr>
      </w:pPr>
      <w:r w:rsidRPr="00D672FA">
        <w:rPr>
          <w:rFonts w:ascii="Times New Roman" w:hAnsi="Times New Roman" w:cs="Times New Roman"/>
          <w:sz w:val="24"/>
          <w:szCs w:val="24"/>
        </w:rPr>
        <w:t xml:space="preserve">The Custodian of Absentee Property is appointed by the Israeli Minister of Finance to retain possession of “absentee property” pursuant to a prescribed manner. As these rights are automatically transferred no notice of this transfer is given to the owner and they may only be made aware of it when granted an eviction order, or when attempting to sell the property. </w:t>
      </w:r>
    </w:p>
    <w:p w:rsidR="00DA7119" w:rsidRPr="00D672FA" w:rsidRDefault="00DA7119" w:rsidP="00D672FA">
      <w:pPr>
        <w:spacing w:before="120" w:after="120"/>
        <w:jc w:val="both"/>
        <w:rPr>
          <w:rFonts w:ascii="Times New Roman" w:hAnsi="Times New Roman" w:cs="Times New Roman"/>
          <w:sz w:val="24"/>
          <w:szCs w:val="24"/>
        </w:rPr>
      </w:pPr>
      <w:r w:rsidRPr="00D672FA">
        <w:rPr>
          <w:rFonts w:ascii="Times New Roman" w:hAnsi="Times New Roman" w:cs="Times New Roman"/>
          <w:sz w:val="24"/>
          <w:szCs w:val="24"/>
        </w:rPr>
        <w:t xml:space="preserve">Article 17(a) outlines that, should the Custodian designate or ‘believe’ that a certain property is owned by an absentee, </w:t>
      </w:r>
      <w:proofErr w:type="gramStart"/>
      <w:r w:rsidRPr="00D672FA">
        <w:rPr>
          <w:rFonts w:ascii="Times New Roman" w:hAnsi="Times New Roman" w:cs="Times New Roman"/>
          <w:sz w:val="24"/>
          <w:szCs w:val="24"/>
        </w:rPr>
        <w:t>then</w:t>
      </w:r>
      <w:proofErr w:type="gramEnd"/>
      <w:r w:rsidRPr="00D672FA">
        <w:rPr>
          <w:rFonts w:ascii="Times New Roman" w:hAnsi="Times New Roman" w:cs="Times New Roman"/>
          <w:sz w:val="24"/>
          <w:szCs w:val="24"/>
        </w:rPr>
        <w:t xml:space="preserve"> it is automatically considered so even if the rightful owner can later prove that they were not an ‘absentee’. If the property in question had already been sold to a ‘third’ party, then there is nothing the rightful owner could do to reclaim it, under the principle that the transaction was made in ‘good faith’.</w:t>
      </w:r>
      <w:r w:rsidRPr="00D672FA">
        <w:rPr>
          <w:rStyle w:val="FootnoteReference"/>
          <w:sz w:val="24"/>
          <w:szCs w:val="24"/>
        </w:rPr>
        <w:footnoteReference w:id="23"/>
      </w:r>
      <w:r w:rsidRPr="00D672FA">
        <w:rPr>
          <w:rFonts w:ascii="Times New Roman" w:hAnsi="Times New Roman" w:cs="Times New Roman"/>
          <w:sz w:val="24"/>
          <w:szCs w:val="24"/>
        </w:rPr>
        <w:t xml:space="preserve"> </w:t>
      </w:r>
    </w:p>
    <w:p w:rsidR="00DA7119" w:rsidRPr="00D672FA" w:rsidRDefault="00DA7119" w:rsidP="00D672FA">
      <w:pPr>
        <w:pStyle w:val="Heading3"/>
        <w:jc w:val="both"/>
        <w:rPr>
          <w:rFonts w:ascii="Times New Roman" w:hAnsi="Times New Roman"/>
        </w:rPr>
      </w:pPr>
      <w:r w:rsidRPr="00D672FA">
        <w:rPr>
          <w:rFonts w:ascii="Times New Roman" w:hAnsi="Times New Roman"/>
        </w:rPr>
        <w:t>Privatizing occupied lands</w:t>
      </w:r>
    </w:p>
    <w:p w:rsidR="00DA7119" w:rsidRPr="00D672FA" w:rsidRDefault="00DA7119" w:rsidP="00D672FA">
      <w:pPr>
        <w:spacing w:before="120" w:after="120"/>
        <w:jc w:val="both"/>
        <w:rPr>
          <w:rFonts w:ascii="Times New Roman" w:hAnsi="Times New Roman" w:cs="Times New Roman"/>
          <w:sz w:val="24"/>
          <w:szCs w:val="24"/>
        </w:rPr>
      </w:pPr>
      <w:r w:rsidRPr="00D672FA">
        <w:rPr>
          <w:rFonts w:ascii="Times New Roman" w:hAnsi="Times New Roman" w:cs="Times New Roman"/>
          <w:sz w:val="24"/>
          <w:szCs w:val="24"/>
        </w:rPr>
        <w:t xml:space="preserve">On 3 August 2009, the Israeli Knesset ratified the </w:t>
      </w:r>
      <w:r w:rsidR="00F5423D" w:rsidRPr="00BD55B3">
        <w:rPr>
          <w:rFonts w:ascii="Times New Roman" w:hAnsi="Times New Roman" w:cs="Times New Roman"/>
          <w:i/>
          <w:iCs/>
          <w:sz w:val="24"/>
          <w:szCs w:val="24"/>
        </w:rPr>
        <w:t>Israel Land Administration Law (Amendment</w:t>
      </w:r>
      <w:r w:rsidRPr="00D672FA">
        <w:rPr>
          <w:rFonts w:ascii="Times New Roman" w:hAnsi="Times New Roman" w:cs="Times New Roman"/>
          <w:i/>
          <w:iCs/>
          <w:sz w:val="24"/>
          <w:szCs w:val="24"/>
        </w:rPr>
        <w:t xml:space="preserve"> No. 7) 5769 – 2009</w:t>
      </w:r>
      <w:r w:rsidRPr="00D672FA">
        <w:rPr>
          <w:rFonts w:ascii="Times New Roman" w:hAnsi="Times New Roman" w:cs="Times New Roman"/>
          <w:sz w:val="24"/>
          <w:szCs w:val="24"/>
        </w:rPr>
        <w:t xml:space="preserve"> reforming land management for 93% of the State of Israel’s territory, commonly known as the Land Reform Law. The Law, which applies to Israel-proper and occupied East Jerusalem and the Golan Heights, enables a process of privatizing land comprising 800,000 </w:t>
      </w:r>
      <w:proofErr w:type="spellStart"/>
      <w:r w:rsidRPr="00D672FA">
        <w:rPr>
          <w:rFonts w:ascii="Times New Roman" w:hAnsi="Times New Roman" w:cs="Times New Roman"/>
          <w:sz w:val="24"/>
          <w:szCs w:val="24"/>
        </w:rPr>
        <w:t>dunums</w:t>
      </w:r>
      <w:proofErr w:type="spellEnd"/>
      <w:r w:rsidRPr="00D672FA">
        <w:rPr>
          <w:rFonts w:ascii="Times New Roman" w:hAnsi="Times New Roman" w:cs="Times New Roman"/>
          <w:sz w:val="24"/>
          <w:szCs w:val="24"/>
        </w:rPr>
        <w:t xml:space="preserve"> or 4% of the State. The Law also increases control of land to the Jewish National Fund, an organization that explicitly excludes non-Jewish residents from lands under its management. </w:t>
      </w:r>
    </w:p>
    <w:p w:rsidR="00DA7119" w:rsidRDefault="00DA7119" w:rsidP="00D672FA">
      <w:pPr>
        <w:pStyle w:val="Heading2"/>
        <w:jc w:val="both"/>
        <w:rPr>
          <w:rFonts w:ascii="Times New Roman" w:hAnsi="Times New Roman"/>
        </w:rPr>
      </w:pPr>
      <w:bookmarkStart w:id="0" w:name="_GoBack"/>
      <w:bookmarkEnd w:id="0"/>
      <w:r w:rsidRPr="00D672FA">
        <w:rPr>
          <w:rFonts w:ascii="Times New Roman" w:hAnsi="Times New Roman"/>
        </w:rPr>
        <w:lastRenderedPageBreak/>
        <w:t>Recommendations</w:t>
      </w:r>
    </w:p>
    <w:p w:rsidR="00DA7119" w:rsidRPr="008A5727" w:rsidRDefault="00D868B1" w:rsidP="00D868B1">
      <w:pPr>
        <w:rPr>
          <w:rFonts w:ascii="Times New Roman" w:hAnsi="Times New Roman" w:cs="Times New Roman"/>
          <w:sz w:val="24"/>
          <w:szCs w:val="24"/>
        </w:rPr>
      </w:pPr>
      <w:r>
        <w:rPr>
          <w:rFonts w:ascii="Times New Roman" w:hAnsi="Times New Roman" w:cs="Times New Roman"/>
          <w:sz w:val="24"/>
          <w:szCs w:val="24"/>
          <w:lang w:val="en-GB"/>
        </w:rPr>
        <w:t>We urge t</w:t>
      </w:r>
      <w:r w:rsidR="00DA7119" w:rsidRPr="008A5727">
        <w:rPr>
          <w:rFonts w:ascii="Times New Roman" w:hAnsi="Times New Roman" w:cs="Times New Roman"/>
          <w:sz w:val="24"/>
          <w:szCs w:val="24"/>
          <w:lang w:val="en-GB"/>
        </w:rPr>
        <w:t>he Human Rights Council to:</w:t>
      </w:r>
    </w:p>
    <w:p w:rsidR="00DA7119" w:rsidRDefault="00F328BC" w:rsidP="00F328BC">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Declare </w:t>
      </w:r>
      <w:r w:rsidRPr="00F328BC">
        <w:rPr>
          <w:rFonts w:ascii="Times New Roman" w:hAnsi="Times New Roman" w:cs="Times New Roman"/>
          <w:sz w:val="24"/>
          <w:szCs w:val="24"/>
        </w:rPr>
        <w:t>that Israel's policies aimed at excluding Palestinian refugees from</w:t>
      </w:r>
      <w:r>
        <w:rPr>
          <w:rFonts w:ascii="Times New Roman" w:hAnsi="Times New Roman" w:cs="Times New Roman"/>
          <w:sz w:val="24"/>
          <w:szCs w:val="24"/>
        </w:rPr>
        <w:t xml:space="preserve"> </w:t>
      </w:r>
      <w:r w:rsidRPr="00F328BC">
        <w:rPr>
          <w:rFonts w:ascii="Times New Roman" w:hAnsi="Times New Roman" w:cs="Times New Roman"/>
          <w:sz w:val="24"/>
          <w:szCs w:val="24"/>
        </w:rPr>
        <w:t>their homes of habitual residence, coupled with laws and policies aimed at</w:t>
      </w:r>
      <w:r>
        <w:rPr>
          <w:rFonts w:ascii="Times New Roman" w:hAnsi="Times New Roman" w:cs="Times New Roman"/>
          <w:sz w:val="24"/>
          <w:szCs w:val="24"/>
        </w:rPr>
        <w:t xml:space="preserve"> </w:t>
      </w:r>
      <w:r w:rsidRPr="00F328BC">
        <w:rPr>
          <w:rFonts w:ascii="Times New Roman" w:hAnsi="Times New Roman" w:cs="Times New Roman"/>
          <w:sz w:val="24"/>
          <w:szCs w:val="24"/>
        </w:rPr>
        <w:t>diminishing the number of Palestin</w:t>
      </w:r>
      <w:r>
        <w:rPr>
          <w:rFonts w:ascii="Times New Roman" w:hAnsi="Times New Roman" w:cs="Times New Roman"/>
          <w:sz w:val="24"/>
          <w:szCs w:val="24"/>
        </w:rPr>
        <w:t xml:space="preserve">ians </w:t>
      </w:r>
      <w:r w:rsidRPr="00F328BC">
        <w:rPr>
          <w:rFonts w:ascii="Times New Roman" w:hAnsi="Times New Roman" w:cs="Times New Roman"/>
          <w:sz w:val="24"/>
          <w:szCs w:val="24"/>
        </w:rPr>
        <w:t>within Israel</w:t>
      </w:r>
      <w:r>
        <w:rPr>
          <w:rFonts w:ascii="Times New Roman" w:hAnsi="Times New Roman" w:cs="Times New Roman"/>
          <w:sz w:val="24"/>
          <w:szCs w:val="24"/>
        </w:rPr>
        <w:t xml:space="preserve"> proper and the occupied Palestinian territory</w:t>
      </w:r>
      <w:r w:rsidRPr="00F328BC">
        <w:rPr>
          <w:rFonts w:ascii="Times New Roman" w:hAnsi="Times New Roman" w:cs="Times New Roman"/>
          <w:sz w:val="24"/>
          <w:szCs w:val="24"/>
        </w:rPr>
        <w:t>, amounts to forced</w:t>
      </w:r>
      <w:r>
        <w:rPr>
          <w:rFonts w:ascii="Times New Roman" w:hAnsi="Times New Roman" w:cs="Times New Roman"/>
          <w:sz w:val="24"/>
          <w:szCs w:val="24"/>
        </w:rPr>
        <w:t xml:space="preserve"> </w:t>
      </w:r>
      <w:r w:rsidRPr="00F328BC">
        <w:rPr>
          <w:rFonts w:ascii="Times New Roman" w:hAnsi="Times New Roman" w:cs="Times New Roman"/>
          <w:sz w:val="24"/>
          <w:szCs w:val="24"/>
        </w:rPr>
        <w:t>population transfer.</w:t>
      </w:r>
    </w:p>
    <w:p w:rsidR="001772B6" w:rsidRPr="00F328BC" w:rsidRDefault="001772B6" w:rsidP="001772B6">
      <w:pPr>
        <w:pStyle w:val="ListParagraph"/>
        <w:jc w:val="both"/>
        <w:rPr>
          <w:rFonts w:ascii="Times New Roman" w:hAnsi="Times New Roman" w:cs="Times New Roman"/>
          <w:sz w:val="24"/>
          <w:szCs w:val="24"/>
        </w:rPr>
      </w:pPr>
    </w:p>
    <w:p w:rsidR="00DA7119" w:rsidRDefault="00DF186A" w:rsidP="00D672FA">
      <w:pPr>
        <w:pStyle w:val="ListParagraph"/>
        <w:numPr>
          <w:ilvl w:val="0"/>
          <w:numId w:val="1"/>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Urge Israel to r</w:t>
      </w:r>
      <w:r w:rsidR="00DA7119" w:rsidRPr="00D672FA">
        <w:rPr>
          <w:rFonts w:ascii="Times New Roman" w:hAnsi="Times New Roman" w:cs="Times New Roman"/>
          <w:sz w:val="24"/>
          <w:szCs w:val="24"/>
        </w:rPr>
        <w:t>ecognize and facilitate the right of Palestinian refugees to return to their homes, to compensation, and to restitution, by amending the discriminatory laws that permit only Jewish nationals to enjoy th</w:t>
      </w:r>
      <w:r w:rsidR="00DA7119">
        <w:rPr>
          <w:rFonts w:ascii="Times New Roman" w:hAnsi="Times New Roman" w:cs="Times New Roman"/>
          <w:sz w:val="24"/>
          <w:szCs w:val="24"/>
        </w:rPr>
        <w:t>e benefits of the Law of Return.</w:t>
      </w:r>
    </w:p>
    <w:p w:rsidR="00DA7119" w:rsidRDefault="00DA7119" w:rsidP="00430324">
      <w:pPr>
        <w:pStyle w:val="ListParagraph"/>
        <w:autoSpaceDE w:val="0"/>
        <w:autoSpaceDN w:val="0"/>
        <w:adjustRightInd w:val="0"/>
        <w:spacing w:after="0"/>
        <w:jc w:val="both"/>
        <w:rPr>
          <w:rFonts w:ascii="Times New Roman" w:hAnsi="Times New Roman" w:cs="Times New Roman"/>
          <w:sz w:val="24"/>
          <w:szCs w:val="24"/>
        </w:rPr>
      </w:pPr>
    </w:p>
    <w:p w:rsidR="00DA7119" w:rsidRPr="00430324" w:rsidRDefault="004577AF" w:rsidP="0043032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Urge</w:t>
      </w:r>
      <w:r w:rsidR="00DF186A">
        <w:rPr>
          <w:rFonts w:ascii="Times New Roman" w:hAnsi="Times New Roman" w:cs="Times New Roman"/>
          <w:sz w:val="24"/>
          <w:szCs w:val="24"/>
        </w:rPr>
        <w:t xml:space="preserve"> Israel to e</w:t>
      </w:r>
      <w:r w:rsidR="00DA7119">
        <w:rPr>
          <w:rFonts w:ascii="Times New Roman" w:hAnsi="Times New Roman" w:cs="Times New Roman"/>
          <w:sz w:val="24"/>
          <w:szCs w:val="24"/>
        </w:rPr>
        <w:t xml:space="preserve">stablish </w:t>
      </w:r>
      <w:r w:rsidR="00DF186A">
        <w:rPr>
          <w:rFonts w:ascii="Times New Roman" w:hAnsi="Times New Roman" w:cs="Times New Roman"/>
          <w:sz w:val="24"/>
          <w:szCs w:val="24"/>
        </w:rPr>
        <w:t xml:space="preserve">legal and proper </w:t>
      </w:r>
      <w:r w:rsidR="00DA7119">
        <w:rPr>
          <w:rFonts w:ascii="Times New Roman" w:hAnsi="Times New Roman" w:cs="Times New Roman"/>
          <w:sz w:val="24"/>
          <w:szCs w:val="24"/>
        </w:rPr>
        <w:t>mechanisms aiming at r</w:t>
      </w:r>
      <w:r w:rsidR="00DA7119" w:rsidRPr="00430324">
        <w:rPr>
          <w:rFonts w:ascii="Times New Roman" w:hAnsi="Times New Roman" w:cs="Times New Roman"/>
          <w:sz w:val="24"/>
          <w:szCs w:val="24"/>
        </w:rPr>
        <w:t>eturn</w:t>
      </w:r>
      <w:r w:rsidR="00DA7119">
        <w:rPr>
          <w:rFonts w:ascii="Times New Roman" w:hAnsi="Times New Roman" w:cs="Times New Roman"/>
          <w:sz w:val="24"/>
          <w:szCs w:val="24"/>
        </w:rPr>
        <w:t>ing</w:t>
      </w:r>
      <w:r w:rsidR="00DA7119" w:rsidRPr="00430324">
        <w:rPr>
          <w:rFonts w:ascii="Times New Roman" w:hAnsi="Times New Roman" w:cs="Times New Roman"/>
          <w:sz w:val="24"/>
          <w:szCs w:val="24"/>
        </w:rPr>
        <w:t xml:space="preserve"> all property confiscated under the Absentee Property Law to their original owners.</w:t>
      </w:r>
    </w:p>
    <w:p w:rsidR="00DA7119" w:rsidRPr="00430324" w:rsidRDefault="00DA7119" w:rsidP="00430324">
      <w:pPr>
        <w:pStyle w:val="ListParagraph"/>
        <w:rPr>
          <w:sz w:val="24"/>
          <w:szCs w:val="24"/>
        </w:rPr>
      </w:pPr>
    </w:p>
    <w:p w:rsidR="00DA7119" w:rsidRDefault="004577AF" w:rsidP="00D672FA">
      <w:pPr>
        <w:pStyle w:val="ListParagraph"/>
        <w:numPr>
          <w:ilvl w:val="0"/>
          <w:numId w:val="1"/>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Urge Israel to amend </w:t>
      </w:r>
      <w:r w:rsidR="00DA7119" w:rsidRPr="00D672FA">
        <w:rPr>
          <w:rFonts w:ascii="Times New Roman" w:hAnsi="Times New Roman" w:cs="Times New Roman"/>
          <w:sz w:val="24"/>
          <w:szCs w:val="24"/>
        </w:rPr>
        <w:t>the Land Acquisition for Public Purposes Ordinance (1943) to afford mechanisms for Palestinian refugees, who have been displaced from their homes and unable to claim their private lands, to make those claims.</w:t>
      </w:r>
    </w:p>
    <w:p w:rsidR="00DA7119" w:rsidRPr="00D672FA" w:rsidRDefault="00DA7119" w:rsidP="00E643E0">
      <w:pPr>
        <w:pStyle w:val="ListParagraph"/>
        <w:autoSpaceDE w:val="0"/>
        <w:autoSpaceDN w:val="0"/>
        <w:adjustRightInd w:val="0"/>
        <w:spacing w:after="0"/>
        <w:jc w:val="both"/>
        <w:rPr>
          <w:rFonts w:ascii="Times New Roman" w:hAnsi="Times New Roman" w:cs="Times New Roman"/>
          <w:sz w:val="24"/>
          <w:szCs w:val="24"/>
        </w:rPr>
      </w:pPr>
    </w:p>
    <w:p w:rsidR="00DA7119" w:rsidRPr="00430324" w:rsidRDefault="004577AF" w:rsidP="00430324">
      <w:pPr>
        <w:pStyle w:val="ListParagraph"/>
        <w:numPr>
          <w:ilvl w:val="0"/>
          <w:numId w:val="1"/>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Urge Israel to r</w:t>
      </w:r>
      <w:r w:rsidR="00DA7119" w:rsidRPr="00D672FA">
        <w:rPr>
          <w:rFonts w:ascii="Times New Roman" w:hAnsi="Times New Roman" w:cs="Times New Roman"/>
          <w:sz w:val="24"/>
          <w:szCs w:val="24"/>
        </w:rPr>
        <w:t>epeal the Land Administration Law (Amendment No. 7) 5769 – 2009 (commonly known as Land Reform Law) and ensure that refugees’ property is not privatized.</w:t>
      </w:r>
    </w:p>
    <w:sectPr w:rsidR="00DA7119" w:rsidRPr="00430324" w:rsidSect="00972A9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40B4" w:rsidRDefault="00FC40B4" w:rsidP="00FA04B0">
      <w:pPr>
        <w:spacing w:after="0" w:line="240" w:lineRule="auto"/>
      </w:pPr>
      <w:r>
        <w:separator/>
      </w:r>
    </w:p>
  </w:endnote>
  <w:endnote w:type="continuationSeparator" w:id="0">
    <w:p w:rsidR="00FC40B4" w:rsidRDefault="00FC40B4" w:rsidP="00FA04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40B4" w:rsidRDefault="00FC40B4" w:rsidP="00FA04B0">
      <w:pPr>
        <w:spacing w:after="0" w:line="240" w:lineRule="auto"/>
      </w:pPr>
      <w:r>
        <w:separator/>
      </w:r>
    </w:p>
  </w:footnote>
  <w:footnote w:type="continuationSeparator" w:id="0">
    <w:p w:rsidR="00FC40B4" w:rsidRDefault="00FC40B4" w:rsidP="00FA04B0">
      <w:pPr>
        <w:spacing w:after="0" w:line="240" w:lineRule="auto"/>
      </w:pPr>
      <w:r>
        <w:continuationSeparator/>
      </w:r>
    </w:p>
  </w:footnote>
  <w:footnote w:id="1">
    <w:p w:rsidR="00DA7119" w:rsidRDefault="00DA7119" w:rsidP="000353E9">
      <w:pPr>
        <w:pStyle w:val="FootnoteText"/>
      </w:pPr>
      <w:r w:rsidRPr="00D672FA">
        <w:rPr>
          <w:rStyle w:val="FootnoteReference"/>
          <w:sz w:val="20"/>
        </w:rPr>
        <w:footnoteRef/>
      </w:r>
      <w:r w:rsidRPr="00D672FA">
        <w:t xml:space="preserve"> See </w:t>
      </w:r>
      <w:r w:rsidRPr="00D672FA">
        <w:rPr>
          <w:lang w:val="en-IE"/>
        </w:rPr>
        <w:t xml:space="preserve">BADIL </w:t>
      </w:r>
      <w:r w:rsidRPr="00D672FA">
        <w:rPr>
          <w:i/>
          <w:iCs/>
        </w:rPr>
        <w:t>Survey of Palestinian Refugees and Internally Displaced Persons, 2010-2012</w:t>
      </w:r>
      <w:r w:rsidRPr="00D672FA">
        <w:t xml:space="preserve">, </w:t>
      </w:r>
      <w:proofErr w:type="spellStart"/>
      <w:smartTag w:uri="urn:schemas-microsoft-com:office:smarttags" w:element="place">
        <w:smartTag w:uri="urn:schemas-microsoft-com:office:smarttags" w:element="PlaceName">
          <w:r w:rsidRPr="00D672FA">
            <w:t>Badil</w:t>
          </w:r>
        </w:smartTag>
        <w:proofErr w:type="spellEnd"/>
        <w:r w:rsidRPr="00D672FA">
          <w:t xml:space="preserve"> </w:t>
        </w:r>
        <w:smartTag w:uri="urn:schemas-microsoft-com:office:smarttags" w:element="PlaceName">
          <w:r w:rsidRPr="00D672FA">
            <w:t>Resource</w:t>
          </w:r>
        </w:smartTag>
        <w:r w:rsidRPr="00D672FA">
          <w:t xml:space="preserve"> </w:t>
        </w:r>
        <w:smartTag w:uri="urn:schemas-microsoft-com:office:smarttags" w:element="PlaceType">
          <w:r w:rsidRPr="00D672FA">
            <w:t>Center</w:t>
          </w:r>
        </w:smartTag>
      </w:smartTag>
      <w:r w:rsidRPr="00D672FA">
        <w:t xml:space="preserve"> for Palestinian Residency &amp; Refugee Rights (2012) at: </w:t>
      </w:r>
      <w:hyperlink r:id="rId1" w:history="1">
        <w:r w:rsidRPr="00D672FA">
          <w:rPr>
            <w:rStyle w:val="Hyperlink"/>
          </w:rPr>
          <w:t>http://badil.org/en/documents/category/35-publications?download=1021%3Asurvay-2012&amp;start=10</w:t>
        </w:r>
      </w:hyperlink>
      <w:r w:rsidRPr="00D672FA">
        <w:t>.</w:t>
      </w:r>
    </w:p>
  </w:footnote>
  <w:footnote w:id="2">
    <w:p w:rsidR="00DA7119" w:rsidRDefault="00DA7119" w:rsidP="002A54CB">
      <w:pPr>
        <w:pStyle w:val="FootnoteText"/>
      </w:pPr>
      <w:r w:rsidRPr="00D672FA">
        <w:rPr>
          <w:rStyle w:val="FootnoteReference"/>
          <w:sz w:val="20"/>
        </w:rPr>
        <w:footnoteRef/>
      </w:r>
      <w:r w:rsidRPr="00D672FA">
        <w:t xml:space="preserve"> UNRWA statistics at: </w:t>
      </w:r>
      <w:r w:rsidRPr="002A54CB">
        <w:t>http://www.unrwa.org/sites/default/files/2013042435340.pdf</w:t>
      </w:r>
    </w:p>
  </w:footnote>
  <w:footnote w:id="3">
    <w:p w:rsidR="00DA7119" w:rsidRDefault="00DA7119" w:rsidP="00A4630D">
      <w:pPr>
        <w:pStyle w:val="FootnoteText"/>
      </w:pPr>
      <w:r w:rsidRPr="00D672FA">
        <w:rPr>
          <w:rStyle w:val="FootnoteReference"/>
          <w:sz w:val="20"/>
        </w:rPr>
        <w:footnoteRef/>
      </w:r>
      <w:r w:rsidRPr="00D672FA">
        <w:t xml:space="preserve"> See BADIL, Israeli Land Grab and Forced Population Transfer of Palestinians, </w:t>
      </w:r>
      <w:proofErr w:type="spellStart"/>
      <w:smartTag w:uri="urn:schemas-microsoft-com:office:smarttags" w:element="PlaceName">
        <w:smartTag w:uri="urn:schemas-microsoft-com:office:smarttags" w:element="place">
          <w:r w:rsidRPr="00D672FA">
            <w:t>Badil</w:t>
          </w:r>
        </w:smartTag>
        <w:proofErr w:type="spellEnd"/>
        <w:r w:rsidRPr="00D672FA">
          <w:t xml:space="preserve"> </w:t>
        </w:r>
        <w:smartTag w:uri="urn:schemas-microsoft-com:office:smarttags" w:element="country-region">
          <w:r w:rsidRPr="00D672FA">
            <w:t>Resource</w:t>
          </w:r>
        </w:smartTag>
        <w:r w:rsidRPr="00D672FA">
          <w:t xml:space="preserve"> </w:t>
        </w:r>
        <w:smartTag w:uri="urn:schemas-microsoft-com:office:smarttags" w:element="country-region">
          <w:r w:rsidRPr="00D672FA">
            <w:t>Center</w:t>
          </w:r>
        </w:smartTag>
      </w:smartTag>
      <w:r w:rsidRPr="00D672FA">
        <w:t xml:space="preserve"> for Palestinian Residency &amp; Refugee Rights (2013) at: </w:t>
      </w:r>
      <w:hyperlink r:id="rId2" w:history="1">
        <w:r w:rsidRPr="00D672FA">
          <w:rPr>
            <w:rStyle w:val="Hyperlink"/>
          </w:rPr>
          <w:t>http://badil.org/en/documents/category/35-publications?download=1045%3Abadil-handbook</w:t>
        </w:r>
      </w:hyperlink>
      <w:r w:rsidRPr="00D672FA">
        <w:t>; See Amjad Alqasis. “The Ongoing Nakba: The continuous forcible displacement of the Palestinian people”, al-</w:t>
      </w:r>
      <w:proofErr w:type="spellStart"/>
      <w:r w:rsidRPr="00D672FA">
        <w:t>Majdal</w:t>
      </w:r>
      <w:proofErr w:type="spellEnd"/>
      <w:r w:rsidRPr="00D672FA">
        <w:t xml:space="preserve"> (Autumn 2012) at: </w:t>
      </w:r>
      <w:hyperlink r:id="rId3" w:history="1">
        <w:r w:rsidRPr="00D672FA">
          <w:rPr>
            <w:rStyle w:val="Hyperlink"/>
          </w:rPr>
          <w:t>http://badil.org/en/al-majdal/item/1830-art3</w:t>
        </w:r>
      </w:hyperlink>
      <w:r w:rsidRPr="00D672FA">
        <w:t>.</w:t>
      </w:r>
    </w:p>
  </w:footnote>
  <w:footnote w:id="4">
    <w:p w:rsidR="00DA7119" w:rsidRDefault="00DA7119" w:rsidP="00D672FA">
      <w:pPr>
        <w:pStyle w:val="FootnoteText"/>
      </w:pPr>
      <w:r w:rsidRPr="00D672FA">
        <w:rPr>
          <w:rStyle w:val="FootnoteReference"/>
          <w:sz w:val="20"/>
        </w:rPr>
        <w:footnoteRef/>
      </w:r>
      <w:r w:rsidRPr="00D672FA">
        <w:t xml:space="preserve"> </w:t>
      </w:r>
      <w:r w:rsidRPr="00D672FA">
        <w:rPr>
          <w:smallCaps/>
        </w:rPr>
        <w:t>Gail J. Boling, BADIL</w:t>
      </w:r>
      <w:r w:rsidRPr="00D672FA">
        <w:t xml:space="preserve">, </w:t>
      </w:r>
      <w:r w:rsidRPr="00D672FA">
        <w:rPr>
          <w:smallCaps/>
        </w:rPr>
        <w:t xml:space="preserve">The 1948 </w:t>
      </w:r>
      <w:proofErr w:type="spellStart"/>
      <w:r w:rsidRPr="00D672FA">
        <w:rPr>
          <w:smallCaps/>
        </w:rPr>
        <w:t>Palesinian</w:t>
      </w:r>
      <w:proofErr w:type="spellEnd"/>
      <w:r w:rsidRPr="00D672FA">
        <w:rPr>
          <w:smallCaps/>
        </w:rPr>
        <w:t xml:space="preserve"> Refugees and the Individual Right of Return An International Law Analysis 5, 9 </w:t>
      </w:r>
      <w:r w:rsidRPr="00D672FA">
        <w:t xml:space="preserve">(2007), </w:t>
      </w:r>
      <w:r w:rsidRPr="00D672FA">
        <w:rPr>
          <w:i/>
          <w:iCs/>
        </w:rPr>
        <w:t xml:space="preserve">available at </w:t>
      </w:r>
      <w:hyperlink r:id="rId4" w:history="1">
        <w:r w:rsidRPr="00D672FA">
          <w:rPr>
            <w:rStyle w:val="Hyperlink"/>
          </w:rPr>
          <w:t>http://www.badil.org/en/documents/category/35-publications?download=101%3Aindividualror-en</w:t>
        </w:r>
      </w:hyperlink>
      <w:r w:rsidRPr="00D672FA">
        <w:t xml:space="preserve">; Russell Tribunal on Palestine, </w:t>
      </w:r>
      <w:r w:rsidRPr="00D672FA">
        <w:rPr>
          <w:i/>
          <w:iCs/>
        </w:rPr>
        <w:t>Executive Summary of the Findings of the Fourth Session of the Russell Tribunal</w:t>
      </w:r>
      <w:r w:rsidRPr="00D672FA">
        <w:t xml:space="preserve">, Russell Tribunal on Palestine (Oct. 2012), </w:t>
      </w:r>
      <w:r w:rsidRPr="00D672FA">
        <w:rPr>
          <w:i/>
          <w:iCs/>
        </w:rPr>
        <w:t>available at</w:t>
      </w:r>
      <w:r w:rsidRPr="00D672FA">
        <w:t xml:space="preserve"> </w:t>
      </w:r>
      <w:hyperlink r:id="rId5" w:history="1">
        <w:r w:rsidRPr="00D672FA">
          <w:rPr>
            <w:rStyle w:val="Hyperlink"/>
          </w:rPr>
          <w:t>http://www.russelltribunalonpalestine.com/en/sessions/future-sessions</w:t>
        </w:r>
      </w:hyperlink>
      <w:r w:rsidRPr="00D672FA">
        <w:t>.</w:t>
      </w:r>
    </w:p>
  </w:footnote>
  <w:footnote w:id="5">
    <w:p w:rsidR="00BD55B3" w:rsidRDefault="00BD55B3" w:rsidP="00BD55B3">
      <w:pPr>
        <w:pStyle w:val="FootnoteText"/>
      </w:pPr>
      <w:r w:rsidRPr="00D672FA">
        <w:rPr>
          <w:rStyle w:val="FootnoteReference"/>
          <w:sz w:val="20"/>
        </w:rPr>
        <w:footnoteRef/>
      </w:r>
      <w:r w:rsidRPr="00D672FA">
        <w:t xml:space="preserve"> Ibid.</w:t>
      </w:r>
    </w:p>
  </w:footnote>
  <w:footnote w:id="6">
    <w:p w:rsidR="00DA7119" w:rsidRDefault="00DA7119" w:rsidP="00112DC9">
      <w:pPr>
        <w:autoSpaceDE w:val="0"/>
        <w:autoSpaceDN w:val="0"/>
        <w:adjustRightInd w:val="0"/>
        <w:spacing w:after="0" w:line="240" w:lineRule="auto"/>
      </w:pPr>
      <w:r w:rsidRPr="00D672FA">
        <w:rPr>
          <w:rStyle w:val="FootnoteReference"/>
          <w:sz w:val="20"/>
          <w:szCs w:val="20"/>
        </w:rPr>
        <w:footnoteRef/>
      </w:r>
      <w:r w:rsidRPr="00D672FA">
        <w:rPr>
          <w:rFonts w:ascii="Times New Roman" w:hAnsi="Times New Roman" w:cs="Times New Roman"/>
          <w:sz w:val="20"/>
          <w:szCs w:val="20"/>
        </w:rPr>
        <w:t xml:space="preserve"> See </w:t>
      </w:r>
      <w:proofErr w:type="spellStart"/>
      <w:r w:rsidRPr="00D672FA">
        <w:rPr>
          <w:rFonts w:ascii="Times New Roman" w:hAnsi="Times New Roman" w:cs="Times New Roman"/>
          <w:sz w:val="20"/>
          <w:szCs w:val="20"/>
        </w:rPr>
        <w:t>Haneen</w:t>
      </w:r>
      <w:proofErr w:type="spellEnd"/>
      <w:r w:rsidRPr="00D672FA">
        <w:rPr>
          <w:rFonts w:ascii="Times New Roman" w:hAnsi="Times New Roman" w:cs="Times New Roman"/>
          <w:sz w:val="20"/>
          <w:szCs w:val="20"/>
        </w:rPr>
        <w:t xml:space="preserve"> </w:t>
      </w:r>
      <w:proofErr w:type="spellStart"/>
      <w:r w:rsidRPr="00D672FA">
        <w:rPr>
          <w:rFonts w:ascii="Times New Roman" w:hAnsi="Times New Roman" w:cs="Times New Roman"/>
          <w:sz w:val="20"/>
          <w:szCs w:val="20"/>
        </w:rPr>
        <w:t>Na'amnih</w:t>
      </w:r>
      <w:proofErr w:type="spellEnd"/>
      <w:r w:rsidRPr="00D672FA">
        <w:rPr>
          <w:rFonts w:ascii="Times New Roman" w:hAnsi="Times New Roman" w:cs="Times New Roman"/>
          <w:sz w:val="20"/>
          <w:szCs w:val="20"/>
        </w:rPr>
        <w:t xml:space="preserve">, “New Anti-Arab </w:t>
      </w:r>
      <w:r w:rsidR="00BD55B3" w:rsidRPr="00D672FA">
        <w:rPr>
          <w:rFonts w:ascii="Times New Roman" w:hAnsi="Times New Roman" w:cs="Times New Roman"/>
          <w:sz w:val="20"/>
          <w:szCs w:val="20"/>
        </w:rPr>
        <w:t>Legislation</w:t>
      </w:r>
      <w:r w:rsidRPr="00D672FA">
        <w:rPr>
          <w:rFonts w:ascii="Times New Roman" w:hAnsi="Times New Roman" w:cs="Times New Roman"/>
          <w:sz w:val="20"/>
          <w:szCs w:val="20"/>
        </w:rPr>
        <w:t xml:space="preserve">,” Adalah Newsletter, Volume 50, July 2008; See also “Israel begins revoking citizenship of four Arabs,” </w:t>
      </w:r>
      <w:proofErr w:type="spellStart"/>
      <w:r w:rsidRPr="00D672FA">
        <w:rPr>
          <w:rFonts w:ascii="Times New Roman" w:hAnsi="Times New Roman" w:cs="Times New Roman"/>
          <w:sz w:val="20"/>
          <w:szCs w:val="20"/>
        </w:rPr>
        <w:t>Haaretz</w:t>
      </w:r>
      <w:proofErr w:type="spellEnd"/>
      <w:r w:rsidRPr="00D672FA">
        <w:rPr>
          <w:rFonts w:ascii="Times New Roman" w:hAnsi="Times New Roman" w:cs="Times New Roman"/>
          <w:sz w:val="20"/>
          <w:szCs w:val="20"/>
        </w:rPr>
        <w:t>, (6 May 2009); See also John Quigley, “Family Reunion and the Rights to Return to Occupied Territory,” Georgetown Immigration Law Journal, 6 (1992).</w:t>
      </w:r>
    </w:p>
  </w:footnote>
  <w:footnote w:id="7">
    <w:p w:rsidR="00DA7119" w:rsidRDefault="00DA7119">
      <w:pPr>
        <w:pStyle w:val="FootnoteText"/>
      </w:pPr>
      <w:r w:rsidRPr="00D672FA">
        <w:rPr>
          <w:rStyle w:val="FootnoteReference"/>
          <w:sz w:val="20"/>
        </w:rPr>
        <w:footnoteRef/>
      </w:r>
      <w:r w:rsidRPr="00D672FA">
        <w:t xml:space="preserve"> See supra note 1.</w:t>
      </w:r>
    </w:p>
  </w:footnote>
  <w:footnote w:id="8">
    <w:p w:rsidR="00DA7119" w:rsidRDefault="00DA7119" w:rsidP="009B1BD9">
      <w:pPr>
        <w:autoSpaceDE w:val="0"/>
        <w:autoSpaceDN w:val="0"/>
        <w:adjustRightInd w:val="0"/>
        <w:spacing w:after="0" w:line="240" w:lineRule="auto"/>
      </w:pPr>
      <w:r w:rsidRPr="00D672FA">
        <w:rPr>
          <w:rStyle w:val="FootnoteReference"/>
          <w:sz w:val="20"/>
          <w:szCs w:val="20"/>
        </w:rPr>
        <w:footnoteRef/>
      </w:r>
      <w:r w:rsidRPr="00D672FA">
        <w:rPr>
          <w:rFonts w:ascii="Times New Roman" w:hAnsi="Times New Roman" w:cs="Times New Roman"/>
          <w:sz w:val="20"/>
          <w:szCs w:val="20"/>
        </w:rPr>
        <w:t xml:space="preserve"> Passed by Knesset on 20th Tammuz, 5170 (5th July 1950) and Published in </w:t>
      </w:r>
      <w:proofErr w:type="spellStart"/>
      <w:r w:rsidRPr="00D672FA">
        <w:rPr>
          <w:rFonts w:ascii="Times New Roman" w:hAnsi="Times New Roman" w:cs="Times New Roman"/>
          <w:sz w:val="20"/>
          <w:szCs w:val="20"/>
        </w:rPr>
        <w:t>Sefer</w:t>
      </w:r>
      <w:proofErr w:type="spellEnd"/>
      <w:r w:rsidRPr="00D672FA">
        <w:rPr>
          <w:rFonts w:ascii="Times New Roman" w:hAnsi="Times New Roman" w:cs="Times New Roman"/>
          <w:sz w:val="20"/>
          <w:szCs w:val="20"/>
        </w:rPr>
        <w:t xml:space="preserve"> Ha-</w:t>
      </w:r>
      <w:proofErr w:type="spellStart"/>
      <w:r w:rsidRPr="00D672FA">
        <w:rPr>
          <w:rFonts w:ascii="Times New Roman" w:hAnsi="Times New Roman" w:cs="Times New Roman"/>
          <w:sz w:val="20"/>
          <w:szCs w:val="20"/>
        </w:rPr>
        <w:t>Chukkim</w:t>
      </w:r>
      <w:proofErr w:type="spellEnd"/>
      <w:r w:rsidRPr="00D672FA">
        <w:rPr>
          <w:rFonts w:ascii="Times New Roman" w:hAnsi="Times New Roman" w:cs="Times New Roman"/>
          <w:sz w:val="20"/>
          <w:szCs w:val="20"/>
        </w:rPr>
        <w:t xml:space="preserve"> No. 51 of the 21</w:t>
      </w:r>
      <w:r w:rsidRPr="00D672FA">
        <w:rPr>
          <w:rFonts w:ascii="Times New Roman" w:hAnsi="Times New Roman" w:cs="Times New Roman"/>
          <w:sz w:val="20"/>
          <w:szCs w:val="20"/>
          <w:vertAlign w:val="superscript"/>
        </w:rPr>
        <w:t>st</w:t>
      </w:r>
      <w:r w:rsidRPr="00D672FA">
        <w:rPr>
          <w:rFonts w:ascii="Times New Roman" w:hAnsi="Times New Roman" w:cs="Times New Roman"/>
          <w:sz w:val="20"/>
          <w:szCs w:val="20"/>
        </w:rPr>
        <w:t xml:space="preserve"> of Tammuz.</w:t>
      </w:r>
    </w:p>
  </w:footnote>
  <w:footnote w:id="9">
    <w:p w:rsidR="00DA7119" w:rsidRDefault="00DA7119" w:rsidP="009B1BD9">
      <w:pPr>
        <w:autoSpaceDE w:val="0"/>
        <w:autoSpaceDN w:val="0"/>
        <w:adjustRightInd w:val="0"/>
        <w:spacing w:after="0" w:line="240" w:lineRule="auto"/>
      </w:pPr>
      <w:r w:rsidRPr="00D672FA">
        <w:rPr>
          <w:rStyle w:val="FootnoteReference"/>
          <w:sz w:val="20"/>
          <w:szCs w:val="20"/>
        </w:rPr>
        <w:footnoteRef/>
      </w:r>
      <w:r w:rsidRPr="00D672FA">
        <w:rPr>
          <w:rFonts w:ascii="Times New Roman" w:hAnsi="Times New Roman" w:cs="Times New Roman"/>
          <w:sz w:val="20"/>
          <w:szCs w:val="20"/>
        </w:rPr>
        <w:t xml:space="preserve"> Joseph Schechla, The Consequences of Conflating Religion, Race, Nationality, and Citizenship, Al </w:t>
      </w:r>
      <w:proofErr w:type="spellStart"/>
      <w:r w:rsidRPr="00D672FA">
        <w:rPr>
          <w:rFonts w:ascii="Times New Roman" w:hAnsi="Times New Roman" w:cs="Times New Roman"/>
          <w:sz w:val="20"/>
          <w:szCs w:val="20"/>
        </w:rPr>
        <w:t>Majdal</w:t>
      </w:r>
      <w:proofErr w:type="spellEnd"/>
      <w:r w:rsidRPr="00D672FA">
        <w:rPr>
          <w:rFonts w:ascii="Times New Roman" w:hAnsi="Times New Roman" w:cs="Times New Roman"/>
          <w:sz w:val="20"/>
          <w:szCs w:val="20"/>
        </w:rPr>
        <w:t>, Winter-Spring 2010, 14.</w:t>
      </w:r>
    </w:p>
  </w:footnote>
  <w:footnote w:id="10">
    <w:p w:rsidR="00DA7119" w:rsidRDefault="00DA7119" w:rsidP="009A39CF">
      <w:pPr>
        <w:pStyle w:val="NoSpacing"/>
      </w:pPr>
      <w:r w:rsidRPr="00D672FA">
        <w:rPr>
          <w:rStyle w:val="FootnoteReference"/>
          <w:sz w:val="20"/>
          <w:szCs w:val="20"/>
        </w:rPr>
        <w:footnoteRef/>
      </w:r>
      <w:r w:rsidRPr="00D672FA">
        <w:rPr>
          <w:rFonts w:ascii="Times New Roman" w:hAnsi="Times New Roman" w:cs="Times New Roman"/>
          <w:sz w:val="20"/>
          <w:szCs w:val="20"/>
        </w:rPr>
        <w:t xml:space="preserve"> See Supra note 3.</w:t>
      </w:r>
    </w:p>
  </w:footnote>
  <w:footnote w:id="11">
    <w:p w:rsidR="00DA7119" w:rsidRDefault="00DA7119" w:rsidP="009A39CF">
      <w:pPr>
        <w:pStyle w:val="NoSpacing"/>
      </w:pPr>
      <w:r w:rsidRPr="00D672FA">
        <w:rPr>
          <w:rStyle w:val="FootnoteReference"/>
          <w:sz w:val="20"/>
          <w:szCs w:val="20"/>
        </w:rPr>
        <w:footnoteRef/>
      </w:r>
      <w:r w:rsidRPr="00D672FA">
        <w:rPr>
          <w:rFonts w:ascii="Times New Roman" w:hAnsi="Times New Roman" w:cs="Times New Roman"/>
          <w:sz w:val="20"/>
          <w:szCs w:val="20"/>
        </w:rPr>
        <w:t xml:space="preserve"> </w:t>
      </w:r>
      <w:proofErr w:type="gramStart"/>
      <w:r w:rsidRPr="00D672FA">
        <w:rPr>
          <w:rFonts w:ascii="Times New Roman" w:hAnsi="Times New Roman" w:cs="Times New Roman"/>
          <w:color w:val="000000"/>
          <w:sz w:val="20"/>
          <w:szCs w:val="20"/>
        </w:rPr>
        <w:t>Order Concerning Government Property (Judea and Samaria) (No. 59), 1967.</w:t>
      </w:r>
      <w:proofErr w:type="gramEnd"/>
    </w:p>
  </w:footnote>
  <w:footnote w:id="12">
    <w:p w:rsidR="00DA7119" w:rsidRDefault="00DA7119" w:rsidP="009A39CF">
      <w:pPr>
        <w:pStyle w:val="NoSpacing"/>
      </w:pPr>
      <w:r w:rsidRPr="00D672FA">
        <w:rPr>
          <w:rStyle w:val="FootnoteReference"/>
          <w:sz w:val="20"/>
          <w:szCs w:val="20"/>
        </w:rPr>
        <w:footnoteRef/>
      </w:r>
      <w:r w:rsidRPr="00D672FA">
        <w:rPr>
          <w:rFonts w:ascii="Times New Roman" w:hAnsi="Times New Roman" w:cs="Times New Roman"/>
          <w:sz w:val="20"/>
          <w:szCs w:val="20"/>
        </w:rPr>
        <w:t xml:space="preserve"> Definitions article in the original version of the Order concerning Government Property, as published in Collections of Proclamations, Orders and Appointments No. 5, 15 November 1967, pp. 162 -165.</w:t>
      </w:r>
    </w:p>
  </w:footnote>
  <w:footnote w:id="13">
    <w:p w:rsidR="00DA7119" w:rsidRDefault="00DA7119" w:rsidP="009A39CF">
      <w:pPr>
        <w:pStyle w:val="NoSpacing"/>
      </w:pPr>
      <w:r w:rsidRPr="00D672FA">
        <w:rPr>
          <w:rStyle w:val="FootnoteReference"/>
          <w:sz w:val="20"/>
          <w:szCs w:val="20"/>
        </w:rPr>
        <w:footnoteRef/>
      </w:r>
      <w:r w:rsidRPr="00D672FA">
        <w:rPr>
          <w:rFonts w:ascii="Times New Roman" w:hAnsi="Times New Roman" w:cs="Times New Roman"/>
          <w:sz w:val="20"/>
          <w:szCs w:val="20"/>
        </w:rPr>
        <w:t xml:space="preserve"> </w:t>
      </w:r>
      <w:proofErr w:type="gramStart"/>
      <w:r w:rsidRPr="00D672FA">
        <w:rPr>
          <w:rFonts w:ascii="Times New Roman" w:hAnsi="Times New Roman" w:cs="Times New Roman"/>
          <w:sz w:val="20"/>
          <w:szCs w:val="20"/>
        </w:rPr>
        <w:t>Article 2 of the Original Version of Order No. 59.</w:t>
      </w:r>
      <w:proofErr w:type="gramEnd"/>
    </w:p>
  </w:footnote>
  <w:footnote w:id="14">
    <w:p w:rsidR="00DA7119" w:rsidRDefault="00DA7119" w:rsidP="009A39CF">
      <w:pPr>
        <w:pStyle w:val="NoSpacing"/>
      </w:pPr>
      <w:r w:rsidRPr="00D672FA">
        <w:rPr>
          <w:rStyle w:val="FootnoteReference"/>
          <w:sz w:val="20"/>
          <w:szCs w:val="20"/>
        </w:rPr>
        <w:footnoteRef/>
      </w:r>
      <w:r w:rsidRPr="00D672FA">
        <w:rPr>
          <w:rFonts w:ascii="Times New Roman" w:hAnsi="Times New Roman" w:cs="Times New Roman"/>
          <w:sz w:val="20"/>
          <w:szCs w:val="20"/>
        </w:rPr>
        <w:t xml:space="preserve"> </w:t>
      </w:r>
      <w:proofErr w:type="gramStart"/>
      <w:r w:rsidRPr="00D672FA">
        <w:rPr>
          <w:rFonts w:ascii="Times New Roman" w:hAnsi="Times New Roman" w:cs="Times New Roman"/>
          <w:sz w:val="20"/>
          <w:szCs w:val="20"/>
        </w:rPr>
        <w:t>Ibid.,</w:t>
      </w:r>
      <w:proofErr w:type="gramEnd"/>
      <w:r w:rsidRPr="00D672FA">
        <w:rPr>
          <w:rFonts w:ascii="Times New Roman" w:hAnsi="Times New Roman" w:cs="Times New Roman"/>
          <w:sz w:val="20"/>
          <w:szCs w:val="20"/>
        </w:rPr>
        <w:t xml:space="preserve"> Article 5.</w:t>
      </w:r>
    </w:p>
  </w:footnote>
  <w:footnote w:id="15">
    <w:p w:rsidR="00DA7119" w:rsidRDefault="00DA7119" w:rsidP="009A39CF">
      <w:pPr>
        <w:pStyle w:val="NoSpacing"/>
      </w:pPr>
      <w:r w:rsidRPr="00D672FA">
        <w:rPr>
          <w:rStyle w:val="FootnoteReference"/>
          <w:sz w:val="20"/>
          <w:szCs w:val="20"/>
        </w:rPr>
        <w:footnoteRef/>
      </w:r>
      <w:r w:rsidRPr="00D672FA">
        <w:rPr>
          <w:rFonts w:ascii="Times New Roman" w:hAnsi="Times New Roman" w:cs="Times New Roman"/>
          <w:sz w:val="20"/>
          <w:szCs w:val="20"/>
        </w:rPr>
        <w:t xml:space="preserve"> Land Registration Study for the Ministry of Planning – by Land Equity International, May 2007 p. 28.</w:t>
      </w:r>
    </w:p>
  </w:footnote>
  <w:footnote w:id="16">
    <w:p w:rsidR="00DA7119" w:rsidRDefault="00DA7119" w:rsidP="009A39CF">
      <w:pPr>
        <w:pStyle w:val="NoSpacing"/>
      </w:pPr>
      <w:r w:rsidRPr="00D672FA">
        <w:rPr>
          <w:rStyle w:val="FootnoteReference"/>
          <w:sz w:val="20"/>
          <w:szCs w:val="20"/>
        </w:rPr>
        <w:footnoteRef/>
      </w:r>
      <w:r w:rsidRPr="00D672FA">
        <w:rPr>
          <w:rFonts w:ascii="Times New Roman" w:hAnsi="Times New Roman" w:cs="Times New Roman"/>
          <w:sz w:val="20"/>
          <w:szCs w:val="20"/>
        </w:rPr>
        <w:t xml:space="preserve"> Order Concerning Government Property (Amendment No. 4) (Judea and Samaria) (No. 364) 1969, Article 2(c).</w:t>
      </w:r>
    </w:p>
  </w:footnote>
  <w:footnote w:id="17">
    <w:p w:rsidR="00DA7119" w:rsidRDefault="00DA7119" w:rsidP="009A39CF">
      <w:pPr>
        <w:pStyle w:val="NoSpacing"/>
      </w:pPr>
      <w:r w:rsidRPr="00D672FA">
        <w:rPr>
          <w:rStyle w:val="FootnoteReference"/>
          <w:sz w:val="20"/>
          <w:szCs w:val="20"/>
        </w:rPr>
        <w:footnoteRef/>
      </w:r>
      <w:r w:rsidRPr="00D672FA">
        <w:rPr>
          <w:rFonts w:ascii="Times New Roman" w:hAnsi="Times New Roman" w:cs="Times New Roman"/>
          <w:sz w:val="20"/>
          <w:szCs w:val="20"/>
        </w:rPr>
        <w:t xml:space="preserve"> </w:t>
      </w:r>
      <w:proofErr w:type="gramStart"/>
      <w:r w:rsidRPr="00D672FA">
        <w:rPr>
          <w:rFonts w:ascii="Times New Roman" w:hAnsi="Times New Roman" w:cs="Times New Roman"/>
          <w:sz w:val="20"/>
          <w:szCs w:val="20"/>
        </w:rPr>
        <w:t>Order Concerning Government Property (Amendment No. 7) (Judea and Samaria) (No. 1091) 1984.</w:t>
      </w:r>
      <w:proofErr w:type="gramEnd"/>
    </w:p>
  </w:footnote>
  <w:footnote w:id="18">
    <w:p w:rsidR="00DA7119" w:rsidRDefault="00DA7119" w:rsidP="009A39CF">
      <w:pPr>
        <w:pStyle w:val="NoSpacing"/>
      </w:pPr>
      <w:r w:rsidRPr="00D672FA">
        <w:rPr>
          <w:rStyle w:val="FootnoteReference"/>
          <w:sz w:val="20"/>
          <w:szCs w:val="20"/>
        </w:rPr>
        <w:footnoteRef/>
      </w:r>
      <w:r w:rsidRPr="00D672FA">
        <w:rPr>
          <w:rFonts w:ascii="Times New Roman" w:hAnsi="Times New Roman" w:cs="Times New Roman"/>
          <w:sz w:val="20"/>
          <w:szCs w:val="20"/>
        </w:rPr>
        <w:t xml:space="preserve"> Sfard, M., Schaeffer, E., et al., “A Guide to Housing Land and Property Law in Area C of the West Bank”, February 2012, p. 46.</w:t>
      </w:r>
    </w:p>
  </w:footnote>
  <w:footnote w:id="19">
    <w:p w:rsidR="00DA7119" w:rsidRDefault="00DA7119" w:rsidP="009A39CF">
      <w:pPr>
        <w:pStyle w:val="NoSpacing"/>
      </w:pPr>
      <w:r w:rsidRPr="00D672FA">
        <w:rPr>
          <w:rStyle w:val="FootnoteReference"/>
          <w:sz w:val="20"/>
          <w:szCs w:val="20"/>
        </w:rPr>
        <w:footnoteRef/>
      </w:r>
      <w:r w:rsidRPr="00D672FA">
        <w:rPr>
          <w:rFonts w:ascii="Times New Roman" w:hAnsi="Times New Roman" w:cs="Times New Roman"/>
          <w:sz w:val="20"/>
          <w:szCs w:val="20"/>
        </w:rPr>
        <w:t xml:space="preserve"> See, for example: HJC 81/285, </w:t>
      </w:r>
      <w:proofErr w:type="spellStart"/>
      <w:r w:rsidRPr="00D672FA">
        <w:rPr>
          <w:rFonts w:ascii="Times New Roman" w:hAnsi="Times New Roman" w:cs="Times New Roman"/>
          <w:sz w:val="20"/>
          <w:szCs w:val="20"/>
        </w:rPr>
        <w:t>Fadil</w:t>
      </w:r>
      <w:proofErr w:type="spellEnd"/>
      <w:r w:rsidRPr="00D672FA">
        <w:rPr>
          <w:rFonts w:ascii="Times New Roman" w:hAnsi="Times New Roman" w:cs="Times New Roman"/>
          <w:sz w:val="20"/>
          <w:szCs w:val="20"/>
        </w:rPr>
        <w:t xml:space="preserve"> Muhammad a-</w:t>
      </w:r>
      <w:proofErr w:type="spellStart"/>
      <w:r w:rsidRPr="00D672FA">
        <w:rPr>
          <w:rFonts w:ascii="Times New Roman" w:hAnsi="Times New Roman" w:cs="Times New Roman"/>
          <w:sz w:val="20"/>
          <w:szCs w:val="20"/>
        </w:rPr>
        <w:t>Nazar</w:t>
      </w:r>
      <w:proofErr w:type="spellEnd"/>
      <w:r w:rsidRPr="00D672FA">
        <w:rPr>
          <w:rFonts w:ascii="Times New Roman" w:hAnsi="Times New Roman" w:cs="Times New Roman"/>
          <w:sz w:val="20"/>
          <w:szCs w:val="20"/>
        </w:rPr>
        <w:t xml:space="preserve"> et al v. Commander of Judea and Samaria et al., </w:t>
      </w:r>
      <w:proofErr w:type="spellStart"/>
      <w:r w:rsidRPr="00D672FA">
        <w:rPr>
          <w:rFonts w:ascii="Times New Roman" w:hAnsi="Times New Roman" w:cs="Times New Roman"/>
          <w:sz w:val="20"/>
          <w:szCs w:val="20"/>
        </w:rPr>
        <w:t>Piskei</w:t>
      </w:r>
      <w:proofErr w:type="spellEnd"/>
      <w:r w:rsidRPr="00D672FA">
        <w:rPr>
          <w:rFonts w:ascii="Times New Roman" w:hAnsi="Times New Roman" w:cs="Times New Roman"/>
          <w:sz w:val="20"/>
          <w:szCs w:val="20"/>
        </w:rPr>
        <w:t xml:space="preserve"> Din 36 (1) 701.</w:t>
      </w:r>
    </w:p>
  </w:footnote>
  <w:footnote w:id="20">
    <w:p w:rsidR="00DA7119" w:rsidRDefault="00DA7119" w:rsidP="00126886">
      <w:pPr>
        <w:pStyle w:val="FootnoteText"/>
      </w:pPr>
      <w:r w:rsidRPr="00D672FA">
        <w:rPr>
          <w:rStyle w:val="FootnoteReference"/>
          <w:sz w:val="20"/>
        </w:rPr>
        <w:footnoteRef/>
      </w:r>
      <w:r w:rsidRPr="00D672FA">
        <w:t xml:space="preserve"> </w:t>
      </w:r>
      <w:r w:rsidR="00E17BD1" w:rsidRPr="00D672FA">
        <w:fldChar w:fldCharType="begin"/>
      </w:r>
      <w:r w:rsidRPr="00D672FA">
        <w:instrText xml:space="preserve"> ADDIN ZOTERO_ITEM CSL_CITATION {"citationID":"KnHNZeB4","properties":{"formattedCitation":"{\\rtf For more information, see: Adalah, BADIL, and Habitat International Coalition (HIC), \\i Recurring Dispossession and Displacement of 1948 Palestinian Refugees in the Occupied Palestinian Territory\\i0{}, Joint written statement to the UN Human Rights Council (August 27, 2009); available from http://unispal.un.org/UNISPAL.NSF/0/0F9AB8AF7EE5F0A185257647006A47D0.}","plainCitation":"For more information, see: Adalah, BADIL, and Habitat International Coalition (HIC), Recurring Dispossession and Displacement of 1948 Palestinian Refugees in the Occupied Palestinian Territory, Joint written statement to the UN Human Rights Council (August 27, 2009); available from http://unispal.un.org/UNISPAL.NSF/0/0F9AB8AF7EE5F0A185257647006A47D0."},"citationItems":[{"id":52,"uris":["http://zotero.org/users/1294736/items/98RC7KDS"],"uri":["http://zotero.org/users/1294736/items/98RC7KDS"],"itemData":{"id":52,"type":"report","title":"Recurring Dispossession and Displacement of 1948 Palestinian Refugees in the Occupied Palestinian Territory","publisher":"Adalah – The Legal Center for Arab Minority Rights in Israel, the Badil Resource Center for Palestinian Residency and Refugee Rights, the Habitat International Coalition (HIC)","genre":"Joint written statement to the UN Human Rights Council","URL":"http://unispal.un.org/UNISPAL.NSF/0/0F9AB8AF7EE5F0A185257647006A47D0","author":[{"family":"Adalah, BADIL, and Habitat International Coalition (HIC)","given":""}],"issued":{"date-parts":[["2009",8,27]]}},"prefix":"For more information, see: "}],"schema":"https://github.com/citation-style-language/schema/raw/master/csl-citation.json"} </w:instrText>
      </w:r>
      <w:r w:rsidR="00E17BD1" w:rsidRPr="00D672FA">
        <w:fldChar w:fldCharType="separate"/>
      </w:r>
      <w:r w:rsidRPr="00D672FA">
        <w:t xml:space="preserve">For more information, see: Adalah, BADIL, and Habitat International Coalition (HIC), </w:t>
      </w:r>
      <w:r w:rsidRPr="00D672FA">
        <w:rPr>
          <w:i/>
          <w:iCs/>
        </w:rPr>
        <w:t>Recurring Dispossession and Displacement of 1948 Palestinian Refugees in the Occupied Palestinian Territory</w:t>
      </w:r>
      <w:r w:rsidRPr="00D672FA">
        <w:t>, Joint written statement to the UN Human Rights Council (August 27, 2009); available from http://unispal.un.org/UNISPAL.NSF/0/0F9AB8AF7EE5F0A185257647006A47D0.</w:t>
      </w:r>
      <w:r w:rsidR="00E17BD1" w:rsidRPr="00D672FA">
        <w:fldChar w:fldCharType="end"/>
      </w:r>
    </w:p>
  </w:footnote>
  <w:footnote w:id="21">
    <w:p w:rsidR="00DA7119" w:rsidRDefault="00DA7119" w:rsidP="00126886">
      <w:pPr>
        <w:pStyle w:val="FootnoteText"/>
      </w:pPr>
      <w:r w:rsidRPr="00D672FA">
        <w:rPr>
          <w:rStyle w:val="FootnoteReference"/>
          <w:sz w:val="20"/>
        </w:rPr>
        <w:footnoteRef/>
      </w:r>
      <w:r w:rsidRPr="00D672FA">
        <w:t xml:space="preserve"> Through a combination of a discriminatory Master Plan, </w:t>
      </w:r>
      <w:proofErr w:type="gramStart"/>
      <w:r w:rsidRPr="00D672FA">
        <w:rPr>
          <w:i/>
          <w:iCs/>
        </w:rPr>
        <w:t>The</w:t>
      </w:r>
      <w:proofErr w:type="gramEnd"/>
      <w:r w:rsidRPr="00D672FA">
        <w:rPr>
          <w:i/>
          <w:iCs/>
        </w:rPr>
        <w:t xml:space="preserve"> National Planning and Building Law (1965)</w:t>
      </w:r>
      <w:r w:rsidRPr="00D672FA">
        <w:t xml:space="preserve"> and the most recent </w:t>
      </w:r>
      <w:proofErr w:type="spellStart"/>
      <w:r w:rsidRPr="00D672FA">
        <w:t>Prawer</w:t>
      </w:r>
      <w:proofErr w:type="spellEnd"/>
      <w:r w:rsidRPr="00D672FA">
        <w:t xml:space="preserve"> Plan, Israel is continuing to implement a forcible removal and relocation of the Palestinian Bedouin originating from the </w:t>
      </w:r>
      <w:proofErr w:type="spellStart"/>
      <w:r w:rsidRPr="00D672FA">
        <w:t>Naqab</w:t>
      </w:r>
      <w:proofErr w:type="spellEnd"/>
      <w:r w:rsidRPr="00D672FA">
        <w:t xml:space="preserve">. </w:t>
      </w:r>
      <w:proofErr w:type="spellStart"/>
      <w:r w:rsidRPr="00D672FA">
        <w:t>Jamjoum</w:t>
      </w:r>
      <w:proofErr w:type="spellEnd"/>
      <w:r w:rsidRPr="00D672FA">
        <w:t xml:space="preserve">, Hazem, </w:t>
      </w:r>
      <w:r w:rsidRPr="00D672FA">
        <w:rPr>
          <w:i/>
          <w:iCs/>
        </w:rPr>
        <w:t>Al-</w:t>
      </w:r>
      <w:proofErr w:type="spellStart"/>
      <w:r w:rsidRPr="00D672FA">
        <w:rPr>
          <w:i/>
          <w:iCs/>
        </w:rPr>
        <w:t>Naqab</w:t>
      </w:r>
      <w:proofErr w:type="spellEnd"/>
      <w:r w:rsidRPr="00D672FA">
        <w:rPr>
          <w:i/>
          <w:iCs/>
        </w:rPr>
        <w:t xml:space="preserve">: </w:t>
      </w:r>
      <w:proofErr w:type="gramStart"/>
      <w:r w:rsidRPr="00D672FA">
        <w:rPr>
          <w:i/>
          <w:iCs/>
        </w:rPr>
        <w:t>The</w:t>
      </w:r>
      <w:proofErr w:type="gramEnd"/>
      <w:r w:rsidRPr="00D672FA">
        <w:rPr>
          <w:i/>
          <w:iCs/>
        </w:rPr>
        <w:t xml:space="preserve"> Ongoing Displacement of Palestine’s Southern Bedouin</w:t>
      </w:r>
      <w:r w:rsidRPr="00D672FA">
        <w:t>, Al-</w:t>
      </w:r>
      <w:proofErr w:type="spellStart"/>
      <w:r w:rsidRPr="00D672FA">
        <w:t>Majdal</w:t>
      </w:r>
      <w:proofErr w:type="spellEnd"/>
      <w:r w:rsidRPr="00D672FA">
        <w:t xml:space="preserve">, (Autumn 2008 – Winter 2009) available at: </w:t>
      </w:r>
      <w:hyperlink r:id="rId6" w:history="1">
        <w:r w:rsidRPr="00D672FA">
          <w:rPr>
            <w:rStyle w:val="Hyperlink"/>
          </w:rPr>
          <w:t>http://www.badil.org/en/al-majdal/item/6-al-naqab-the-ongoing-displacement-of-palestine%5C’s-southern-bedouin</w:t>
        </w:r>
      </w:hyperlink>
      <w:r w:rsidRPr="00D672FA">
        <w:t xml:space="preserve">. </w:t>
      </w:r>
    </w:p>
  </w:footnote>
  <w:footnote w:id="22">
    <w:p w:rsidR="00DA7119" w:rsidRDefault="00DA7119" w:rsidP="00D672FA">
      <w:pPr>
        <w:pStyle w:val="FootnoteText"/>
      </w:pPr>
      <w:r w:rsidRPr="00D672FA">
        <w:rPr>
          <w:rStyle w:val="FootnoteReference"/>
          <w:sz w:val="20"/>
        </w:rPr>
        <w:footnoteRef/>
      </w:r>
      <w:r w:rsidRPr="00D672FA">
        <w:t xml:space="preserve"> </w:t>
      </w:r>
      <w:r w:rsidR="00E17BD1" w:rsidRPr="00D672FA">
        <w:fldChar w:fldCharType="begin"/>
      </w:r>
      <w:r w:rsidRPr="00D672FA">
        <w:instrText xml:space="preserve"> ADDIN ZOTERO_ITEM CSL_CITATION {"citationID":"w6eZmLlg","properties":{"formattedCitation":"{\\rtf BADIL and COHRE, \\i Ruling Palestine\\i0{}, 55.}","plainCitation":"BADIL and COHRE, Ruling Palestine, 55."},"citationItems":[{"id":54,"uris":["http://zotero.org/users/1294736/items/IZ9P4BJR"],"uri":["http://zotero.org/users/1294736/items/IZ9P4BJR"],"itemData":{"id":54,"type":"book","title":"Ruling Palestine – A History of the Legally Sanctioned Jewish-Israeli Seizure of Land and Housing in Palestine","publisher":"The Centre on Housing Rights and Evictions (COHRE); BADIL Resource Centre for Palestinian Rights and Refugee Rights","publisher-place":"Geneva, Switzerland; Bethlehem, Palestine","number-of-pages":"242","event-place":"Geneva, Switzerland; Bethlehem, Palestine","shortTitle":"Ruling Palestine","language":"English","author":[{"family":"BADIL","given":""},{"family":"COHRE","given":""}],"issued":{"date-parts":[["2005"]]}},"locator":"55","label":"page"}],"schema":"https://github.com/citation-style-language/schema/raw/master/csl-citation.json"} </w:instrText>
      </w:r>
      <w:r w:rsidR="00E17BD1" w:rsidRPr="00D672FA">
        <w:fldChar w:fldCharType="separate"/>
      </w:r>
      <w:r>
        <w:t>See supra note 5</w:t>
      </w:r>
      <w:r w:rsidRPr="00D672FA">
        <w:t xml:space="preserve">, </w:t>
      </w:r>
      <w:r w:rsidR="00937D61">
        <w:t xml:space="preserve">p. </w:t>
      </w:r>
      <w:r w:rsidRPr="00D672FA">
        <w:t>55.</w:t>
      </w:r>
      <w:r w:rsidR="00E17BD1" w:rsidRPr="00D672FA">
        <w:fldChar w:fldCharType="end"/>
      </w:r>
    </w:p>
  </w:footnote>
  <w:footnote w:id="23">
    <w:p w:rsidR="00DA7119" w:rsidRDefault="00DA7119" w:rsidP="00126886">
      <w:pPr>
        <w:pStyle w:val="FootnoteText"/>
      </w:pPr>
      <w:r w:rsidRPr="00D672FA">
        <w:rPr>
          <w:rStyle w:val="FootnoteReference"/>
          <w:sz w:val="20"/>
        </w:rPr>
        <w:footnoteRef/>
      </w:r>
      <w:r w:rsidRPr="00D672FA">
        <w:t xml:space="preserve"> Absentees Property Law, Section 17(a) states: </w:t>
      </w:r>
      <w:r w:rsidRPr="00D672FA">
        <w:rPr>
          <w:color w:val="212125"/>
        </w:rPr>
        <w:t>“Any transaction made in good faith between the Custodian and another person in respect of property which the Custodian considered, at the time of the transaction, to be vested property shall not be invalidated and shall remain in force even if is proved that the property was not at the time vested property”.</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2E5CB0"/>
    <w:multiLevelType w:val="hybridMultilevel"/>
    <w:tmpl w:val="483823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proofState w:spelling="clean" w:grammar="clean"/>
  <w:defaultTabStop w:val="720"/>
  <w:characterSpacingControl w:val="doNotCompress"/>
  <w:footnotePr>
    <w:footnote w:id="-1"/>
    <w:footnote w:id="0"/>
  </w:footnotePr>
  <w:endnotePr>
    <w:endnote w:id="-1"/>
    <w:endnote w:id="0"/>
  </w:endnotePr>
  <w:compat/>
  <w:rsids>
    <w:rsidRoot w:val="00FA04B0"/>
    <w:rsid w:val="0001556E"/>
    <w:rsid w:val="00023740"/>
    <w:rsid w:val="000353E9"/>
    <w:rsid w:val="000A43C6"/>
    <w:rsid w:val="000E3B1B"/>
    <w:rsid w:val="00112DC9"/>
    <w:rsid w:val="00126886"/>
    <w:rsid w:val="00133904"/>
    <w:rsid w:val="00175CD0"/>
    <w:rsid w:val="001772B6"/>
    <w:rsid w:val="00195B83"/>
    <w:rsid w:val="001F099A"/>
    <w:rsid w:val="00245889"/>
    <w:rsid w:val="002539F1"/>
    <w:rsid w:val="00294683"/>
    <w:rsid w:val="00297D49"/>
    <w:rsid w:val="002A54CB"/>
    <w:rsid w:val="002F770B"/>
    <w:rsid w:val="00354203"/>
    <w:rsid w:val="00363305"/>
    <w:rsid w:val="003B0FD0"/>
    <w:rsid w:val="003D4FC0"/>
    <w:rsid w:val="003D5B0E"/>
    <w:rsid w:val="00421981"/>
    <w:rsid w:val="00430324"/>
    <w:rsid w:val="004577AF"/>
    <w:rsid w:val="00462DDA"/>
    <w:rsid w:val="004B5022"/>
    <w:rsid w:val="00501E6B"/>
    <w:rsid w:val="0055286F"/>
    <w:rsid w:val="005973A8"/>
    <w:rsid w:val="0068079D"/>
    <w:rsid w:val="006E619D"/>
    <w:rsid w:val="006F105E"/>
    <w:rsid w:val="007450A2"/>
    <w:rsid w:val="00794EF7"/>
    <w:rsid w:val="00795452"/>
    <w:rsid w:val="007D0F82"/>
    <w:rsid w:val="00876A04"/>
    <w:rsid w:val="008A5727"/>
    <w:rsid w:val="008C3821"/>
    <w:rsid w:val="008C4620"/>
    <w:rsid w:val="008D1D67"/>
    <w:rsid w:val="00937D61"/>
    <w:rsid w:val="00972A92"/>
    <w:rsid w:val="009A39CF"/>
    <w:rsid w:val="009A4937"/>
    <w:rsid w:val="009B1BD9"/>
    <w:rsid w:val="00A4630D"/>
    <w:rsid w:val="00A54DC4"/>
    <w:rsid w:val="00B04678"/>
    <w:rsid w:val="00B91A26"/>
    <w:rsid w:val="00BB2A5F"/>
    <w:rsid w:val="00BD55B3"/>
    <w:rsid w:val="00C6170B"/>
    <w:rsid w:val="00D16522"/>
    <w:rsid w:val="00D275D1"/>
    <w:rsid w:val="00D435F9"/>
    <w:rsid w:val="00D672FA"/>
    <w:rsid w:val="00D71088"/>
    <w:rsid w:val="00D868B1"/>
    <w:rsid w:val="00DA7119"/>
    <w:rsid w:val="00DB71EB"/>
    <w:rsid w:val="00DF186A"/>
    <w:rsid w:val="00E04C2C"/>
    <w:rsid w:val="00E17BD1"/>
    <w:rsid w:val="00E21591"/>
    <w:rsid w:val="00E643E0"/>
    <w:rsid w:val="00EB2A29"/>
    <w:rsid w:val="00F328BC"/>
    <w:rsid w:val="00F5423D"/>
    <w:rsid w:val="00FA04B0"/>
    <w:rsid w:val="00FA6395"/>
    <w:rsid w:val="00FB673C"/>
    <w:rsid w:val="00FC25CC"/>
    <w:rsid w:val="00FC40B4"/>
    <w:rsid w:val="00FF288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Arial"/>
        <w:lang w:val="en-US" w:eastAsia="en-US"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794EF7"/>
    <w:pPr>
      <w:spacing w:after="200" w:line="276" w:lineRule="auto"/>
    </w:pPr>
    <w:rPr>
      <w:sz w:val="22"/>
      <w:szCs w:val="22"/>
    </w:rPr>
  </w:style>
  <w:style w:type="paragraph" w:styleId="Heading1">
    <w:name w:val="heading 1"/>
    <w:basedOn w:val="Normal"/>
    <w:next w:val="Normal"/>
    <w:link w:val="Heading1Char"/>
    <w:uiPriority w:val="99"/>
    <w:qFormat/>
    <w:rsid w:val="00795452"/>
    <w:pPr>
      <w:keepNext/>
      <w:keepLines/>
      <w:spacing w:before="480" w:after="0"/>
      <w:outlineLvl w:val="0"/>
    </w:pPr>
    <w:rPr>
      <w:rFonts w:ascii="Cambria" w:hAnsi="Cambria" w:cs="Times New Roman"/>
      <w:b/>
      <w:bCs/>
      <w:color w:val="365F91"/>
      <w:sz w:val="28"/>
      <w:szCs w:val="28"/>
    </w:rPr>
  </w:style>
  <w:style w:type="paragraph" w:styleId="Heading2">
    <w:name w:val="heading 2"/>
    <w:basedOn w:val="Normal"/>
    <w:next w:val="Normal"/>
    <w:link w:val="Heading2Char"/>
    <w:uiPriority w:val="99"/>
    <w:qFormat/>
    <w:rsid w:val="00795452"/>
    <w:pPr>
      <w:keepNext/>
      <w:keepLines/>
      <w:spacing w:before="200" w:after="0"/>
      <w:outlineLvl w:val="1"/>
    </w:pPr>
    <w:rPr>
      <w:rFonts w:ascii="Cambria" w:hAnsi="Cambria" w:cs="Times New Roman"/>
      <w:b/>
      <w:bCs/>
      <w:color w:val="4F81BD"/>
      <w:sz w:val="26"/>
      <w:szCs w:val="26"/>
    </w:rPr>
  </w:style>
  <w:style w:type="paragraph" w:styleId="Heading3">
    <w:name w:val="heading 3"/>
    <w:basedOn w:val="Normal"/>
    <w:next w:val="Normal"/>
    <w:link w:val="Heading3Char"/>
    <w:uiPriority w:val="99"/>
    <w:qFormat/>
    <w:rsid w:val="00B04678"/>
    <w:pPr>
      <w:keepNext/>
      <w:keepLines/>
      <w:spacing w:before="200" w:after="0"/>
      <w:outlineLvl w:val="2"/>
    </w:pPr>
    <w:rPr>
      <w:rFonts w:ascii="Cambria" w:hAnsi="Cambria" w:cs="Times New Roman"/>
      <w:b/>
      <w:bCs/>
      <w:color w:val="4F81BD"/>
    </w:rPr>
  </w:style>
  <w:style w:type="paragraph" w:styleId="Heading4">
    <w:name w:val="heading 4"/>
    <w:basedOn w:val="Normal"/>
    <w:next w:val="Normal"/>
    <w:link w:val="Heading4Char"/>
    <w:uiPriority w:val="99"/>
    <w:qFormat/>
    <w:rsid w:val="00795452"/>
    <w:pPr>
      <w:keepNext/>
      <w:keepLines/>
      <w:spacing w:before="200" w:after="0"/>
      <w:outlineLvl w:val="3"/>
    </w:pPr>
    <w:rPr>
      <w:rFonts w:ascii="Cambria" w:hAnsi="Cambria" w:cs="Times New Roman"/>
      <w:b/>
      <w:bCs/>
      <w:i/>
      <w:iCs/>
      <w:color w:val="4F81BD"/>
    </w:rPr>
  </w:style>
  <w:style w:type="paragraph" w:styleId="Heading5">
    <w:name w:val="heading 5"/>
    <w:basedOn w:val="Normal"/>
    <w:next w:val="Normal"/>
    <w:link w:val="Heading5Char"/>
    <w:uiPriority w:val="99"/>
    <w:qFormat/>
    <w:rsid w:val="00795452"/>
    <w:pPr>
      <w:keepNext/>
      <w:keepLines/>
      <w:spacing w:before="200" w:after="0"/>
      <w:outlineLvl w:val="4"/>
    </w:pPr>
    <w:rPr>
      <w:rFonts w:ascii="Cambria" w:hAnsi="Cambria" w:cs="Times New Roman"/>
      <w:color w:val="243F60"/>
    </w:rPr>
  </w:style>
  <w:style w:type="paragraph" w:styleId="Heading6">
    <w:name w:val="heading 6"/>
    <w:basedOn w:val="Normal"/>
    <w:next w:val="Normal"/>
    <w:link w:val="Heading6Char"/>
    <w:uiPriority w:val="99"/>
    <w:qFormat/>
    <w:rsid w:val="00795452"/>
    <w:pPr>
      <w:keepNext/>
      <w:keepLines/>
      <w:spacing w:before="200" w:after="0"/>
      <w:outlineLvl w:val="5"/>
    </w:pPr>
    <w:rPr>
      <w:rFonts w:ascii="Cambria" w:hAnsi="Cambria" w:cs="Times New Roman"/>
      <w:i/>
      <w:iCs/>
      <w:color w:val="243F60"/>
    </w:rPr>
  </w:style>
  <w:style w:type="paragraph" w:styleId="Heading7">
    <w:name w:val="heading 7"/>
    <w:basedOn w:val="Normal"/>
    <w:next w:val="Normal"/>
    <w:link w:val="Heading7Char"/>
    <w:uiPriority w:val="99"/>
    <w:qFormat/>
    <w:rsid w:val="00795452"/>
    <w:pPr>
      <w:keepNext/>
      <w:keepLines/>
      <w:spacing w:before="200" w:after="0"/>
      <w:outlineLvl w:val="6"/>
    </w:pPr>
    <w:rPr>
      <w:rFonts w:ascii="Cambria" w:hAnsi="Cambria" w:cs="Times New Roman"/>
      <w:i/>
      <w:iCs/>
      <w:color w:val="404040"/>
    </w:rPr>
  </w:style>
  <w:style w:type="paragraph" w:styleId="Heading8">
    <w:name w:val="heading 8"/>
    <w:basedOn w:val="Normal"/>
    <w:next w:val="Normal"/>
    <w:link w:val="Heading8Char"/>
    <w:uiPriority w:val="99"/>
    <w:qFormat/>
    <w:rsid w:val="00795452"/>
    <w:pPr>
      <w:keepNext/>
      <w:keepLines/>
      <w:spacing w:before="200" w:after="0"/>
      <w:outlineLvl w:val="7"/>
    </w:pPr>
    <w:rPr>
      <w:rFonts w:ascii="Cambria" w:hAnsi="Cambria" w:cs="Times New Roman"/>
      <w:color w:val="404040"/>
      <w:sz w:val="20"/>
      <w:szCs w:val="20"/>
    </w:rPr>
  </w:style>
  <w:style w:type="paragraph" w:styleId="Heading9">
    <w:name w:val="heading 9"/>
    <w:basedOn w:val="Normal"/>
    <w:next w:val="Normal"/>
    <w:link w:val="Heading9Char"/>
    <w:uiPriority w:val="99"/>
    <w:qFormat/>
    <w:rsid w:val="00795452"/>
    <w:pPr>
      <w:keepNext/>
      <w:keepLines/>
      <w:spacing w:before="200" w:after="0"/>
      <w:outlineLvl w:val="8"/>
    </w:pPr>
    <w:rPr>
      <w:rFonts w:ascii="Cambria" w:hAnsi="Cambria" w:cs="Times New Roman"/>
      <w:i/>
      <w:iCs/>
      <w:color w:val="404040"/>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95452"/>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795452"/>
    <w:rPr>
      <w:rFonts w:ascii="Cambria" w:hAnsi="Cambria" w:cs="Times New Roman"/>
      <w:b/>
      <w:bCs/>
      <w:color w:val="4F81BD"/>
      <w:sz w:val="26"/>
      <w:szCs w:val="26"/>
    </w:rPr>
  </w:style>
  <w:style w:type="character" w:customStyle="1" w:styleId="Heading3Char">
    <w:name w:val="Heading 3 Char"/>
    <w:basedOn w:val="DefaultParagraphFont"/>
    <w:link w:val="Heading3"/>
    <w:uiPriority w:val="99"/>
    <w:locked/>
    <w:rsid w:val="00B04678"/>
    <w:rPr>
      <w:rFonts w:ascii="Cambria" w:hAnsi="Cambria" w:cs="Times New Roman"/>
      <w:b/>
      <w:bCs/>
      <w:color w:val="4F81BD"/>
    </w:rPr>
  </w:style>
  <w:style w:type="character" w:customStyle="1" w:styleId="Heading4Char">
    <w:name w:val="Heading 4 Char"/>
    <w:basedOn w:val="DefaultParagraphFont"/>
    <w:link w:val="Heading4"/>
    <w:uiPriority w:val="99"/>
    <w:locked/>
    <w:rsid w:val="00795452"/>
    <w:rPr>
      <w:rFonts w:ascii="Cambria" w:hAnsi="Cambria" w:cs="Times New Roman"/>
      <w:b/>
      <w:bCs/>
      <w:i/>
      <w:iCs/>
      <w:color w:val="4F81BD"/>
    </w:rPr>
  </w:style>
  <w:style w:type="character" w:customStyle="1" w:styleId="Heading5Char">
    <w:name w:val="Heading 5 Char"/>
    <w:basedOn w:val="DefaultParagraphFont"/>
    <w:link w:val="Heading5"/>
    <w:uiPriority w:val="99"/>
    <w:locked/>
    <w:rsid w:val="00795452"/>
    <w:rPr>
      <w:rFonts w:ascii="Cambria" w:hAnsi="Cambria" w:cs="Times New Roman"/>
      <w:color w:val="243F60"/>
    </w:rPr>
  </w:style>
  <w:style w:type="character" w:customStyle="1" w:styleId="Heading6Char">
    <w:name w:val="Heading 6 Char"/>
    <w:basedOn w:val="DefaultParagraphFont"/>
    <w:link w:val="Heading6"/>
    <w:uiPriority w:val="99"/>
    <w:locked/>
    <w:rsid w:val="00795452"/>
    <w:rPr>
      <w:rFonts w:ascii="Cambria" w:hAnsi="Cambria" w:cs="Times New Roman"/>
      <w:i/>
      <w:iCs/>
      <w:color w:val="243F60"/>
    </w:rPr>
  </w:style>
  <w:style w:type="character" w:customStyle="1" w:styleId="Heading7Char">
    <w:name w:val="Heading 7 Char"/>
    <w:basedOn w:val="DefaultParagraphFont"/>
    <w:link w:val="Heading7"/>
    <w:uiPriority w:val="99"/>
    <w:locked/>
    <w:rsid w:val="00795452"/>
    <w:rPr>
      <w:rFonts w:ascii="Cambria" w:hAnsi="Cambria" w:cs="Times New Roman"/>
      <w:i/>
      <w:iCs/>
      <w:color w:val="404040"/>
    </w:rPr>
  </w:style>
  <w:style w:type="character" w:customStyle="1" w:styleId="Heading8Char">
    <w:name w:val="Heading 8 Char"/>
    <w:basedOn w:val="DefaultParagraphFont"/>
    <w:link w:val="Heading8"/>
    <w:uiPriority w:val="99"/>
    <w:locked/>
    <w:rsid w:val="00795452"/>
    <w:rPr>
      <w:rFonts w:ascii="Cambria" w:hAnsi="Cambria" w:cs="Times New Roman"/>
      <w:color w:val="404040"/>
      <w:sz w:val="20"/>
      <w:szCs w:val="20"/>
    </w:rPr>
  </w:style>
  <w:style w:type="character" w:customStyle="1" w:styleId="Heading9Char">
    <w:name w:val="Heading 9 Char"/>
    <w:basedOn w:val="DefaultParagraphFont"/>
    <w:link w:val="Heading9"/>
    <w:uiPriority w:val="99"/>
    <w:locked/>
    <w:rsid w:val="00795452"/>
    <w:rPr>
      <w:rFonts w:ascii="Cambria" w:hAnsi="Cambria" w:cs="Times New Roman"/>
      <w:i/>
      <w:iCs/>
      <w:color w:val="404040"/>
      <w:sz w:val="20"/>
      <w:szCs w:val="20"/>
    </w:rPr>
  </w:style>
  <w:style w:type="paragraph" w:styleId="BalloonText">
    <w:name w:val="Balloon Text"/>
    <w:basedOn w:val="Normal"/>
    <w:link w:val="BalloonTextChar"/>
    <w:uiPriority w:val="99"/>
    <w:semiHidden/>
    <w:rsid w:val="00FB67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B673C"/>
    <w:rPr>
      <w:rFonts w:ascii="Tahoma" w:hAnsi="Tahoma" w:cs="Tahoma"/>
      <w:sz w:val="16"/>
      <w:szCs w:val="16"/>
    </w:rPr>
  </w:style>
  <w:style w:type="character" w:styleId="FootnoteReference">
    <w:name w:val="footnote reference"/>
    <w:aliases w:val="4_G,BVI fnr Char Char Char,BVI fnr Car Car Char Char Char,BVI fnr Car Char Char Char,BVI fnr Car Car Car Car Char Char Char,BVI fnr Char Char Char Char Char Char Char Char Char,BVI fnr Char Char,BVI fnr Char Char Char Char"/>
    <w:basedOn w:val="DefaultParagraphFont"/>
    <w:link w:val="BVIfnrCarCarCharChar"/>
    <w:uiPriority w:val="99"/>
    <w:locked/>
    <w:rsid w:val="00FA04B0"/>
    <w:rPr>
      <w:rFonts w:ascii="Times New Roman" w:hAnsi="Times New Roman" w:cs="Times New Roman"/>
      <w:sz w:val="18"/>
      <w:vertAlign w:val="superscript"/>
    </w:rPr>
  </w:style>
  <w:style w:type="paragraph" w:styleId="FootnoteText">
    <w:name w:val="footnote text"/>
    <w:basedOn w:val="Normal"/>
    <w:link w:val="FootnoteTextChar"/>
    <w:uiPriority w:val="99"/>
    <w:rsid w:val="00FA04B0"/>
    <w:pPr>
      <w:spacing w:after="0" w:line="240" w:lineRule="auto"/>
    </w:pPr>
    <w:rPr>
      <w:rFonts w:ascii="Times New Roman" w:hAnsi="Times New Roman" w:cs="Times New Roman"/>
      <w:sz w:val="20"/>
      <w:szCs w:val="20"/>
    </w:rPr>
  </w:style>
  <w:style w:type="character" w:customStyle="1" w:styleId="FootnoteTextChar">
    <w:name w:val="Footnote Text Char"/>
    <w:basedOn w:val="DefaultParagraphFont"/>
    <w:link w:val="FootnoteText"/>
    <w:uiPriority w:val="99"/>
    <w:locked/>
    <w:rsid w:val="00FA04B0"/>
    <w:rPr>
      <w:rFonts w:ascii="Times New Roman" w:hAnsi="Times New Roman" w:cs="Times New Roman"/>
      <w:sz w:val="20"/>
      <w:szCs w:val="20"/>
    </w:rPr>
  </w:style>
  <w:style w:type="character" w:styleId="Hyperlink">
    <w:name w:val="Hyperlink"/>
    <w:basedOn w:val="DefaultParagraphFont"/>
    <w:uiPriority w:val="99"/>
    <w:rsid w:val="00FA04B0"/>
    <w:rPr>
      <w:rFonts w:cs="Times New Roman"/>
      <w:color w:val="0000FF"/>
      <w:u w:val="single"/>
    </w:rPr>
  </w:style>
  <w:style w:type="character" w:styleId="FollowedHyperlink">
    <w:name w:val="FollowedHyperlink"/>
    <w:basedOn w:val="DefaultParagraphFont"/>
    <w:uiPriority w:val="99"/>
    <w:semiHidden/>
    <w:rsid w:val="00B04678"/>
    <w:rPr>
      <w:rFonts w:cs="Times New Roman"/>
      <w:color w:val="800080"/>
      <w:u w:val="single"/>
    </w:rPr>
  </w:style>
  <w:style w:type="character" w:styleId="EndnoteReference">
    <w:name w:val="endnote reference"/>
    <w:basedOn w:val="DefaultParagraphFont"/>
    <w:uiPriority w:val="99"/>
    <w:rsid w:val="009A39CF"/>
    <w:rPr>
      <w:rFonts w:cs="Times New Roman"/>
      <w:vertAlign w:val="superscript"/>
    </w:rPr>
  </w:style>
  <w:style w:type="paragraph" w:styleId="NoSpacing">
    <w:name w:val="No Spacing"/>
    <w:link w:val="NoSpacingChar"/>
    <w:uiPriority w:val="1"/>
    <w:qFormat/>
    <w:rsid w:val="009A39CF"/>
    <w:rPr>
      <w:sz w:val="22"/>
      <w:szCs w:val="22"/>
    </w:rPr>
  </w:style>
  <w:style w:type="paragraph" w:styleId="EndnoteText">
    <w:name w:val="endnote text"/>
    <w:basedOn w:val="Normal"/>
    <w:link w:val="EndnoteTextChar"/>
    <w:uiPriority w:val="99"/>
    <w:semiHidden/>
    <w:rsid w:val="009A39CF"/>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9A39CF"/>
    <w:rPr>
      <w:rFonts w:cs="Times New Roman"/>
      <w:sz w:val="20"/>
      <w:szCs w:val="20"/>
    </w:rPr>
  </w:style>
  <w:style w:type="paragraph" w:styleId="ListParagraph">
    <w:name w:val="List Paragraph"/>
    <w:basedOn w:val="Normal"/>
    <w:uiPriority w:val="99"/>
    <w:qFormat/>
    <w:rsid w:val="00C6170B"/>
    <w:pPr>
      <w:ind w:left="720"/>
      <w:contextualSpacing/>
    </w:pPr>
  </w:style>
  <w:style w:type="paragraph" w:customStyle="1" w:styleId="BVIfnrCarCarCharChar">
    <w:name w:val="BVI fnr Car Car Char Char"/>
    <w:aliases w:val="BVI fnr Car Char Char,BVI fnr Car Car Car Car Char Char,BVI fnr Char Char Char Char Char Char Char Char,BVI fnr Char"/>
    <w:basedOn w:val="Normal"/>
    <w:link w:val="FootnoteReference"/>
    <w:uiPriority w:val="99"/>
    <w:rsid w:val="00126886"/>
    <w:pPr>
      <w:keepNext/>
      <w:spacing w:before="240" w:after="160" w:line="240" w:lineRule="exact"/>
      <w:outlineLvl w:val="2"/>
    </w:pPr>
    <w:rPr>
      <w:rFonts w:ascii="Times New Roman" w:hAnsi="Times New Roman" w:cs="Times New Roman"/>
      <w:sz w:val="18"/>
      <w:szCs w:val="20"/>
      <w:vertAlign w:val="superscript"/>
    </w:rPr>
  </w:style>
  <w:style w:type="character" w:styleId="CommentReference">
    <w:name w:val="annotation reference"/>
    <w:basedOn w:val="DefaultParagraphFont"/>
    <w:uiPriority w:val="99"/>
    <w:semiHidden/>
    <w:rsid w:val="009A4937"/>
    <w:rPr>
      <w:rFonts w:cs="Times New Roman"/>
      <w:sz w:val="16"/>
      <w:szCs w:val="16"/>
    </w:rPr>
  </w:style>
  <w:style w:type="paragraph" w:styleId="CommentText">
    <w:name w:val="annotation text"/>
    <w:basedOn w:val="Normal"/>
    <w:link w:val="CommentTextChar"/>
    <w:uiPriority w:val="99"/>
    <w:semiHidden/>
    <w:rsid w:val="009A4937"/>
    <w:rPr>
      <w:sz w:val="20"/>
      <w:szCs w:val="20"/>
    </w:rPr>
  </w:style>
  <w:style w:type="character" w:customStyle="1" w:styleId="CommentTextChar">
    <w:name w:val="Comment Text Char"/>
    <w:basedOn w:val="DefaultParagraphFont"/>
    <w:link w:val="CommentText"/>
    <w:uiPriority w:val="99"/>
    <w:semiHidden/>
    <w:rsid w:val="00566B04"/>
    <w:rPr>
      <w:sz w:val="20"/>
      <w:szCs w:val="20"/>
    </w:rPr>
  </w:style>
  <w:style w:type="paragraph" w:styleId="CommentSubject">
    <w:name w:val="annotation subject"/>
    <w:basedOn w:val="CommentText"/>
    <w:next w:val="CommentText"/>
    <w:link w:val="CommentSubjectChar"/>
    <w:uiPriority w:val="99"/>
    <w:semiHidden/>
    <w:rsid w:val="009A4937"/>
    <w:rPr>
      <w:b/>
      <w:bCs/>
    </w:rPr>
  </w:style>
  <w:style w:type="character" w:customStyle="1" w:styleId="CommentSubjectChar">
    <w:name w:val="Comment Subject Char"/>
    <w:basedOn w:val="CommentTextChar"/>
    <w:link w:val="CommentSubject"/>
    <w:uiPriority w:val="99"/>
    <w:semiHidden/>
    <w:rsid w:val="00566B04"/>
    <w:rPr>
      <w:b/>
      <w:bCs/>
    </w:rPr>
  </w:style>
  <w:style w:type="character" w:customStyle="1" w:styleId="NoSpacingChar">
    <w:name w:val="No Spacing Char"/>
    <w:basedOn w:val="DefaultParagraphFont"/>
    <w:link w:val="NoSpacing"/>
    <w:uiPriority w:val="1"/>
    <w:rsid w:val="004B5022"/>
    <w:rPr>
      <w:sz w:val="22"/>
      <w:szCs w:val="22"/>
    </w:rPr>
  </w:style>
</w:styles>
</file>

<file path=word/webSettings.xml><?xml version="1.0" encoding="utf-8"?>
<w:webSettings xmlns:r="http://schemas.openxmlformats.org/officeDocument/2006/relationships" xmlns:w="http://schemas.openxmlformats.org/wordprocessingml/2006/main">
  <w:divs>
    <w:div w:id="942153642">
      <w:marLeft w:val="0"/>
      <w:marRight w:val="0"/>
      <w:marTop w:val="0"/>
      <w:marBottom w:val="0"/>
      <w:divBdr>
        <w:top w:val="none" w:sz="0" w:space="0" w:color="auto"/>
        <w:left w:val="none" w:sz="0" w:space="0" w:color="auto"/>
        <w:bottom w:val="none" w:sz="0" w:space="0" w:color="auto"/>
        <w:right w:val="none" w:sz="0" w:space="0" w:color="auto"/>
      </w:divBdr>
    </w:div>
    <w:div w:id="942153643">
      <w:marLeft w:val="0"/>
      <w:marRight w:val="0"/>
      <w:marTop w:val="0"/>
      <w:marBottom w:val="0"/>
      <w:divBdr>
        <w:top w:val="none" w:sz="0" w:space="0" w:color="auto"/>
        <w:left w:val="none" w:sz="0" w:space="0" w:color="auto"/>
        <w:bottom w:val="none" w:sz="0" w:space="0" w:color="auto"/>
        <w:right w:val="none" w:sz="0" w:space="0" w:color="auto"/>
      </w:divBdr>
    </w:div>
    <w:div w:id="942153644">
      <w:marLeft w:val="0"/>
      <w:marRight w:val="0"/>
      <w:marTop w:val="0"/>
      <w:marBottom w:val="0"/>
      <w:divBdr>
        <w:top w:val="none" w:sz="0" w:space="0" w:color="auto"/>
        <w:left w:val="none" w:sz="0" w:space="0" w:color="auto"/>
        <w:bottom w:val="none" w:sz="0" w:space="0" w:color="auto"/>
        <w:right w:val="none" w:sz="0" w:space="0" w:color="auto"/>
      </w:divBdr>
    </w:div>
    <w:div w:id="942153645">
      <w:marLeft w:val="0"/>
      <w:marRight w:val="0"/>
      <w:marTop w:val="0"/>
      <w:marBottom w:val="0"/>
      <w:divBdr>
        <w:top w:val="none" w:sz="0" w:space="0" w:color="auto"/>
        <w:left w:val="none" w:sz="0" w:space="0" w:color="auto"/>
        <w:bottom w:val="none" w:sz="0" w:space="0" w:color="auto"/>
        <w:right w:val="none" w:sz="0" w:space="0" w:color="auto"/>
      </w:divBdr>
    </w:div>
    <w:div w:id="94215364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badil.org/en/al-majdal/item/1830-art3" TargetMode="External"/><Relationship Id="rId2" Type="http://schemas.openxmlformats.org/officeDocument/2006/relationships/hyperlink" Target="http://badil.org/en/documents/category/35-publications?download=1045%3Abadil-handbook" TargetMode="External"/><Relationship Id="rId1" Type="http://schemas.openxmlformats.org/officeDocument/2006/relationships/hyperlink" Target="http://badil.org/en/documents/category/35-publications?download=1021%3Asurvay-2012&amp;start=10" TargetMode="External"/><Relationship Id="rId6" Type="http://schemas.openxmlformats.org/officeDocument/2006/relationships/hyperlink" Target="http://www.badil.org/en/al-majdal/item/6-al-naqab-the-ongoing-displacement-of-palestine%5C's-southern-bedouin" TargetMode="External"/><Relationship Id="rId5" Type="http://schemas.openxmlformats.org/officeDocument/2006/relationships/hyperlink" Target="http://www.russelltribunalonpalestine.com/en/sessions/future-sessions" TargetMode="External"/><Relationship Id="rId4" Type="http://schemas.openxmlformats.org/officeDocument/2006/relationships/hyperlink" Target="http://www.badil.org/en/documents/category/35-publications?download=101%3Aindividualror-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05AC18C-F32D-4DB8-BB75-C3C607554340}"/>
</file>

<file path=customXml/itemProps2.xml><?xml version="1.0" encoding="utf-8"?>
<ds:datastoreItem xmlns:ds="http://schemas.openxmlformats.org/officeDocument/2006/customXml" ds:itemID="{D7253EDA-97B4-4F85-846E-8E6CF3600B2F}"/>
</file>

<file path=customXml/itemProps3.xml><?xml version="1.0" encoding="utf-8"?>
<ds:datastoreItem xmlns:ds="http://schemas.openxmlformats.org/officeDocument/2006/customXml" ds:itemID="{4DEFC8C1-9AAC-4310-883B-9D6F7B06C657}"/>
</file>

<file path=docProps/app.xml><?xml version="1.0" encoding="utf-8"?>
<Properties xmlns="http://schemas.openxmlformats.org/officeDocument/2006/extended-properties" xmlns:vt="http://schemas.openxmlformats.org/officeDocument/2006/docPropsVTypes">
  <Template>Normal</Template>
  <TotalTime>0</TotalTime>
  <Pages>7</Pages>
  <Words>2444</Words>
  <Characters>13112</Characters>
  <Application>Microsoft Office Word</Application>
  <DocSecurity>0</DocSecurity>
  <Lines>109</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Amjad Alqasis</dc:creator>
  <cp:lastModifiedBy>Amjad Alqasis</cp:lastModifiedBy>
  <cp:revision>2</cp:revision>
  <dcterms:created xsi:type="dcterms:W3CDTF">2013-09-30T11:48:00Z</dcterms:created>
  <dcterms:modified xsi:type="dcterms:W3CDTF">2013-09-30T11:48:00Z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1288700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xd_Signature">
    <vt:bool>false</vt:bool>
  </property>
</Properties>
</file>