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12" w:rsidRPr="00F10653" w:rsidRDefault="00100E12" w:rsidP="00100E12">
      <w:pPr>
        <w:spacing w:after="0"/>
        <w:rPr>
          <w:rFonts w:asciiTheme="minorBidi" w:hAnsiTheme="minorBidi"/>
          <w:b/>
          <w:bCs/>
          <w:u w:val="single"/>
          <w:lang w:val="en-GB"/>
        </w:rPr>
      </w:pPr>
      <w:r>
        <w:rPr>
          <w:rFonts w:asciiTheme="minorBidi" w:hAnsiTheme="minorBidi"/>
          <w:b/>
          <w:bCs/>
          <w:u w:val="single"/>
          <w:lang w:val="en-GB"/>
        </w:rPr>
        <w:t xml:space="preserve">Annex I – </w:t>
      </w:r>
      <w:r w:rsidRPr="002D38CC">
        <w:rPr>
          <w:rFonts w:asciiTheme="minorBidi" w:hAnsiTheme="minorBidi"/>
          <w:b/>
          <w:bCs/>
          <w:u w:val="single"/>
          <w:lang w:val="en-GB"/>
        </w:rPr>
        <w:t xml:space="preserve">Data </w:t>
      </w:r>
    </w:p>
    <w:p w:rsidR="00100E12" w:rsidRDefault="00100E12" w:rsidP="00100E12">
      <w:pPr>
        <w:spacing w:after="0"/>
        <w:rPr>
          <w:rFonts w:asciiTheme="minorBidi" w:hAnsiTheme="minorBidi"/>
          <w:color w:val="000000" w:themeColor="text1"/>
          <w:u w:val="single"/>
          <w:lang w:val="en-GB"/>
        </w:rPr>
      </w:pPr>
    </w:p>
    <w:p w:rsidR="00100E12" w:rsidRPr="0014377A" w:rsidRDefault="00100E12" w:rsidP="00100E12">
      <w:pPr>
        <w:spacing w:after="0"/>
        <w:rPr>
          <w:rFonts w:asciiTheme="minorBidi" w:hAnsiTheme="minorBidi"/>
          <w:color w:val="000000" w:themeColor="text1"/>
          <w:u w:val="single"/>
          <w:lang w:val="en-GB"/>
        </w:rPr>
      </w:pPr>
      <w:r>
        <w:rPr>
          <w:rFonts w:asciiTheme="minorBidi" w:hAnsiTheme="minorBidi"/>
          <w:color w:val="000000" w:themeColor="text1"/>
          <w:u w:val="single"/>
          <w:lang w:val="en-GB"/>
        </w:rPr>
        <w:t xml:space="preserve">Closure / Patients </w:t>
      </w:r>
    </w:p>
    <w:p w:rsidR="00100E12" w:rsidRDefault="00100E12" w:rsidP="00100E12">
      <w:pPr>
        <w:spacing w:after="0"/>
        <w:rPr>
          <w:rFonts w:asciiTheme="minorBidi" w:hAnsiTheme="minorBidi"/>
          <w:color w:val="000000" w:themeColor="text1"/>
          <w:lang w:val="en-GB"/>
        </w:rPr>
      </w:pPr>
      <w:r>
        <w:rPr>
          <w:rFonts w:asciiTheme="minorBidi" w:hAnsiTheme="minorBidi"/>
          <w:color w:val="000000" w:themeColor="text1"/>
          <w:lang w:val="en-GB"/>
        </w:rPr>
        <w:t xml:space="preserve">30. Regarding patients attempting to cross </w:t>
      </w:r>
      <w:proofErr w:type="spellStart"/>
      <w:r>
        <w:rPr>
          <w:rFonts w:asciiTheme="minorBidi" w:hAnsiTheme="minorBidi"/>
          <w:color w:val="000000" w:themeColor="text1"/>
          <w:lang w:val="en-GB"/>
        </w:rPr>
        <w:t>Erez</w:t>
      </w:r>
      <w:proofErr w:type="spellEnd"/>
      <w:r>
        <w:rPr>
          <w:rFonts w:asciiTheme="minorBidi" w:hAnsiTheme="minorBidi"/>
          <w:color w:val="000000" w:themeColor="text1"/>
          <w:lang w:val="en-GB"/>
        </w:rPr>
        <w:t xml:space="preserve"> to receive medical treatment f</w:t>
      </w:r>
      <w:r w:rsidRPr="00490735">
        <w:rPr>
          <w:rFonts w:asciiTheme="minorBidi" w:hAnsiTheme="minorBidi"/>
          <w:color w:val="000000" w:themeColor="text1"/>
          <w:lang w:val="en-GB"/>
        </w:rPr>
        <w:t xml:space="preserve">rom </w:t>
      </w:r>
      <w:r>
        <w:rPr>
          <w:rFonts w:asciiTheme="minorBidi" w:hAnsiTheme="minorBidi"/>
          <w:color w:val="000000" w:themeColor="text1"/>
          <w:lang w:val="en-GB"/>
        </w:rPr>
        <w:t>the beginning of</w:t>
      </w:r>
      <w:r w:rsidRPr="00490735">
        <w:rPr>
          <w:rFonts w:asciiTheme="minorBidi" w:hAnsiTheme="minorBidi"/>
          <w:color w:val="000000" w:themeColor="text1"/>
          <w:lang w:val="en-GB"/>
        </w:rPr>
        <w:t xml:space="preserve"> 2009 t</w:t>
      </w:r>
      <w:r>
        <w:rPr>
          <w:rFonts w:asciiTheme="minorBidi" w:hAnsiTheme="minorBidi"/>
          <w:color w:val="000000" w:themeColor="text1"/>
          <w:lang w:val="en-GB"/>
        </w:rPr>
        <w:t>o date, four</w:t>
      </w:r>
      <w:r w:rsidRPr="00EC138C">
        <w:rPr>
          <w:rFonts w:asciiTheme="minorBidi" w:hAnsiTheme="minorBidi"/>
          <w:color w:val="000000" w:themeColor="text1"/>
          <w:lang w:val="en-GB"/>
        </w:rPr>
        <w:t xml:space="preserve"> patients died after travel was denied or while they waited for their permits to be granted</w:t>
      </w:r>
      <w:r>
        <w:rPr>
          <w:rFonts w:asciiTheme="minorBidi" w:hAnsiTheme="minorBidi"/>
          <w:color w:val="000000" w:themeColor="text1"/>
          <w:lang w:val="en-GB"/>
        </w:rPr>
        <w:t>.</w:t>
      </w:r>
      <w:r w:rsidRPr="00490735">
        <w:rPr>
          <w:rStyle w:val="EndnoteReference"/>
          <w:rFonts w:asciiTheme="minorBidi" w:hAnsiTheme="minorBidi"/>
          <w:color w:val="000000" w:themeColor="text1"/>
          <w:lang w:val="en-GB"/>
        </w:rPr>
        <w:endnoteReference w:id="1"/>
      </w:r>
      <w:r w:rsidRPr="00490735">
        <w:rPr>
          <w:rFonts w:asciiTheme="minorBidi" w:hAnsiTheme="minorBidi"/>
          <w:color w:val="000000" w:themeColor="text1"/>
          <w:lang w:val="en-GB"/>
        </w:rPr>
        <w:t xml:space="preserve"> </w:t>
      </w:r>
      <w:r>
        <w:rPr>
          <w:rFonts w:asciiTheme="minorBidi" w:hAnsiTheme="minorBidi"/>
          <w:color w:val="000000" w:themeColor="text1"/>
          <w:lang w:val="en-GB"/>
        </w:rPr>
        <w:t xml:space="preserve">Another </w:t>
      </w:r>
      <w:r w:rsidRPr="00490735">
        <w:rPr>
          <w:rFonts w:asciiTheme="minorBidi" w:hAnsiTheme="minorBidi"/>
          <w:color w:val="000000" w:themeColor="text1"/>
          <w:lang w:val="en-GB"/>
        </w:rPr>
        <w:t>1,264 applications were rejected according to the Civil Affairs Department in Gaza for the period of January 2009 to mid</w:t>
      </w:r>
      <w:r>
        <w:rPr>
          <w:rFonts w:asciiTheme="minorBidi" w:hAnsiTheme="minorBidi"/>
          <w:color w:val="000000" w:themeColor="text1"/>
          <w:lang w:val="en-GB"/>
        </w:rPr>
        <w:t>-</w:t>
      </w:r>
      <w:r w:rsidRPr="00490735">
        <w:rPr>
          <w:rFonts w:asciiTheme="minorBidi" w:hAnsiTheme="minorBidi"/>
          <w:color w:val="000000" w:themeColor="text1"/>
          <w:lang w:val="en-GB"/>
        </w:rPr>
        <w:t>June 2013</w:t>
      </w:r>
      <w:r>
        <w:rPr>
          <w:rFonts w:asciiTheme="minorBidi" w:hAnsiTheme="minorBidi"/>
          <w:color w:val="000000" w:themeColor="text1"/>
          <w:lang w:val="en-GB"/>
        </w:rPr>
        <w:t xml:space="preserve">. From January 2009 until now, at least 18 patients were arrested while crossing </w:t>
      </w:r>
      <w:proofErr w:type="spellStart"/>
      <w:r>
        <w:rPr>
          <w:rFonts w:asciiTheme="minorBidi" w:hAnsiTheme="minorBidi"/>
          <w:color w:val="000000" w:themeColor="text1"/>
          <w:lang w:val="en-GB"/>
        </w:rPr>
        <w:t>Erez</w:t>
      </w:r>
      <w:proofErr w:type="spellEnd"/>
      <w:r>
        <w:rPr>
          <w:rFonts w:asciiTheme="minorBidi" w:hAnsiTheme="minorBidi"/>
          <w:color w:val="000000" w:themeColor="text1"/>
          <w:lang w:val="en-GB"/>
        </w:rPr>
        <w:t>, with three of them – along with four patient escorts – taking place in 2013.</w:t>
      </w:r>
      <w:r>
        <w:rPr>
          <w:rStyle w:val="EndnoteReference"/>
          <w:rFonts w:asciiTheme="minorBidi" w:hAnsiTheme="minorBidi"/>
          <w:color w:val="000000" w:themeColor="text1"/>
          <w:lang w:val="en-GB"/>
        </w:rPr>
        <w:endnoteReference w:id="2"/>
      </w:r>
      <w:r>
        <w:rPr>
          <w:rFonts w:asciiTheme="minorBidi" w:hAnsiTheme="minorBidi"/>
          <w:color w:val="000000" w:themeColor="text1"/>
          <w:lang w:val="en-GB"/>
        </w:rPr>
        <w:t xml:space="preserve"> Some of these patients were subjected to interrogation that involved degrading treatment and/or torture. Israel’s policy vis-à-vis patients coming from Gaza seriously hinders the patients’ access to healthcare. Since 2007 until today, Israel has been </w:t>
      </w:r>
      <w:r w:rsidRPr="005C785B">
        <w:rPr>
          <w:rFonts w:asciiTheme="minorBidi" w:hAnsiTheme="minorBidi"/>
          <w:color w:val="000000" w:themeColor="text1"/>
          <w:lang w:val="en-GB"/>
        </w:rPr>
        <w:t>distinguishing between a life-threatening medical state and on</w:t>
      </w:r>
      <w:r>
        <w:rPr>
          <w:rFonts w:asciiTheme="minorBidi" w:hAnsiTheme="minorBidi"/>
          <w:color w:val="000000" w:themeColor="text1"/>
          <w:lang w:val="en-GB"/>
        </w:rPr>
        <w:t xml:space="preserve">e that hinders quality of life, then </w:t>
      </w:r>
      <w:r w:rsidRPr="005C785B">
        <w:rPr>
          <w:rFonts w:asciiTheme="minorBidi" w:hAnsiTheme="minorBidi"/>
          <w:color w:val="000000" w:themeColor="text1"/>
          <w:lang w:val="en-GB"/>
        </w:rPr>
        <w:t xml:space="preserve">denying medical treatment in cases </w:t>
      </w:r>
      <w:r>
        <w:rPr>
          <w:rFonts w:asciiTheme="minorBidi" w:hAnsiTheme="minorBidi"/>
          <w:color w:val="000000" w:themeColor="text1"/>
          <w:lang w:val="en-GB"/>
        </w:rPr>
        <w:t>which are not life-threatening, which is a policy that</w:t>
      </w:r>
      <w:r w:rsidRPr="005C785B">
        <w:rPr>
          <w:rFonts w:asciiTheme="minorBidi" w:hAnsiTheme="minorBidi"/>
          <w:color w:val="000000" w:themeColor="text1"/>
          <w:lang w:val="en-GB"/>
        </w:rPr>
        <w:t xml:space="preserve"> contradicts the principles of medical ethics</w:t>
      </w:r>
      <w:r>
        <w:rPr>
          <w:rFonts w:asciiTheme="minorBidi" w:hAnsiTheme="minorBidi"/>
          <w:color w:val="000000" w:themeColor="text1"/>
          <w:lang w:val="en-GB"/>
        </w:rPr>
        <w:t>.</w:t>
      </w:r>
      <w:r>
        <w:rPr>
          <w:rStyle w:val="EndnoteReference"/>
          <w:rFonts w:asciiTheme="minorBidi" w:hAnsiTheme="minorBidi"/>
          <w:color w:val="000000" w:themeColor="text1"/>
          <w:lang w:val="en-GB"/>
        </w:rPr>
        <w:endnoteReference w:id="3"/>
      </w:r>
    </w:p>
    <w:p w:rsidR="00100E12" w:rsidRPr="008740DB" w:rsidRDefault="00100E12" w:rsidP="00100E12">
      <w:pPr>
        <w:pStyle w:val="ColorfulList-Accent11"/>
        <w:spacing w:line="276" w:lineRule="auto"/>
        <w:ind w:left="0"/>
        <w:jc w:val="both"/>
        <w:rPr>
          <w:rFonts w:asciiTheme="minorBidi" w:hAnsiTheme="minorBidi"/>
          <w:color w:val="000000" w:themeColor="text1"/>
          <w:sz w:val="22"/>
          <w:szCs w:val="22"/>
          <w:lang w:val="en-GB"/>
        </w:rPr>
      </w:pPr>
    </w:p>
    <w:p w:rsidR="00100E12" w:rsidRPr="008740DB" w:rsidRDefault="00100E12" w:rsidP="00100E12">
      <w:pPr>
        <w:pStyle w:val="ColorfulList-Accent11"/>
        <w:spacing w:line="276" w:lineRule="auto"/>
        <w:ind w:left="0"/>
        <w:jc w:val="both"/>
        <w:rPr>
          <w:rFonts w:asciiTheme="minorBidi" w:hAnsiTheme="minorBidi"/>
          <w:color w:val="000000" w:themeColor="text1"/>
          <w:sz w:val="22"/>
          <w:szCs w:val="22"/>
          <w:u w:val="single"/>
          <w:lang w:val="en-GB"/>
        </w:rPr>
      </w:pPr>
      <w:r>
        <w:rPr>
          <w:rFonts w:asciiTheme="minorBidi" w:hAnsiTheme="minorBidi"/>
          <w:color w:val="000000" w:themeColor="text1"/>
          <w:sz w:val="22"/>
          <w:szCs w:val="22"/>
          <w:u w:val="single"/>
          <w:lang w:val="en-GB"/>
        </w:rPr>
        <w:t xml:space="preserve">ARA / </w:t>
      </w:r>
      <w:r w:rsidRPr="008740DB">
        <w:rPr>
          <w:rFonts w:asciiTheme="minorBidi" w:hAnsiTheme="minorBidi"/>
          <w:color w:val="000000" w:themeColor="text1"/>
          <w:sz w:val="22"/>
          <w:szCs w:val="22"/>
          <w:u w:val="single"/>
          <w:lang w:val="en-GB"/>
        </w:rPr>
        <w:t>Land</w:t>
      </w:r>
    </w:p>
    <w:p w:rsidR="00100E12" w:rsidRPr="008740DB" w:rsidRDefault="00100E12" w:rsidP="00100E12">
      <w:pPr>
        <w:pStyle w:val="ColorfulList-Accent11"/>
        <w:ind w:left="0"/>
        <w:jc w:val="both"/>
        <w:rPr>
          <w:rFonts w:asciiTheme="minorBidi" w:hAnsiTheme="minorBidi" w:cstheme="minorBidi"/>
          <w:color w:val="000000" w:themeColor="text1"/>
          <w:sz w:val="22"/>
          <w:szCs w:val="22"/>
          <w:u w:val="single"/>
          <w:lang w:val="en-GB"/>
        </w:rPr>
      </w:pPr>
      <w:r>
        <w:rPr>
          <w:rFonts w:asciiTheme="minorBidi" w:hAnsiTheme="minorBidi"/>
          <w:color w:val="000000" w:themeColor="text1"/>
          <w:sz w:val="22"/>
          <w:szCs w:val="22"/>
          <w:lang w:val="en-GB"/>
        </w:rPr>
        <w:t xml:space="preserve">31. </w:t>
      </w:r>
      <w:r w:rsidRPr="008740DB">
        <w:rPr>
          <w:rFonts w:asciiTheme="minorBidi" w:hAnsiTheme="minorBidi"/>
          <w:color w:val="000000" w:themeColor="text1"/>
          <w:sz w:val="22"/>
          <w:szCs w:val="22"/>
          <w:lang w:val="en-GB"/>
        </w:rPr>
        <w:t xml:space="preserve">From 2009 until present, Israeli forces killed 98 Palestinians in the land section of the BZ including three women and 17 children. Figures are not disaggregated to provide data on disability however there is evidence of at least one case of killing of a person with disability. By land, 499 Palestinians were injured during this time period including 24 women and 116 children. Of the injured, 142 of them were collecting stones, including 29 children, and 23 of them were farmers. </w:t>
      </w:r>
      <w:r>
        <w:rPr>
          <w:rFonts w:asciiTheme="minorBidi" w:hAnsiTheme="minorBidi"/>
          <w:color w:val="000000" w:themeColor="text1"/>
          <w:sz w:val="22"/>
          <w:szCs w:val="22"/>
          <w:lang w:val="en-GB"/>
        </w:rPr>
        <w:t>In the same time-period, 162 Palestinians were arrested, including 67 children.</w:t>
      </w:r>
      <w:r>
        <w:rPr>
          <w:rStyle w:val="EndnoteReference"/>
          <w:rFonts w:asciiTheme="minorBidi" w:hAnsiTheme="minorBidi"/>
          <w:color w:val="000000" w:themeColor="text1"/>
          <w:sz w:val="22"/>
          <w:szCs w:val="22"/>
          <w:lang w:val="en-GB"/>
        </w:rPr>
        <w:endnoteReference w:id="4"/>
      </w:r>
    </w:p>
    <w:p w:rsidR="00100E12" w:rsidRDefault="00100E12" w:rsidP="00100E12">
      <w:pPr>
        <w:spacing w:after="0"/>
        <w:rPr>
          <w:rFonts w:asciiTheme="minorBidi" w:hAnsiTheme="minorBidi"/>
          <w:color w:val="000000" w:themeColor="text1"/>
          <w:highlight w:val="yellow"/>
          <w:lang w:val="en-GB"/>
        </w:rPr>
      </w:pPr>
    </w:p>
    <w:p w:rsidR="00100E12" w:rsidRPr="00536AA3" w:rsidRDefault="00100E12" w:rsidP="00100E12">
      <w:pPr>
        <w:spacing w:after="0"/>
        <w:rPr>
          <w:rFonts w:asciiTheme="minorBidi" w:hAnsiTheme="minorBidi"/>
          <w:color w:val="000000" w:themeColor="text1"/>
          <w:u w:val="single"/>
          <w:lang w:val="en-GB"/>
        </w:rPr>
      </w:pPr>
      <w:r>
        <w:rPr>
          <w:rFonts w:asciiTheme="minorBidi" w:hAnsiTheme="minorBidi"/>
          <w:color w:val="000000" w:themeColor="text1"/>
          <w:u w:val="single"/>
          <w:lang w:val="en-GB"/>
        </w:rPr>
        <w:t>ARA / Sea</w:t>
      </w:r>
    </w:p>
    <w:p w:rsidR="00100E12" w:rsidRDefault="00100E12" w:rsidP="00100E12">
      <w:pPr>
        <w:spacing w:after="0"/>
        <w:rPr>
          <w:rFonts w:asciiTheme="minorBidi" w:hAnsiTheme="minorBidi"/>
          <w:color w:val="000000" w:themeColor="text1"/>
          <w:lang w:val="en-GB"/>
        </w:rPr>
      </w:pPr>
      <w:r>
        <w:rPr>
          <w:rFonts w:asciiTheme="minorBidi" w:hAnsiTheme="minorBidi"/>
          <w:color w:val="000000" w:themeColor="text1"/>
          <w:lang w:val="en-GB"/>
        </w:rPr>
        <w:t xml:space="preserve">32. </w:t>
      </w:r>
      <w:r w:rsidRPr="00536AA3">
        <w:rPr>
          <w:rFonts w:asciiTheme="minorBidi" w:hAnsiTheme="minorBidi"/>
          <w:color w:val="000000" w:themeColor="text1"/>
          <w:lang w:val="en-GB"/>
        </w:rPr>
        <w:t>From January 2009 until present, Israeli forces killed two fishermen in two separate incidents at sea, and injured 24</w:t>
      </w:r>
      <w:r>
        <w:rPr>
          <w:rFonts w:asciiTheme="minorBidi" w:hAnsiTheme="minorBidi"/>
          <w:color w:val="000000" w:themeColor="text1"/>
          <w:lang w:val="en-GB"/>
        </w:rPr>
        <w:t>, including two children,</w:t>
      </w:r>
      <w:r w:rsidRPr="00536AA3">
        <w:rPr>
          <w:rFonts w:asciiTheme="minorBidi" w:hAnsiTheme="minorBidi"/>
          <w:color w:val="000000" w:themeColor="text1"/>
          <w:lang w:val="en-GB"/>
        </w:rPr>
        <w:t xml:space="preserve"> in 20 separate incidents. In the same period, 214 fishermen were arrested</w:t>
      </w:r>
      <w:r>
        <w:rPr>
          <w:rFonts w:asciiTheme="minorBidi" w:hAnsiTheme="minorBidi"/>
          <w:color w:val="000000" w:themeColor="text1"/>
          <w:lang w:val="en-GB"/>
        </w:rPr>
        <w:t>, including 13 children,</w:t>
      </w:r>
      <w:r w:rsidRPr="00536AA3">
        <w:rPr>
          <w:rFonts w:asciiTheme="minorBidi" w:hAnsiTheme="minorBidi"/>
          <w:color w:val="000000" w:themeColor="text1"/>
          <w:lang w:val="en-GB"/>
        </w:rPr>
        <w:t xml:space="preserve"> by Israeli forces in 61 separate operations. The </w:t>
      </w:r>
      <w:r>
        <w:rPr>
          <w:rFonts w:asciiTheme="minorBidi" w:hAnsiTheme="minorBidi"/>
          <w:color w:val="000000" w:themeColor="text1"/>
          <w:lang w:val="en-GB"/>
        </w:rPr>
        <w:t>vast m</w:t>
      </w:r>
      <w:r w:rsidRPr="00536AA3">
        <w:rPr>
          <w:rFonts w:asciiTheme="minorBidi" w:hAnsiTheme="minorBidi"/>
          <w:color w:val="000000" w:themeColor="text1"/>
          <w:lang w:val="en-GB"/>
        </w:rPr>
        <w:t>ajority of the fishermen have since been released, although their boats remain under Israeli possession, which deprives the fishermen access to their livelihoods.</w:t>
      </w:r>
      <w:r w:rsidRPr="00A03E24">
        <w:rPr>
          <w:rStyle w:val="EndnoteReference"/>
          <w:rFonts w:asciiTheme="minorBidi" w:hAnsiTheme="minorBidi"/>
          <w:color w:val="000000" w:themeColor="text1"/>
          <w:lang w:val="en-GB"/>
        </w:rPr>
        <w:t xml:space="preserve"> </w:t>
      </w:r>
      <w:r>
        <w:rPr>
          <w:rStyle w:val="EndnoteReference"/>
          <w:rFonts w:asciiTheme="minorBidi" w:hAnsiTheme="minorBidi"/>
          <w:color w:val="000000" w:themeColor="text1"/>
          <w:lang w:val="en-GB"/>
        </w:rPr>
        <w:endnoteReference w:id="5"/>
      </w:r>
      <w:r>
        <w:rPr>
          <w:rFonts w:asciiTheme="minorBidi" w:hAnsiTheme="minorBidi"/>
          <w:color w:val="000000" w:themeColor="text1"/>
          <w:lang w:val="en-GB"/>
        </w:rPr>
        <w:t xml:space="preserve">  In three cases during 2011 and 2012, three of the fishermen arrested by Israeli forces were charged and given prison sentences; they remain in the Israeli prison system.</w:t>
      </w:r>
      <w:r w:rsidRPr="00A03E24">
        <w:rPr>
          <w:rStyle w:val="EndnoteReference"/>
          <w:rFonts w:asciiTheme="minorBidi" w:hAnsiTheme="minorBidi"/>
          <w:color w:val="000000" w:themeColor="text1"/>
          <w:lang w:val="en-GB"/>
        </w:rPr>
        <w:t xml:space="preserve"> </w:t>
      </w:r>
      <w:r>
        <w:rPr>
          <w:rFonts w:asciiTheme="minorBidi" w:hAnsiTheme="minorBidi"/>
          <w:color w:val="000000" w:themeColor="text1"/>
          <w:lang w:val="en-GB"/>
        </w:rPr>
        <w:t xml:space="preserve">According to Al </w:t>
      </w:r>
      <w:proofErr w:type="spellStart"/>
      <w:r>
        <w:rPr>
          <w:rFonts w:asciiTheme="minorBidi" w:hAnsiTheme="minorBidi"/>
          <w:color w:val="000000" w:themeColor="text1"/>
          <w:lang w:val="en-GB"/>
        </w:rPr>
        <w:t>Mezan’s</w:t>
      </w:r>
      <w:proofErr w:type="spellEnd"/>
      <w:r>
        <w:rPr>
          <w:rFonts w:asciiTheme="minorBidi" w:hAnsiTheme="minorBidi"/>
          <w:color w:val="000000" w:themeColor="text1"/>
          <w:lang w:val="en-GB"/>
        </w:rPr>
        <w:t xml:space="preserve"> documentation, in 51 incidents, Israeli forces confiscated 59 boats from January 2009 until present. </w:t>
      </w:r>
    </w:p>
    <w:p w:rsidR="00100E12" w:rsidRDefault="00100E12" w:rsidP="00100E12">
      <w:pPr>
        <w:spacing w:after="0"/>
        <w:rPr>
          <w:rFonts w:asciiTheme="minorBidi" w:hAnsiTheme="minorBidi"/>
          <w:lang w:val="en-GB"/>
        </w:rPr>
      </w:pPr>
    </w:p>
    <w:p w:rsidR="00100E12" w:rsidRPr="0014377A" w:rsidRDefault="00100E12" w:rsidP="00100E12">
      <w:pPr>
        <w:spacing w:after="0"/>
        <w:jc w:val="both"/>
        <w:rPr>
          <w:rFonts w:asciiTheme="minorBidi" w:hAnsiTheme="minorBidi"/>
          <w:bCs/>
          <w:color w:val="000000" w:themeColor="text1"/>
          <w:u w:val="single"/>
          <w:lang w:val="en-GB"/>
        </w:rPr>
      </w:pPr>
      <w:r>
        <w:rPr>
          <w:rFonts w:asciiTheme="minorBidi" w:hAnsiTheme="minorBidi"/>
          <w:bCs/>
          <w:color w:val="000000" w:themeColor="text1"/>
          <w:u w:val="single"/>
          <w:lang w:val="en-GB"/>
        </w:rPr>
        <w:t>Pillar of Defenc</w:t>
      </w:r>
      <w:r w:rsidRPr="00D20C0B">
        <w:rPr>
          <w:rFonts w:asciiTheme="minorBidi" w:hAnsiTheme="minorBidi"/>
          <w:bCs/>
          <w:color w:val="000000" w:themeColor="text1"/>
          <w:u w:val="single"/>
          <w:lang w:val="en-GB"/>
        </w:rPr>
        <w:t xml:space="preserve">e </w:t>
      </w:r>
      <w:r>
        <w:rPr>
          <w:rFonts w:asciiTheme="minorBidi" w:hAnsiTheme="minorBidi"/>
          <w:bCs/>
          <w:color w:val="000000" w:themeColor="text1"/>
          <w:u w:val="single"/>
          <w:lang w:val="en-GB"/>
        </w:rPr>
        <w:t xml:space="preserve">destruction </w:t>
      </w:r>
    </w:p>
    <w:p w:rsidR="00100E12" w:rsidRDefault="00100E12" w:rsidP="00100E12">
      <w:pPr>
        <w:spacing w:after="0"/>
        <w:rPr>
          <w:rFonts w:asciiTheme="minorBidi" w:hAnsiTheme="minorBidi"/>
          <w:lang w:val="en-GB"/>
        </w:rPr>
      </w:pPr>
      <w:r>
        <w:rPr>
          <w:rFonts w:asciiTheme="minorBidi" w:hAnsiTheme="minorBidi"/>
          <w:lang w:val="en-GB"/>
        </w:rPr>
        <w:t>33. A</w:t>
      </w:r>
      <w:r w:rsidRPr="00C17999">
        <w:rPr>
          <w:rFonts w:asciiTheme="minorBidi" w:hAnsiTheme="minorBidi"/>
          <w:lang w:val="en-GB"/>
        </w:rPr>
        <w:t xml:space="preserve">mong the destroyed houses, 55 were directly attacked and 34 were attacked using the 'roof-knocking' tactic. The Israeli attacks caused varying degrees of damage to 258 public facilities; including 15 health </w:t>
      </w:r>
      <w:proofErr w:type="spellStart"/>
      <w:r w:rsidRPr="00C17999">
        <w:rPr>
          <w:rFonts w:asciiTheme="minorBidi" w:hAnsiTheme="minorBidi"/>
          <w:lang w:val="en-GB"/>
        </w:rPr>
        <w:t>centers</w:t>
      </w:r>
      <w:proofErr w:type="spellEnd"/>
      <w:r w:rsidRPr="00C17999">
        <w:rPr>
          <w:rFonts w:asciiTheme="minorBidi" w:hAnsiTheme="minorBidi"/>
          <w:lang w:val="en-GB"/>
        </w:rPr>
        <w:t xml:space="preserve">, 90 schools, 2 universities, 50 mosques, 14 media offices, 2 UNRWA food distribution </w:t>
      </w:r>
      <w:proofErr w:type="spellStart"/>
      <w:r w:rsidRPr="00C17999">
        <w:rPr>
          <w:rFonts w:asciiTheme="minorBidi" w:hAnsiTheme="minorBidi"/>
          <w:lang w:val="en-GB"/>
        </w:rPr>
        <w:t>centers</w:t>
      </w:r>
      <w:proofErr w:type="spellEnd"/>
      <w:r w:rsidRPr="00C17999">
        <w:rPr>
          <w:rFonts w:asciiTheme="minorBidi" w:hAnsiTheme="minorBidi"/>
          <w:lang w:val="en-GB"/>
        </w:rPr>
        <w:t>, 12 ministerial offices, 12 police/security stations, 71 vehicle, 190 industrial and commercial facilities, and 189 agricultural lands, with a total area of 259,352 square meters.</w:t>
      </w:r>
    </w:p>
    <w:p w:rsidR="00720916" w:rsidRPr="00100E12" w:rsidRDefault="00720916">
      <w:pPr>
        <w:rPr>
          <w:lang w:val="en-GB"/>
        </w:rPr>
      </w:pPr>
      <w:bookmarkStart w:id="0" w:name="_GoBack"/>
      <w:bookmarkEnd w:id="0"/>
    </w:p>
    <w:sectPr w:rsidR="00720916" w:rsidRPr="00100E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5F" w:rsidRDefault="00F50B5F" w:rsidP="00100E12">
      <w:pPr>
        <w:spacing w:after="0" w:line="240" w:lineRule="auto"/>
      </w:pPr>
      <w:r>
        <w:separator/>
      </w:r>
    </w:p>
  </w:endnote>
  <w:endnote w:type="continuationSeparator" w:id="0">
    <w:p w:rsidR="00F50B5F" w:rsidRDefault="00F50B5F" w:rsidP="00100E12">
      <w:pPr>
        <w:spacing w:after="0" w:line="240" w:lineRule="auto"/>
      </w:pPr>
      <w:r>
        <w:continuationSeparator/>
      </w:r>
    </w:p>
  </w:endnote>
  <w:endnote w:id="1">
    <w:p w:rsidR="00100E12" w:rsidRPr="00B72308" w:rsidRDefault="00100E12" w:rsidP="00100E12">
      <w:pPr>
        <w:pStyle w:val="EndnoteText"/>
        <w:rPr>
          <w:rFonts w:asciiTheme="minorBidi" w:hAnsiTheme="minorBidi" w:cstheme="minorBidi"/>
          <w:sz w:val="16"/>
          <w:szCs w:val="16"/>
        </w:rPr>
      </w:pPr>
      <w:r w:rsidRPr="00B72308">
        <w:rPr>
          <w:rStyle w:val="EndnoteReference"/>
          <w:rFonts w:asciiTheme="minorBidi" w:hAnsiTheme="minorBidi" w:cstheme="minorBidi"/>
          <w:sz w:val="16"/>
          <w:szCs w:val="16"/>
        </w:rPr>
        <w:endnoteRef/>
      </w:r>
      <w:r w:rsidRPr="00B72308">
        <w:rPr>
          <w:rFonts w:asciiTheme="minorBidi" w:hAnsiTheme="minorBidi" w:cstheme="minorBidi"/>
          <w:sz w:val="16"/>
          <w:szCs w:val="16"/>
        </w:rPr>
        <w:t xml:space="preserve"> </w:t>
      </w:r>
      <w:proofErr w:type="gramStart"/>
      <w:r w:rsidRPr="00B72308">
        <w:rPr>
          <w:rFonts w:asciiTheme="minorBidi" w:hAnsiTheme="minorBidi" w:cstheme="minorBidi"/>
          <w:sz w:val="16"/>
          <w:szCs w:val="16"/>
        </w:rPr>
        <w:t xml:space="preserve">Al Mezan Database of compiled affidavits and reports, </w:t>
      </w:r>
      <w:r w:rsidRPr="00B72308">
        <w:rPr>
          <w:rFonts w:asciiTheme="minorBidi" w:hAnsiTheme="minorBidi" w:cstheme="minorBidi"/>
          <w:sz w:val="16"/>
          <w:szCs w:val="16"/>
          <w:u w:val="single"/>
        </w:rPr>
        <w:t>http://www.mezan.org/en/</w:t>
      </w:r>
      <w:r w:rsidRPr="00B72308">
        <w:rPr>
          <w:rFonts w:asciiTheme="minorBidi" w:hAnsiTheme="minorBidi" w:cstheme="minorBidi"/>
          <w:sz w:val="16"/>
          <w:szCs w:val="16"/>
        </w:rPr>
        <w:t xml:space="preserve"> (accessed on 12 July 2012).</w:t>
      </w:r>
      <w:proofErr w:type="gramEnd"/>
    </w:p>
  </w:endnote>
  <w:endnote w:id="2">
    <w:p w:rsidR="00100E12" w:rsidRPr="004A028D" w:rsidRDefault="00100E12" w:rsidP="00100E12">
      <w:pPr>
        <w:pStyle w:val="EndnoteText"/>
      </w:pPr>
      <w:r>
        <w:rPr>
          <w:rStyle w:val="EndnoteReference"/>
        </w:rPr>
        <w:endnoteRef/>
      </w:r>
      <w:r>
        <w:t xml:space="preserve"> </w:t>
      </w:r>
      <w:proofErr w:type="gramStart"/>
      <w:r w:rsidRPr="00B72308">
        <w:rPr>
          <w:rFonts w:asciiTheme="minorBidi" w:hAnsiTheme="minorBidi" w:cstheme="minorBidi"/>
          <w:sz w:val="16"/>
          <w:szCs w:val="16"/>
        </w:rPr>
        <w:t>Al Mezan Database of compiled affidavits and reports.</w:t>
      </w:r>
      <w:proofErr w:type="gramEnd"/>
    </w:p>
  </w:endnote>
  <w:endnote w:id="3">
    <w:p w:rsidR="00100E12" w:rsidRPr="00460759" w:rsidRDefault="00100E12" w:rsidP="00100E12">
      <w:pPr>
        <w:pStyle w:val="EndnoteText"/>
      </w:pPr>
      <w:r>
        <w:rPr>
          <w:rStyle w:val="EndnoteReference"/>
        </w:rPr>
        <w:endnoteRef/>
      </w:r>
      <w:r>
        <w:t xml:space="preserve"> </w:t>
      </w:r>
      <w:r w:rsidRPr="00460759">
        <w:t>(</w:t>
      </w:r>
      <w:proofErr w:type="gramStart"/>
      <w:r w:rsidRPr="00460759">
        <w:rPr>
          <w:rFonts w:ascii="Arial" w:hAnsi="Arial" w:cs="Arial"/>
          <w:sz w:val="16"/>
          <w:szCs w:val="16"/>
        </w:rPr>
        <w:t>see</w:t>
      </w:r>
      <w:proofErr w:type="gramEnd"/>
      <w:r w:rsidRPr="00460759">
        <w:rPr>
          <w:rFonts w:ascii="Arial" w:hAnsi="Arial" w:cs="Arial"/>
          <w:sz w:val="16"/>
          <w:szCs w:val="16"/>
        </w:rPr>
        <w:t xml:space="preserve"> http://www.mezan.org/en/details.php?id=10398&amp;ddname=torture&amp;id_dept=31&amp;id2=9&amp;p=center, June 2010).</w:t>
      </w:r>
    </w:p>
  </w:endnote>
  <w:endnote w:id="4">
    <w:p w:rsidR="00100E12" w:rsidRPr="004A028D" w:rsidRDefault="00100E12" w:rsidP="00100E12">
      <w:pPr>
        <w:pStyle w:val="EndnoteText"/>
      </w:pPr>
      <w:r>
        <w:rPr>
          <w:rStyle w:val="EndnoteReference"/>
        </w:rPr>
        <w:endnoteRef/>
      </w:r>
      <w:r>
        <w:t xml:space="preserve"> </w:t>
      </w:r>
      <w:proofErr w:type="gramStart"/>
      <w:r w:rsidRPr="00B72308">
        <w:rPr>
          <w:rFonts w:asciiTheme="minorBidi" w:hAnsiTheme="minorBidi" w:cstheme="minorBidi"/>
          <w:sz w:val="16"/>
          <w:szCs w:val="16"/>
        </w:rPr>
        <w:t>Al Mezan Database of compiled affidavits and reports.</w:t>
      </w:r>
      <w:proofErr w:type="gramEnd"/>
    </w:p>
  </w:endnote>
  <w:endnote w:id="5">
    <w:p w:rsidR="00100E12" w:rsidRPr="00B72308" w:rsidRDefault="00100E12" w:rsidP="00100E12">
      <w:pPr>
        <w:pStyle w:val="EndnoteText"/>
        <w:rPr>
          <w:rFonts w:asciiTheme="minorBidi" w:hAnsiTheme="minorBidi" w:cstheme="minorBidi"/>
          <w:sz w:val="16"/>
          <w:szCs w:val="16"/>
          <w:lang w:val="nl-NL"/>
        </w:rPr>
      </w:pPr>
      <w:r w:rsidRPr="00B72308">
        <w:rPr>
          <w:rStyle w:val="EndnoteReference"/>
          <w:rFonts w:asciiTheme="minorBidi" w:hAnsiTheme="minorBidi" w:cstheme="minorBidi"/>
          <w:sz w:val="16"/>
          <w:szCs w:val="16"/>
        </w:rPr>
        <w:endnoteRef/>
      </w:r>
      <w:r w:rsidRPr="00B72308">
        <w:rPr>
          <w:rFonts w:asciiTheme="minorBidi" w:hAnsiTheme="minorBidi" w:cstheme="minorBidi"/>
          <w:sz w:val="16"/>
          <w:szCs w:val="16"/>
        </w:rPr>
        <w:t xml:space="preserve"> </w:t>
      </w:r>
      <w:proofErr w:type="gramStart"/>
      <w:r w:rsidRPr="00B72308">
        <w:rPr>
          <w:rFonts w:asciiTheme="minorBidi" w:hAnsiTheme="minorBidi" w:cstheme="minorBidi"/>
          <w:sz w:val="16"/>
          <w:szCs w:val="16"/>
        </w:rPr>
        <w:t>Al Mezan Database of compiled affidavits and reports.</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5F" w:rsidRDefault="00F50B5F" w:rsidP="00100E12">
      <w:pPr>
        <w:spacing w:after="0" w:line="240" w:lineRule="auto"/>
      </w:pPr>
      <w:r>
        <w:separator/>
      </w:r>
    </w:p>
  </w:footnote>
  <w:footnote w:type="continuationSeparator" w:id="0">
    <w:p w:rsidR="00F50B5F" w:rsidRDefault="00F50B5F" w:rsidP="00100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12"/>
    <w:rsid w:val="00100E12"/>
    <w:rsid w:val="00720916"/>
    <w:rsid w:val="00F50B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00E12"/>
    <w:pPr>
      <w:spacing w:after="0" w:line="240" w:lineRule="auto"/>
    </w:pPr>
    <w:rPr>
      <w:rFonts w:ascii="Calibri" w:eastAsia="Calibri" w:hAnsi="Calibri" w:cs="Courier New"/>
      <w:sz w:val="20"/>
      <w:szCs w:val="20"/>
      <w:lang w:val="en-GB"/>
    </w:rPr>
  </w:style>
  <w:style w:type="character" w:customStyle="1" w:styleId="EndnoteTextChar">
    <w:name w:val="Endnote Text Char"/>
    <w:basedOn w:val="DefaultParagraphFont"/>
    <w:link w:val="EndnoteText"/>
    <w:uiPriority w:val="99"/>
    <w:semiHidden/>
    <w:rsid w:val="00100E12"/>
    <w:rPr>
      <w:rFonts w:ascii="Calibri" w:eastAsia="Calibri" w:hAnsi="Calibri" w:cs="Courier New"/>
      <w:sz w:val="20"/>
      <w:szCs w:val="20"/>
    </w:rPr>
  </w:style>
  <w:style w:type="character" w:styleId="EndnoteReference">
    <w:name w:val="endnote reference"/>
    <w:basedOn w:val="DefaultParagraphFont"/>
    <w:uiPriority w:val="99"/>
    <w:semiHidden/>
    <w:unhideWhenUsed/>
    <w:rsid w:val="00100E12"/>
    <w:rPr>
      <w:vertAlign w:val="superscript"/>
    </w:rPr>
  </w:style>
  <w:style w:type="paragraph" w:customStyle="1" w:styleId="ColorfulList-Accent11">
    <w:name w:val="Colorful List - Accent 11"/>
    <w:basedOn w:val="Normal"/>
    <w:uiPriority w:val="34"/>
    <w:qFormat/>
    <w:rsid w:val="00100E12"/>
    <w:pPr>
      <w:spacing w:after="0" w:line="240" w:lineRule="auto"/>
      <w:ind w:left="720"/>
      <w:contextualSpacing/>
    </w:pPr>
    <w:rPr>
      <w:rFonts w:ascii="Calibri" w:eastAsia="Times New Roman" w:hAnsi="Calibri"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00E12"/>
    <w:pPr>
      <w:spacing w:after="0" w:line="240" w:lineRule="auto"/>
    </w:pPr>
    <w:rPr>
      <w:rFonts w:ascii="Calibri" w:eastAsia="Calibri" w:hAnsi="Calibri" w:cs="Courier New"/>
      <w:sz w:val="20"/>
      <w:szCs w:val="20"/>
      <w:lang w:val="en-GB"/>
    </w:rPr>
  </w:style>
  <w:style w:type="character" w:customStyle="1" w:styleId="EndnoteTextChar">
    <w:name w:val="Endnote Text Char"/>
    <w:basedOn w:val="DefaultParagraphFont"/>
    <w:link w:val="EndnoteText"/>
    <w:uiPriority w:val="99"/>
    <w:semiHidden/>
    <w:rsid w:val="00100E12"/>
    <w:rPr>
      <w:rFonts w:ascii="Calibri" w:eastAsia="Calibri" w:hAnsi="Calibri" w:cs="Courier New"/>
      <w:sz w:val="20"/>
      <w:szCs w:val="20"/>
    </w:rPr>
  </w:style>
  <w:style w:type="character" w:styleId="EndnoteReference">
    <w:name w:val="endnote reference"/>
    <w:basedOn w:val="DefaultParagraphFont"/>
    <w:uiPriority w:val="99"/>
    <w:semiHidden/>
    <w:unhideWhenUsed/>
    <w:rsid w:val="00100E12"/>
    <w:rPr>
      <w:vertAlign w:val="superscript"/>
    </w:rPr>
  </w:style>
  <w:style w:type="paragraph" w:customStyle="1" w:styleId="ColorfulList-Accent11">
    <w:name w:val="Colorful List - Accent 11"/>
    <w:basedOn w:val="Normal"/>
    <w:uiPriority w:val="34"/>
    <w:qFormat/>
    <w:rsid w:val="00100E12"/>
    <w:pPr>
      <w:spacing w:after="0" w:line="240" w:lineRule="auto"/>
      <w:ind w:left="720"/>
      <w:contextualSpacing/>
    </w:pPr>
    <w:rPr>
      <w:rFonts w:ascii="Calibri" w:eastAsia="Times New Roman" w:hAnsi="Calibri"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076F47-B66B-4143-9650-0E7AE2FE8A4B}"/>
</file>

<file path=customXml/itemProps2.xml><?xml version="1.0" encoding="utf-8"?>
<ds:datastoreItem xmlns:ds="http://schemas.openxmlformats.org/officeDocument/2006/customXml" ds:itemID="{DB2DC21A-9045-40CD-8795-F244C3B5B1ED}"/>
</file>

<file path=customXml/itemProps3.xml><?xml version="1.0" encoding="utf-8"?>
<ds:datastoreItem xmlns:ds="http://schemas.openxmlformats.org/officeDocument/2006/customXml" ds:itemID="{F6A453A9-0518-43C4-AE3A-916124050F92}"/>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cp:revision>
  <dcterms:created xsi:type="dcterms:W3CDTF">2013-09-30T10:23:00Z</dcterms:created>
  <dcterms:modified xsi:type="dcterms:W3CDTF">2013-09-30T10:23:00Z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