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563" w:rsidRPr="00C734F0" w:rsidRDefault="00CB5563" w:rsidP="00C734F0">
      <w:pPr>
        <w:spacing w:after="0" w:line="240" w:lineRule="auto"/>
        <w:jc w:val="center"/>
        <w:rPr>
          <w:sz w:val="24"/>
          <w:szCs w:val="24"/>
          <w:lang w:val="en-US" w:bidi="he-IL"/>
        </w:rPr>
      </w:pPr>
    </w:p>
    <w:p w:rsidR="00C734F0" w:rsidRPr="00C734F0" w:rsidRDefault="00C734F0" w:rsidP="00C734F0">
      <w:pPr>
        <w:spacing w:after="0" w:line="240" w:lineRule="auto"/>
        <w:jc w:val="center"/>
        <w:rPr>
          <w:sz w:val="24"/>
          <w:szCs w:val="24"/>
          <w:lang w:val="en-US" w:bidi="he-IL"/>
        </w:rPr>
      </w:pPr>
    </w:p>
    <w:p w:rsidR="00C734F0" w:rsidRPr="00C734F0" w:rsidRDefault="00C734F0" w:rsidP="00C734F0">
      <w:pPr>
        <w:spacing w:after="0" w:line="240" w:lineRule="auto"/>
        <w:jc w:val="center"/>
        <w:rPr>
          <w:sz w:val="24"/>
          <w:szCs w:val="24"/>
          <w:lang w:val="en-US" w:bidi="he-IL"/>
        </w:rPr>
      </w:pPr>
    </w:p>
    <w:p w:rsidR="00C734F0" w:rsidRPr="00C734F0" w:rsidRDefault="00C734F0" w:rsidP="00C734F0">
      <w:pPr>
        <w:spacing w:after="0" w:line="240" w:lineRule="auto"/>
        <w:jc w:val="center"/>
        <w:rPr>
          <w:sz w:val="24"/>
          <w:szCs w:val="24"/>
          <w:lang w:val="en-US" w:bidi="he-IL"/>
        </w:rPr>
      </w:pPr>
    </w:p>
    <w:p w:rsidR="00C734F0" w:rsidRPr="00C734F0" w:rsidRDefault="00C734F0" w:rsidP="00C734F0">
      <w:pPr>
        <w:spacing w:after="0" w:line="240" w:lineRule="auto"/>
        <w:jc w:val="center"/>
        <w:rPr>
          <w:sz w:val="24"/>
          <w:szCs w:val="24"/>
          <w:lang w:val="en-US" w:bidi="he-IL"/>
        </w:rPr>
      </w:pPr>
    </w:p>
    <w:p w:rsidR="00C734F0" w:rsidRPr="00C734F0" w:rsidRDefault="00C734F0" w:rsidP="00C734F0">
      <w:pPr>
        <w:spacing w:after="0" w:line="240" w:lineRule="auto"/>
        <w:jc w:val="center"/>
        <w:rPr>
          <w:sz w:val="24"/>
          <w:szCs w:val="24"/>
          <w:lang w:val="en-US" w:bidi="he-IL"/>
        </w:rPr>
      </w:pPr>
    </w:p>
    <w:p w:rsidR="004C44EC" w:rsidRDefault="00C734F0" w:rsidP="004C44EC">
      <w:pPr>
        <w:spacing w:after="0" w:line="240" w:lineRule="auto"/>
        <w:jc w:val="center"/>
        <w:rPr>
          <w:rFonts w:cs="Times New Roman"/>
          <w:sz w:val="44"/>
          <w:szCs w:val="24"/>
        </w:rPr>
      </w:pPr>
      <w:r w:rsidRPr="000848DB">
        <w:rPr>
          <w:rFonts w:cs="Times New Roman"/>
          <w:sz w:val="44"/>
          <w:szCs w:val="24"/>
        </w:rPr>
        <w:t xml:space="preserve">Adalah’s </w:t>
      </w:r>
      <w:r w:rsidRPr="000848DB">
        <w:rPr>
          <w:rFonts w:cs="Times New Roman"/>
          <w:sz w:val="44"/>
          <w:szCs w:val="24"/>
        </w:rPr>
        <w:t>Report</w:t>
      </w:r>
      <w:r w:rsidRPr="000848DB">
        <w:rPr>
          <w:rFonts w:cs="Times New Roman"/>
          <w:sz w:val="44"/>
          <w:szCs w:val="24"/>
        </w:rPr>
        <w:t xml:space="preserve"> to </w:t>
      </w:r>
      <w:r w:rsidR="004128D0">
        <w:rPr>
          <w:rFonts w:cs="Times New Roman"/>
          <w:sz w:val="44"/>
          <w:szCs w:val="24"/>
        </w:rPr>
        <w:t>the</w:t>
      </w:r>
      <w:r w:rsidR="004C44EC">
        <w:rPr>
          <w:rFonts w:cs="Times New Roman"/>
          <w:sz w:val="44"/>
          <w:szCs w:val="24"/>
        </w:rPr>
        <w:t xml:space="preserve"> </w:t>
      </w:r>
      <w:r w:rsidRPr="000848DB">
        <w:rPr>
          <w:rFonts w:cs="Times New Roman"/>
          <w:sz w:val="44"/>
          <w:szCs w:val="24"/>
        </w:rPr>
        <w:t>United Nations</w:t>
      </w:r>
    </w:p>
    <w:p w:rsidR="00C734F0" w:rsidRPr="000848DB" w:rsidRDefault="00C734F0" w:rsidP="004C44EC">
      <w:pPr>
        <w:spacing w:after="0" w:line="240" w:lineRule="auto"/>
        <w:jc w:val="center"/>
        <w:rPr>
          <w:rFonts w:cs="Times New Roman"/>
          <w:sz w:val="44"/>
          <w:szCs w:val="24"/>
        </w:rPr>
      </w:pPr>
      <w:r w:rsidRPr="000848DB">
        <w:rPr>
          <w:rFonts w:cs="Times New Roman"/>
          <w:sz w:val="44"/>
          <w:szCs w:val="24"/>
        </w:rPr>
        <w:t>Human Rights Council’s</w:t>
      </w:r>
    </w:p>
    <w:p w:rsidR="00C734F0" w:rsidRPr="000848DB" w:rsidRDefault="00C734F0" w:rsidP="00C734F0">
      <w:pPr>
        <w:spacing w:after="0" w:line="240" w:lineRule="auto"/>
        <w:jc w:val="center"/>
        <w:rPr>
          <w:rFonts w:cs="Times New Roman"/>
          <w:sz w:val="44"/>
          <w:szCs w:val="24"/>
        </w:rPr>
      </w:pPr>
      <w:r w:rsidRPr="000848DB">
        <w:rPr>
          <w:rFonts w:cs="Times New Roman"/>
          <w:sz w:val="44"/>
          <w:szCs w:val="24"/>
        </w:rPr>
        <w:t>Universal Periodic Review of Israel</w:t>
      </w:r>
    </w:p>
    <w:p w:rsidR="00C734F0" w:rsidRPr="00C734F0" w:rsidRDefault="00FD5CCA" w:rsidP="00C734F0">
      <w:pPr>
        <w:spacing w:after="0" w:line="240" w:lineRule="auto"/>
        <w:jc w:val="center"/>
        <w:rPr>
          <w:rFonts w:cs="Times New Roman"/>
          <w:b/>
        </w:rPr>
      </w:pPr>
      <w:r>
        <w:rPr>
          <w:rFonts w:cs="Times New Roman"/>
          <w:sz w:val="44"/>
          <w:szCs w:val="24"/>
        </w:rPr>
        <w:t xml:space="preserve">29 </w:t>
      </w:r>
      <w:r w:rsidR="00C734F0" w:rsidRPr="000848DB">
        <w:rPr>
          <w:rFonts w:cs="Times New Roman"/>
          <w:sz w:val="44"/>
          <w:szCs w:val="24"/>
        </w:rPr>
        <w:t>October</w:t>
      </w:r>
      <w:r w:rsidR="00C734F0" w:rsidRPr="000848DB">
        <w:rPr>
          <w:rFonts w:cs="Times New Roman"/>
          <w:sz w:val="44"/>
          <w:szCs w:val="24"/>
        </w:rPr>
        <w:t xml:space="preserve"> 2013</w:t>
      </w:r>
    </w:p>
    <w:p w:rsidR="00C734F0" w:rsidRPr="00C734F0" w:rsidRDefault="00C734F0" w:rsidP="00C734F0">
      <w:pPr>
        <w:spacing w:after="0" w:line="240" w:lineRule="auto"/>
        <w:rPr>
          <w:rFonts w:cs="Times New Roman"/>
          <w:b/>
        </w:rPr>
      </w:pPr>
    </w:p>
    <w:p w:rsidR="00C734F0" w:rsidRPr="00C734F0" w:rsidRDefault="00C734F0" w:rsidP="00C734F0">
      <w:pPr>
        <w:spacing w:after="0" w:line="240" w:lineRule="auto"/>
        <w:rPr>
          <w:rFonts w:cs="Times New Roman"/>
          <w:b/>
        </w:rPr>
      </w:pPr>
    </w:p>
    <w:p w:rsidR="00C734F0" w:rsidRPr="00C734F0" w:rsidRDefault="00C734F0" w:rsidP="00C734F0">
      <w:pPr>
        <w:spacing w:after="0" w:line="240" w:lineRule="auto"/>
        <w:rPr>
          <w:rFonts w:cs="Times New Roman"/>
          <w:b/>
        </w:rPr>
      </w:pPr>
    </w:p>
    <w:p w:rsidR="00C734F0" w:rsidRPr="00C734F0" w:rsidRDefault="00C734F0" w:rsidP="00C734F0">
      <w:pPr>
        <w:spacing w:after="0" w:line="240" w:lineRule="auto"/>
        <w:jc w:val="center"/>
        <w:rPr>
          <w:rFonts w:cs="Times New Roman"/>
          <w:sz w:val="28"/>
        </w:rPr>
      </w:pPr>
      <w:r w:rsidRPr="00C734F0">
        <w:rPr>
          <w:rFonts w:cs="Times New Roman"/>
          <w:sz w:val="28"/>
        </w:rPr>
        <w:t xml:space="preserve">Submitted </w:t>
      </w:r>
      <w:r w:rsidR="00F9121E">
        <w:rPr>
          <w:rFonts w:cs="Times New Roman"/>
          <w:sz w:val="28"/>
        </w:rPr>
        <w:t xml:space="preserve">30 </w:t>
      </w:r>
      <w:bookmarkStart w:id="0" w:name="_GoBack"/>
      <w:bookmarkEnd w:id="0"/>
      <w:r>
        <w:rPr>
          <w:rFonts w:cs="Times New Roman"/>
          <w:sz w:val="28"/>
        </w:rPr>
        <w:t>September 2013</w:t>
      </w:r>
    </w:p>
    <w:p w:rsidR="00C734F0" w:rsidRPr="00C734F0" w:rsidRDefault="00C734F0" w:rsidP="00C734F0">
      <w:pPr>
        <w:spacing w:after="0" w:line="240" w:lineRule="auto"/>
        <w:rPr>
          <w:rFonts w:cs="Times New Roman"/>
          <w:b/>
        </w:rPr>
      </w:pPr>
    </w:p>
    <w:p w:rsidR="00C734F0" w:rsidRPr="00C734F0" w:rsidRDefault="00C734F0" w:rsidP="00C734F0">
      <w:pPr>
        <w:spacing w:after="0" w:line="240" w:lineRule="auto"/>
        <w:rPr>
          <w:rFonts w:cs="Times New Roman"/>
          <w:b/>
        </w:rPr>
      </w:pPr>
    </w:p>
    <w:p w:rsidR="00C734F0" w:rsidRPr="00C734F0" w:rsidRDefault="00C734F0" w:rsidP="00C734F0">
      <w:pPr>
        <w:spacing w:after="0" w:line="240" w:lineRule="auto"/>
        <w:rPr>
          <w:rFonts w:cs="Times New Roman"/>
          <w:b/>
        </w:rPr>
      </w:pPr>
    </w:p>
    <w:p w:rsidR="00C734F0" w:rsidRPr="00C734F0" w:rsidRDefault="00C734F0" w:rsidP="00C734F0">
      <w:pPr>
        <w:spacing w:after="0" w:line="240" w:lineRule="auto"/>
        <w:rPr>
          <w:rFonts w:cs="Times New Roman"/>
          <w:b/>
        </w:rPr>
      </w:pPr>
    </w:p>
    <w:p w:rsidR="00C734F0" w:rsidRPr="00C734F0" w:rsidRDefault="00C734F0" w:rsidP="00C734F0">
      <w:pPr>
        <w:spacing w:after="0" w:line="240" w:lineRule="auto"/>
        <w:rPr>
          <w:rFonts w:cs="Times New Roman"/>
          <w:b/>
        </w:rPr>
      </w:pPr>
    </w:p>
    <w:p w:rsidR="00C734F0" w:rsidRPr="00C734F0" w:rsidRDefault="00C734F0" w:rsidP="00C734F0">
      <w:pPr>
        <w:spacing w:after="0" w:line="240" w:lineRule="auto"/>
        <w:rPr>
          <w:rFonts w:cs="Times New Roman"/>
          <w:b/>
        </w:rPr>
      </w:pPr>
    </w:p>
    <w:p w:rsidR="00C734F0" w:rsidRDefault="00C734F0" w:rsidP="00C734F0">
      <w:pPr>
        <w:spacing w:after="0" w:line="240" w:lineRule="auto"/>
        <w:rPr>
          <w:rFonts w:cs="Times New Roman"/>
        </w:rPr>
      </w:pPr>
    </w:p>
    <w:p w:rsidR="00C734F0" w:rsidRDefault="00C734F0" w:rsidP="00C734F0">
      <w:pPr>
        <w:spacing w:after="0" w:line="240" w:lineRule="auto"/>
        <w:rPr>
          <w:rFonts w:cs="Times New Roman"/>
        </w:rPr>
      </w:pPr>
    </w:p>
    <w:p w:rsidR="00C734F0" w:rsidRDefault="00C734F0" w:rsidP="00C734F0">
      <w:pPr>
        <w:spacing w:after="0" w:line="240" w:lineRule="auto"/>
        <w:rPr>
          <w:rFonts w:cs="Times New Roman"/>
        </w:rPr>
      </w:pPr>
    </w:p>
    <w:p w:rsidR="00C734F0" w:rsidRDefault="00C734F0" w:rsidP="00C734F0">
      <w:pPr>
        <w:spacing w:after="0" w:line="240" w:lineRule="auto"/>
        <w:rPr>
          <w:rFonts w:cs="Times New Roman"/>
        </w:rPr>
      </w:pPr>
    </w:p>
    <w:p w:rsidR="000848DB" w:rsidRDefault="000848DB" w:rsidP="00C734F0">
      <w:pPr>
        <w:spacing w:after="0" w:line="240" w:lineRule="auto"/>
        <w:rPr>
          <w:rFonts w:cs="Times New Roman"/>
        </w:rPr>
      </w:pPr>
    </w:p>
    <w:p w:rsidR="000848DB" w:rsidRDefault="000848DB" w:rsidP="00C734F0">
      <w:pPr>
        <w:spacing w:after="0" w:line="240" w:lineRule="auto"/>
        <w:rPr>
          <w:rFonts w:cs="Times New Roman"/>
        </w:rPr>
      </w:pPr>
    </w:p>
    <w:p w:rsidR="00C734F0" w:rsidRDefault="00C734F0" w:rsidP="00C734F0">
      <w:pPr>
        <w:spacing w:after="0" w:line="240" w:lineRule="auto"/>
        <w:rPr>
          <w:rFonts w:cs="Times New Roman"/>
        </w:rPr>
      </w:pPr>
    </w:p>
    <w:p w:rsidR="00E87BB6" w:rsidRDefault="00E87BB6" w:rsidP="00C734F0">
      <w:pPr>
        <w:spacing w:after="0" w:line="240" w:lineRule="auto"/>
        <w:rPr>
          <w:rFonts w:cs="Times New Roman"/>
        </w:rPr>
      </w:pPr>
    </w:p>
    <w:p w:rsidR="00C734F0" w:rsidRPr="00C734F0" w:rsidRDefault="00C734F0" w:rsidP="00C734F0">
      <w:pPr>
        <w:spacing w:after="0" w:line="240" w:lineRule="auto"/>
        <w:rPr>
          <w:rFonts w:cs="Times New Roman"/>
        </w:rPr>
      </w:pPr>
    </w:p>
    <w:p w:rsidR="00C734F0" w:rsidRPr="00C734F0" w:rsidRDefault="00C734F0" w:rsidP="00C734F0">
      <w:pPr>
        <w:spacing w:after="0" w:line="240" w:lineRule="auto"/>
        <w:rPr>
          <w:rFonts w:cs="Times New Roman"/>
        </w:rPr>
      </w:pPr>
    </w:p>
    <w:p w:rsidR="00C734F0" w:rsidRPr="00E87BB6" w:rsidRDefault="00C734F0" w:rsidP="00E87BB6">
      <w:pPr>
        <w:spacing w:after="0" w:line="240" w:lineRule="auto"/>
        <w:jc w:val="both"/>
        <w:rPr>
          <w:rFonts w:cs="Times New Roman"/>
          <w:i/>
          <w:sz w:val="24"/>
          <w:szCs w:val="24"/>
        </w:rPr>
      </w:pPr>
      <w:r w:rsidRPr="00585C8F">
        <w:rPr>
          <w:rFonts w:cs="Times New Roman"/>
          <w:b/>
          <w:i/>
          <w:sz w:val="24"/>
          <w:szCs w:val="24"/>
        </w:rPr>
        <w:t>Adalah</w:t>
      </w:r>
      <w:r w:rsidRPr="00585C8F">
        <w:rPr>
          <w:rFonts w:cs="Times New Roman"/>
          <w:i/>
          <w:sz w:val="24"/>
          <w:szCs w:val="24"/>
        </w:rPr>
        <w:t xml:space="preserve"> (“Justice” in Arabic) is an independent human rights organization. Established in 1996, it works to promote and defend the rights of Palestinians in Israel and the Occupied Palestinian Territory (OPT). Adalah has special consultative status with ECOSOC. Adalah welcomes the opportunity to contribute to the Universal Periodic Review of Israel’s compliance with international human rights law. As submissions may not exceed five pages, this document gives a very brief summary of a selection of relevant issues.</w:t>
      </w:r>
    </w:p>
    <w:p w:rsidR="00C734F0" w:rsidRPr="00AA7633" w:rsidRDefault="00C734F0" w:rsidP="00E87BB6">
      <w:pPr>
        <w:spacing w:after="0" w:line="240" w:lineRule="auto"/>
        <w:rPr>
          <w:sz w:val="24"/>
          <w:szCs w:val="24"/>
          <w:lang w:val="en-US" w:bidi="he-IL"/>
        </w:rPr>
      </w:pPr>
    </w:p>
    <w:p w:rsidR="00C734F0" w:rsidRDefault="00C734F0">
      <w:pPr>
        <w:rPr>
          <w:b/>
          <w:bCs/>
          <w:sz w:val="24"/>
          <w:szCs w:val="24"/>
        </w:rPr>
      </w:pPr>
      <w:r>
        <w:rPr>
          <w:b/>
          <w:bCs/>
          <w:sz w:val="24"/>
          <w:szCs w:val="24"/>
        </w:rPr>
        <w:br w:type="page"/>
      </w:r>
    </w:p>
    <w:p w:rsidR="009120E1" w:rsidRPr="00AA7633" w:rsidRDefault="000D6D91" w:rsidP="000D6D91">
      <w:pPr>
        <w:spacing w:after="0" w:line="240" w:lineRule="auto"/>
        <w:jc w:val="center"/>
        <w:rPr>
          <w:b/>
          <w:bCs/>
          <w:sz w:val="24"/>
          <w:szCs w:val="24"/>
        </w:rPr>
      </w:pPr>
      <w:r w:rsidRPr="00AA7633">
        <w:rPr>
          <w:b/>
          <w:bCs/>
          <w:sz w:val="24"/>
          <w:szCs w:val="24"/>
        </w:rPr>
        <w:lastRenderedPageBreak/>
        <w:t>Adalah</w:t>
      </w:r>
      <w:r w:rsidR="009120E1" w:rsidRPr="00AA7633">
        <w:rPr>
          <w:b/>
          <w:bCs/>
          <w:sz w:val="24"/>
          <w:szCs w:val="24"/>
        </w:rPr>
        <w:t xml:space="preserve"> – The Legal Center for Arab Minority Rights in Israel</w:t>
      </w:r>
    </w:p>
    <w:p w:rsidR="00935861" w:rsidRPr="00AA7633" w:rsidRDefault="00E47938" w:rsidP="009120E1">
      <w:pPr>
        <w:spacing w:after="0" w:line="240" w:lineRule="auto"/>
        <w:jc w:val="center"/>
        <w:rPr>
          <w:b/>
          <w:bCs/>
          <w:sz w:val="24"/>
          <w:szCs w:val="24"/>
        </w:rPr>
      </w:pPr>
      <w:r w:rsidRPr="00AA7633">
        <w:rPr>
          <w:b/>
          <w:bCs/>
          <w:sz w:val="24"/>
          <w:szCs w:val="24"/>
        </w:rPr>
        <w:t>Report</w:t>
      </w:r>
      <w:r w:rsidR="000D6D91" w:rsidRPr="00AA7633">
        <w:rPr>
          <w:b/>
          <w:bCs/>
          <w:sz w:val="24"/>
          <w:szCs w:val="24"/>
        </w:rPr>
        <w:t xml:space="preserve"> to the </w:t>
      </w:r>
      <w:r w:rsidR="009120E1" w:rsidRPr="00AA7633">
        <w:rPr>
          <w:b/>
          <w:bCs/>
          <w:sz w:val="24"/>
          <w:szCs w:val="24"/>
        </w:rPr>
        <w:t xml:space="preserve">UN </w:t>
      </w:r>
      <w:r w:rsidR="000D6D91" w:rsidRPr="00AA7633">
        <w:rPr>
          <w:b/>
          <w:bCs/>
          <w:sz w:val="24"/>
          <w:szCs w:val="24"/>
        </w:rPr>
        <w:t>Universal Periodic Review</w:t>
      </w:r>
      <w:r w:rsidR="009120E1" w:rsidRPr="00AA7633">
        <w:rPr>
          <w:b/>
          <w:bCs/>
          <w:sz w:val="24"/>
          <w:szCs w:val="24"/>
        </w:rPr>
        <w:t xml:space="preserve"> of Israel, </w:t>
      </w:r>
      <w:r w:rsidR="00EE37D9" w:rsidRPr="00AA7633">
        <w:rPr>
          <w:b/>
          <w:bCs/>
          <w:sz w:val="24"/>
          <w:szCs w:val="24"/>
        </w:rPr>
        <w:t xml:space="preserve">29 </w:t>
      </w:r>
      <w:r w:rsidR="009120E1" w:rsidRPr="00AA7633">
        <w:rPr>
          <w:b/>
          <w:bCs/>
          <w:sz w:val="24"/>
          <w:szCs w:val="24"/>
        </w:rPr>
        <w:t>October 2013</w:t>
      </w:r>
    </w:p>
    <w:p w:rsidR="00E47938" w:rsidRPr="00AA7633" w:rsidRDefault="00E47938" w:rsidP="009120E1">
      <w:pPr>
        <w:spacing w:after="0" w:line="240" w:lineRule="auto"/>
        <w:jc w:val="center"/>
        <w:rPr>
          <w:sz w:val="24"/>
          <w:szCs w:val="24"/>
        </w:rPr>
      </w:pPr>
      <w:r w:rsidRPr="00AA7633">
        <w:rPr>
          <w:sz w:val="24"/>
          <w:szCs w:val="24"/>
        </w:rPr>
        <w:t xml:space="preserve">Submitted </w:t>
      </w:r>
      <w:r w:rsidR="006B0DBC" w:rsidRPr="00AA7633">
        <w:rPr>
          <w:sz w:val="24"/>
          <w:szCs w:val="24"/>
        </w:rPr>
        <w:t xml:space="preserve">30 </w:t>
      </w:r>
      <w:r w:rsidRPr="00AA7633">
        <w:rPr>
          <w:sz w:val="24"/>
          <w:szCs w:val="24"/>
        </w:rPr>
        <w:t>September 2013</w:t>
      </w:r>
    </w:p>
    <w:p w:rsidR="008919F0" w:rsidRPr="00AA7633" w:rsidRDefault="008919F0" w:rsidP="00451CDE">
      <w:pPr>
        <w:spacing w:after="0" w:line="240" w:lineRule="auto"/>
        <w:rPr>
          <w:sz w:val="24"/>
          <w:szCs w:val="24"/>
        </w:rPr>
      </w:pPr>
    </w:p>
    <w:p w:rsidR="008919F0" w:rsidRPr="00AA7633" w:rsidRDefault="008919F0" w:rsidP="006B0DBC">
      <w:pPr>
        <w:spacing w:after="0" w:line="240" w:lineRule="auto"/>
        <w:jc w:val="both"/>
        <w:rPr>
          <w:sz w:val="24"/>
          <w:szCs w:val="24"/>
        </w:rPr>
      </w:pPr>
      <w:r w:rsidRPr="00AA7633">
        <w:rPr>
          <w:sz w:val="24"/>
          <w:szCs w:val="24"/>
        </w:rPr>
        <w:t xml:space="preserve">Adalah is pleased to submit its second report </w:t>
      </w:r>
      <w:r w:rsidR="00696AD3" w:rsidRPr="00AA7633">
        <w:rPr>
          <w:sz w:val="24"/>
          <w:szCs w:val="24"/>
        </w:rPr>
        <w:t>to the</w:t>
      </w:r>
      <w:r w:rsidRPr="00AA7633">
        <w:rPr>
          <w:sz w:val="24"/>
          <w:szCs w:val="24"/>
        </w:rPr>
        <w:t xml:space="preserve"> Universal Periodic Review</w:t>
      </w:r>
      <w:r w:rsidR="00696AD3" w:rsidRPr="00AA7633">
        <w:rPr>
          <w:sz w:val="24"/>
          <w:szCs w:val="24"/>
        </w:rPr>
        <w:t xml:space="preserve"> </w:t>
      </w:r>
      <w:r w:rsidR="006B0DBC" w:rsidRPr="00AA7633">
        <w:rPr>
          <w:sz w:val="24"/>
          <w:szCs w:val="24"/>
        </w:rPr>
        <w:t xml:space="preserve">(UPR) regarding </w:t>
      </w:r>
      <w:r w:rsidR="00696AD3" w:rsidRPr="00AA7633">
        <w:rPr>
          <w:sz w:val="24"/>
          <w:szCs w:val="24"/>
        </w:rPr>
        <w:t>Israel’s compliance with international human rights law</w:t>
      </w:r>
      <w:r w:rsidRPr="00AA7633">
        <w:rPr>
          <w:sz w:val="24"/>
          <w:szCs w:val="24"/>
        </w:rPr>
        <w:t xml:space="preserve">. This report updates </w:t>
      </w:r>
      <w:r w:rsidR="006B0DBC" w:rsidRPr="00AA7633">
        <w:rPr>
          <w:sz w:val="24"/>
          <w:szCs w:val="24"/>
        </w:rPr>
        <w:t xml:space="preserve">our </w:t>
      </w:r>
      <w:r w:rsidRPr="00AA7633">
        <w:rPr>
          <w:sz w:val="24"/>
          <w:szCs w:val="24"/>
        </w:rPr>
        <w:t xml:space="preserve">previous </w:t>
      </w:r>
      <w:r w:rsidR="00D77A7F" w:rsidRPr="00AA7633">
        <w:rPr>
          <w:sz w:val="24"/>
          <w:szCs w:val="24"/>
        </w:rPr>
        <w:t>report, submitted</w:t>
      </w:r>
      <w:r w:rsidR="00696AD3" w:rsidRPr="00AA7633">
        <w:rPr>
          <w:sz w:val="24"/>
          <w:szCs w:val="24"/>
        </w:rPr>
        <w:t xml:space="preserve"> in November 2012</w:t>
      </w:r>
      <w:r w:rsidR="00D77A7F" w:rsidRPr="00AA7633">
        <w:rPr>
          <w:sz w:val="24"/>
          <w:szCs w:val="24"/>
        </w:rPr>
        <w:t>,</w:t>
      </w:r>
      <w:r w:rsidR="006B0DBC" w:rsidRPr="00AA7633">
        <w:rPr>
          <w:rStyle w:val="FootnoteReference"/>
          <w:sz w:val="24"/>
          <w:szCs w:val="24"/>
        </w:rPr>
        <w:footnoteReference w:id="1"/>
      </w:r>
      <w:r w:rsidRPr="00AA7633">
        <w:rPr>
          <w:sz w:val="24"/>
          <w:szCs w:val="24"/>
        </w:rPr>
        <w:t xml:space="preserve"> </w:t>
      </w:r>
      <w:r w:rsidR="006B0DBC" w:rsidRPr="00AA7633">
        <w:rPr>
          <w:sz w:val="24"/>
          <w:szCs w:val="24"/>
        </w:rPr>
        <w:t xml:space="preserve">concerning </w:t>
      </w:r>
      <w:r w:rsidRPr="00AA7633">
        <w:rPr>
          <w:sz w:val="24"/>
          <w:szCs w:val="24"/>
        </w:rPr>
        <w:t xml:space="preserve">the rights of the Palestinian Arab minority in Israel, which </w:t>
      </w:r>
      <w:r w:rsidR="00022E59" w:rsidRPr="00AA7633">
        <w:rPr>
          <w:sz w:val="24"/>
          <w:szCs w:val="24"/>
        </w:rPr>
        <w:t xml:space="preserve">comprises 20% of the state’s total population and </w:t>
      </w:r>
      <w:r w:rsidRPr="00AA7633">
        <w:rPr>
          <w:sz w:val="24"/>
          <w:szCs w:val="24"/>
        </w:rPr>
        <w:t xml:space="preserve">numbers </w:t>
      </w:r>
      <w:r w:rsidR="00022E59" w:rsidRPr="00AA7633">
        <w:rPr>
          <w:sz w:val="24"/>
          <w:szCs w:val="24"/>
        </w:rPr>
        <w:t xml:space="preserve">around </w:t>
      </w:r>
      <w:r w:rsidRPr="00AA7633">
        <w:rPr>
          <w:sz w:val="24"/>
          <w:szCs w:val="24"/>
        </w:rPr>
        <w:t xml:space="preserve">1,200,000 </w:t>
      </w:r>
      <w:r w:rsidR="00022E59" w:rsidRPr="00AA7633">
        <w:rPr>
          <w:sz w:val="24"/>
          <w:szCs w:val="24"/>
        </w:rPr>
        <w:t>citizens.</w:t>
      </w:r>
      <w:r w:rsidR="00387B7E" w:rsidRPr="00AA7633">
        <w:rPr>
          <w:sz w:val="24"/>
          <w:szCs w:val="24"/>
        </w:rPr>
        <w:t xml:space="preserve"> </w:t>
      </w:r>
      <w:r w:rsidR="004826A7" w:rsidRPr="00AA7633">
        <w:rPr>
          <w:sz w:val="24"/>
          <w:szCs w:val="24"/>
        </w:rPr>
        <w:t>It</w:t>
      </w:r>
      <w:r w:rsidR="00387B7E" w:rsidRPr="00AA7633">
        <w:rPr>
          <w:sz w:val="24"/>
          <w:szCs w:val="24"/>
        </w:rPr>
        <w:t xml:space="preserve"> focus</w:t>
      </w:r>
      <w:r w:rsidR="004826A7" w:rsidRPr="00AA7633">
        <w:rPr>
          <w:sz w:val="24"/>
          <w:szCs w:val="24"/>
        </w:rPr>
        <w:t>es</w:t>
      </w:r>
      <w:r w:rsidR="00387B7E" w:rsidRPr="00AA7633">
        <w:rPr>
          <w:sz w:val="24"/>
          <w:szCs w:val="24"/>
        </w:rPr>
        <w:t xml:space="preserve"> on developments since January 2013.</w:t>
      </w:r>
    </w:p>
    <w:p w:rsidR="008919F0" w:rsidRPr="00AA7633" w:rsidRDefault="008919F0" w:rsidP="00451CDE">
      <w:pPr>
        <w:spacing w:after="0" w:line="240" w:lineRule="auto"/>
        <w:rPr>
          <w:sz w:val="24"/>
          <w:szCs w:val="24"/>
        </w:rPr>
      </w:pPr>
    </w:p>
    <w:p w:rsidR="00B042A0" w:rsidRPr="00AA7633" w:rsidRDefault="00DE682B" w:rsidP="001C3DEA">
      <w:pPr>
        <w:spacing w:after="0" w:line="240" w:lineRule="auto"/>
        <w:jc w:val="center"/>
        <w:rPr>
          <w:b/>
          <w:bCs/>
          <w:sz w:val="24"/>
          <w:szCs w:val="24"/>
          <w:u w:val="single"/>
        </w:rPr>
      </w:pPr>
      <w:r w:rsidRPr="00AA7633">
        <w:rPr>
          <w:b/>
          <w:bCs/>
          <w:sz w:val="24"/>
          <w:szCs w:val="24"/>
          <w:u w:val="single"/>
        </w:rPr>
        <w:t xml:space="preserve">I. </w:t>
      </w:r>
      <w:r w:rsidR="001F7B7B" w:rsidRPr="00AA7633">
        <w:rPr>
          <w:b/>
          <w:bCs/>
          <w:sz w:val="24"/>
          <w:szCs w:val="24"/>
          <w:u w:val="single"/>
        </w:rPr>
        <w:t xml:space="preserve">ISRAEL’S </w:t>
      </w:r>
      <w:r w:rsidR="001C3DEA" w:rsidRPr="00AA7633">
        <w:rPr>
          <w:b/>
          <w:bCs/>
          <w:sz w:val="24"/>
          <w:szCs w:val="24"/>
          <w:u w:val="single"/>
        </w:rPr>
        <w:t xml:space="preserve">LACK OF </w:t>
      </w:r>
      <w:r w:rsidR="001F7B7B" w:rsidRPr="00AA7633">
        <w:rPr>
          <w:b/>
          <w:bCs/>
          <w:sz w:val="24"/>
          <w:szCs w:val="24"/>
          <w:u w:val="single"/>
        </w:rPr>
        <w:t>COMMITMENT TO THE UPR</w:t>
      </w:r>
      <w:r w:rsidR="001C3DEA" w:rsidRPr="00AA7633">
        <w:rPr>
          <w:b/>
          <w:bCs/>
          <w:sz w:val="24"/>
          <w:szCs w:val="24"/>
          <w:u w:val="single"/>
        </w:rPr>
        <w:t xml:space="preserve"> PROCESS</w:t>
      </w:r>
    </w:p>
    <w:p w:rsidR="001C3DEA" w:rsidRPr="00AA7633" w:rsidRDefault="001C3DEA" w:rsidP="004B4530">
      <w:pPr>
        <w:spacing w:after="0" w:line="240" w:lineRule="auto"/>
        <w:jc w:val="center"/>
        <w:rPr>
          <w:b/>
          <w:bCs/>
          <w:sz w:val="24"/>
          <w:szCs w:val="24"/>
          <w:u w:val="single"/>
        </w:rPr>
      </w:pPr>
    </w:p>
    <w:p w:rsidR="00802E37" w:rsidRPr="00AA7633" w:rsidRDefault="004B4530" w:rsidP="001C3DEA">
      <w:pPr>
        <w:spacing w:after="0" w:line="240" w:lineRule="auto"/>
        <w:jc w:val="both"/>
        <w:rPr>
          <w:sz w:val="24"/>
          <w:szCs w:val="24"/>
        </w:rPr>
      </w:pPr>
      <w:r w:rsidRPr="00AA7633">
        <w:rPr>
          <w:sz w:val="24"/>
          <w:szCs w:val="24"/>
        </w:rPr>
        <w:t>In an unprecedented decision, the State of Israel refused to participate in its second U</w:t>
      </w:r>
      <w:r w:rsidR="006B0DBC" w:rsidRPr="00AA7633">
        <w:rPr>
          <w:sz w:val="24"/>
          <w:szCs w:val="24"/>
        </w:rPr>
        <w:t>PR</w:t>
      </w:r>
      <w:r w:rsidRPr="00AA7633">
        <w:rPr>
          <w:sz w:val="24"/>
          <w:szCs w:val="24"/>
        </w:rPr>
        <w:t xml:space="preserve"> scheduled for 29 January 2013. </w:t>
      </w:r>
      <w:r w:rsidR="007415C0" w:rsidRPr="00AA7633">
        <w:rPr>
          <w:sz w:val="24"/>
          <w:szCs w:val="24"/>
        </w:rPr>
        <w:t>Fifteen (</w:t>
      </w:r>
      <w:r w:rsidR="0019722F" w:rsidRPr="00AA7633">
        <w:rPr>
          <w:sz w:val="24"/>
          <w:szCs w:val="24"/>
        </w:rPr>
        <w:t>15</w:t>
      </w:r>
      <w:r w:rsidR="007415C0" w:rsidRPr="00AA7633">
        <w:rPr>
          <w:sz w:val="24"/>
          <w:szCs w:val="24"/>
        </w:rPr>
        <w:t>)</w:t>
      </w:r>
      <w:r w:rsidR="0019722F" w:rsidRPr="00AA7633">
        <w:rPr>
          <w:sz w:val="24"/>
          <w:szCs w:val="24"/>
        </w:rPr>
        <w:t xml:space="preserve"> Israeli and Palestinian human rights organizations </w:t>
      </w:r>
      <w:r w:rsidR="003D1618" w:rsidRPr="00AA7633">
        <w:rPr>
          <w:sz w:val="24"/>
          <w:szCs w:val="24"/>
        </w:rPr>
        <w:t xml:space="preserve">released a joint statement warning of the far-reaching </w:t>
      </w:r>
      <w:r w:rsidR="007415C0" w:rsidRPr="00AA7633">
        <w:rPr>
          <w:sz w:val="24"/>
          <w:szCs w:val="24"/>
        </w:rPr>
        <w:t xml:space="preserve">negative, </w:t>
      </w:r>
      <w:r w:rsidR="004826A7" w:rsidRPr="00AA7633">
        <w:rPr>
          <w:sz w:val="24"/>
          <w:szCs w:val="24"/>
        </w:rPr>
        <w:t xml:space="preserve">potential </w:t>
      </w:r>
      <w:r w:rsidR="003D1618" w:rsidRPr="00AA7633">
        <w:rPr>
          <w:sz w:val="24"/>
          <w:szCs w:val="24"/>
        </w:rPr>
        <w:t xml:space="preserve">consequences of Israel’s refusal to cooperate with the </w:t>
      </w:r>
      <w:r w:rsidRPr="00AA7633">
        <w:rPr>
          <w:sz w:val="24"/>
          <w:szCs w:val="24"/>
        </w:rPr>
        <w:t>UPR</w:t>
      </w:r>
      <w:r w:rsidR="002441D0" w:rsidRPr="00AA7633">
        <w:rPr>
          <w:sz w:val="24"/>
          <w:szCs w:val="24"/>
        </w:rPr>
        <w:t>.</w:t>
      </w:r>
      <w:r w:rsidR="003726D9" w:rsidRPr="00AA7633">
        <w:rPr>
          <w:rStyle w:val="FootnoteReference"/>
          <w:sz w:val="24"/>
          <w:szCs w:val="24"/>
        </w:rPr>
        <w:footnoteReference w:id="2"/>
      </w:r>
      <w:r w:rsidR="00E83B8E" w:rsidRPr="00AA7633">
        <w:rPr>
          <w:sz w:val="24"/>
          <w:szCs w:val="24"/>
        </w:rPr>
        <w:t xml:space="preserve"> The statement</w:t>
      </w:r>
      <w:r w:rsidR="00802E37" w:rsidRPr="00AA7633">
        <w:rPr>
          <w:sz w:val="24"/>
          <w:szCs w:val="24"/>
        </w:rPr>
        <w:t xml:space="preserve"> noted that “</w:t>
      </w:r>
      <w:r w:rsidR="00802E37" w:rsidRPr="00AA7633">
        <w:rPr>
          <w:rFonts w:cs="Tahoma"/>
          <w:sz w:val="24"/>
          <w:szCs w:val="24"/>
          <w:shd w:val="clear" w:color="auto" w:fill="FFFFFF"/>
        </w:rPr>
        <w:t>Israel’s move to suspend cooperation with the Council and the OHCHR must be viewed within the context of its ongoing refusal to respect the decisions, resolutions and mechanisms of the UN”.</w:t>
      </w:r>
      <w:r w:rsidR="003726D9" w:rsidRPr="00AA7633">
        <w:rPr>
          <w:rFonts w:cs="Tahoma"/>
          <w:sz w:val="24"/>
          <w:szCs w:val="24"/>
          <w:shd w:val="clear" w:color="auto" w:fill="FFFFFF"/>
        </w:rPr>
        <w:t xml:space="preserve"> The </w:t>
      </w:r>
      <w:r w:rsidR="004826A7" w:rsidRPr="00AA7633">
        <w:rPr>
          <w:rFonts w:cs="Tahoma"/>
          <w:sz w:val="24"/>
          <w:szCs w:val="24"/>
          <w:shd w:val="clear" w:color="auto" w:fill="FFFFFF"/>
        </w:rPr>
        <w:t>organization</w:t>
      </w:r>
      <w:r w:rsidR="00703662" w:rsidRPr="00AA7633">
        <w:rPr>
          <w:rFonts w:cs="Tahoma"/>
          <w:sz w:val="24"/>
          <w:szCs w:val="24"/>
          <w:shd w:val="clear" w:color="auto" w:fill="FFFFFF"/>
        </w:rPr>
        <w:t>s</w:t>
      </w:r>
      <w:r w:rsidR="004826A7" w:rsidRPr="00AA7633">
        <w:rPr>
          <w:rFonts w:cs="Tahoma"/>
          <w:sz w:val="24"/>
          <w:szCs w:val="24"/>
          <w:shd w:val="clear" w:color="auto" w:fill="FFFFFF"/>
        </w:rPr>
        <w:t>’</w:t>
      </w:r>
      <w:r w:rsidR="00703662" w:rsidRPr="00AA7633">
        <w:rPr>
          <w:rFonts w:cs="Tahoma"/>
          <w:sz w:val="24"/>
          <w:szCs w:val="24"/>
          <w:shd w:val="clear" w:color="auto" w:fill="FFFFFF"/>
        </w:rPr>
        <w:t xml:space="preserve"> arguments</w:t>
      </w:r>
      <w:r w:rsidR="003726D9" w:rsidRPr="00AA7633">
        <w:rPr>
          <w:rFonts w:cs="Tahoma"/>
          <w:sz w:val="24"/>
          <w:szCs w:val="24"/>
          <w:shd w:val="clear" w:color="auto" w:fill="FFFFFF"/>
        </w:rPr>
        <w:t xml:space="preserve"> </w:t>
      </w:r>
      <w:r w:rsidR="004826A7" w:rsidRPr="00AA7633">
        <w:rPr>
          <w:rFonts w:cs="Tahoma"/>
          <w:sz w:val="24"/>
          <w:szCs w:val="24"/>
          <w:shd w:val="clear" w:color="auto" w:fill="FFFFFF"/>
        </w:rPr>
        <w:t>remain</w:t>
      </w:r>
      <w:r w:rsidR="009B726D" w:rsidRPr="00AA7633">
        <w:rPr>
          <w:rFonts w:cs="Tahoma"/>
          <w:sz w:val="24"/>
          <w:szCs w:val="24"/>
          <w:shd w:val="clear" w:color="auto" w:fill="FFFFFF"/>
        </w:rPr>
        <w:t xml:space="preserve"> relevant </w:t>
      </w:r>
      <w:r w:rsidR="001C3DEA" w:rsidRPr="00AA7633">
        <w:rPr>
          <w:rFonts w:cs="Tahoma"/>
          <w:sz w:val="24"/>
          <w:szCs w:val="24"/>
          <w:shd w:val="clear" w:color="auto" w:fill="FFFFFF"/>
        </w:rPr>
        <w:t xml:space="preserve">today </w:t>
      </w:r>
      <w:r w:rsidR="004826A7" w:rsidRPr="00AA7633">
        <w:rPr>
          <w:rFonts w:cs="Tahoma"/>
          <w:sz w:val="24"/>
          <w:szCs w:val="24"/>
          <w:shd w:val="clear" w:color="auto" w:fill="FFFFFF"/>
        </w:rPr>
        <w:t>given the uncertainty surrounding</w:t>
      </w:r>
      <w:r w:rsidR="009B726D" w:rsidRPr="00AA7633">
        <w:rPr>
          <w:rFonts w:cs="Tahoma"/>
          <w:sz w:val="24"/>
          <w:szCs w:val="24"/>
          <w:shd w:val="clear" w:color="auto" w:fill="FFFFFF"/>
        </w:rPr>
        <w:t xml:space="preserve"> Israel’s participation </w:t>
      </w:r>
      <w:r w:rsidR="004826A7" w:rsidRPr="00AA7633">
        <w:rPr>
          <w:rFonts w:cs="Tahoma"/>
          <w:sz w:val="24"/>
          <w:szCs w:val="24"/>
          <w:shd w:val="clear" w:color="auto" w:fill="FFFFFF"/>
        </w:rPr>
        <w:t>in</w:t>
      </w:r>
      <w:r w:rsidR="009B726D" w:rsidRPr="00AA7633">
        <w:rPr>
          <w:rFonts w:cs="Tahoma"/>
          <w:sz w:val="24"/>
          <w:szCs w:val="24"/>
          <w:shd w:val="clear" w:color="auto" w:fill="FFFFFF"/>
        </w:rPr>
        <w:t xml:space="preserve"> </w:t>
      </w:r>
      <w:r w:rsidR="007219C1">
        <w:rPr>
          <w:rFonts w:cs="Tahoma"/>
          <w:sz w:val="24"/>
          <w:szCs w:val="24"/>
          <w:shd w:val="clear" w:color="auto" w:fill="FFFFFF"/>
        </w:rPr>
        <w:t xml:space="preserve">the </w:t>
      </w:r>
      <w:r w:rsidR="001C3DEA" w:rsidRPr="00AA7633">
        <w:rPr>
          <w:rFonts w:cs="Tahoma"/>
          <w:sz w:val="24"/>
          <w:szCs w:val="24"/>
          <w:shd w:val="clear" w:color="auto" w:fill="FFFFFF"/>
        </w:rPr>
        <w:t xml:space="preserve">upcoming </w:t>
      </w:r>
      <w:r w:rsidR="004826A7" w:rsidRPr="00AA7633">
        <w:rPr>
          <w:rFonts w:cs="Tahoma"/>
          <w:sz w:val="24"/>
          <w:szCs w:val="24"/>
          <w:shd w:val="clear" w:color="auto" w:fill="FFFFFF"/>
        </w:rPr>
        <w:t xml:space="preserve">UPR </w:t>
      </w:r>
      <w:r w:rsidR="001C3DEA" w:rsidRPr="00AA7633">
        <w:rPr>
          <w:rFonts w:cs="Tahoma"/>
          <w:sz w:val="24"/>
          <w:szCs w:val="24"/>
          <w:shd w:val="clear" w:color="auto" w:fill="FFFFFF"/>
        </w:rPr>
        <w:t xml:space="preserve">in October </w:t>
      </w:r>
      <w:r w:rsidR="009B726D" w:rsidRPr="00AA7633">
        <w:rPr>
          <w:rFonts w:cs="Tahoma"/>
          <w:sz w:val="24"/>
          <w:szCs w:val="24"/>
          <w:shd w:val="clear" w:color="auto" w:fill="FFFFFF"/>
        </w:rPr>
        <w:t>2013.</w:t>
      </w:r>
    </w:p>
    <w:p w:rsidR="0019722F" w:rsidRPr="00AA7633" w:rsidRDefault="0019722F" w:rsidP="005F2E42">
      <w:pPr>
        <w:spacing w:after="0" w:line="240" w:lineRule="auto"/>
        <w:jc w:val="both"/>
        <w:rPr>
          <w:sz w:val="24"/>
          <w:szCs w:val="24"/>
        </w:rPr>
      </w:pPr>
    </w:p>
    <w:p w:rsidR="00935861" w:rsidRPr="00AA7633" w:rsidRDefault="009952C5" w:rsidP="009952C5">
      <w:pPr>
        <w:shd w:val="clear" w:color="auto" w:fill="FFFFFF"/>
        <w:spacing w:after="0" w:line="240" w:lineRule="auto"/>
        <w:jc w:val="center"/>
        <w:rPr>
          <w:rFonts w:eastAsia="Times New Roman" w:cs="Arial"/>
          <w:b/>
          <w:bCs/>
          <w:sz w:val="24"/>
          <w:szCs w:val="24"/>
          <w:u w:val="single"/>
        </w:rPr>
      </w:pPr>
      <w:r w:rsidRPr="00AA7633">
        <w:rPr>
          <w:rFonts w:eastAsia="Times New Roman" w:cs="Arial"/>
          <w:b/>
          <w:bCs/>
          <w:sz w:val="24"/>
          <w:szCs w:val="24"/>
          <w:u w:val="single"/>
        </w:rPr>
        <w:t>II. NORMATI</w:t>
      </w:r>
      <w:r w:rsidR="00824FFC" w:rsidRPr="00AA7633">
        <w:rPr>
          <w:rFonts w:eastAsia="Times New Roman" w:cs="Arial"/>
          <w:b/>
          <w:bCs/>
          <w:sz w:val="24"/>
          <w:szCs w:val="24"/>
          <w:u w:val="single"/>
        </w:rPr>
        <w:t>VE AND INSTITUTIONAL BACKGROUND</w:t>
      </w:r>
    </w:p>
    <w:p w:rsidR="001C3DEA" w:rsidRPr="00AA7633" w:rsidRDefault="001C3DEA" w:rsidP="008450A8">
      <w:pPr>
        <w:shd w:val="clear" w:color="auto" w:fill="FFFFFF"/>
        <w:spacing w:after="0" w:line="240" w:lineRule="auto"/>
        <w:jc w:val="both"/>
        <w:rPr>
          <w:rFonts w:eastAsia="Times New Roman" w:cs="Arial"/>
          <w:b/>
          <w:bCs/>
          <w:sz w:val="24"/>
          <w:szCs w:val="24"/>
        </w:rPr>
      </w:pPr>
    </w:p>
    <w:p w:rsidR="00935861" w:rsidRPr="00AA7633" w:rsidRDefault="005A5747" w:rsidP="008450A8">
      <w:pPr>
        <w:shd w:val="clear" w:color="auto" w:fill="FFFFFF"/>
        <w:spacing w:after="0" w:line="240" w:lineRule="auto"/>
        <w:jc w:val="both"/>
        <w:rPr>
          <w:rFonts w:eastAsia="Times New Roman" w:cs="Arial"/>
          <w:sz w:val="24"/>
          <w:szCs w:val="24"/>
        </w:rPr>
      </w:pPr>
      <w:r w:rsidRPr="00AA7633">
        <w:rPr>
          <w:rFonts w:eastAsia="Times New Roman" w:cs="Arial"/>
          <w:b/>
          <w:bCs/>
          <w:sz w:val="24"/>
          <w:szCs w:val="24"/>
        </w:rPr>
        <w:t>Constitutional</w:t>
      </w:r>
      <w:r w:rsidR="00304283" w:rsidRPr="00AA7633">
        <w:rPr>
          <w:rFonts w:eastAsia="Times New Roman" w:cs="Arial"/>
          <w:b/>
          <w:bCs/>
          <w:sz w:val="24"/>
          <w:szCs w:val="24"/>
        </w:rPr>
        <w:t xml:space="preserve"> and Legislative</w:t>
      </w:r>
      <w:r w:rsidRPr="00AA7633">
        <w:rPr>
          <w:rFonts w:eastAsia="Times New Roman" w:cs="Arial"/>
          <w:b/>
          <w:bCs/>
          <w:sz w:val="24"/>
          <w:szCs w:val="24"/>
        </w:rPr>
        <w:t xml:space="preserve"> Framework</w:t>
      </w:r>
    </w:p>
    <w:p w:rsidR="00FD60F0" w:rsidRPr="00AA7633" w:rsidRDefault="00B316A5" w:rsidP="001C3DEA">
      <w:pPr>
        <w:shd w:val="clear" w:color="auto" w:fill="FFFFFF"/>
        <w:spacing w:after="0" w:line="240" w:lineRule="auto"/>
        <w:jc w:val="both"/>
        <w:rPr>
          <w:rFonts w:eastAsia="Times New Roman" w:cs="Arial"/>
          <w:sz w:val="24"/>
          <w:szCs w:val="24"/>
        </w:rPr>
      </w:pPr>
      <w:r w:rsidRPr="00AA7633">
        <w:rPr>
          <w:rFonts w:eastAsia="Times New Roman" w:cs="Arial"/>
          <w:sz w:val="24"/>
          <w:szCs w:val="24"/>
        </w:rPr>
        <w:t>As noted in Adalah’s previous report, Israel lacks a written constitution or a basic law that constitutionally guarantees the r</w:t>
      </w:r>
      <w:r w:rsidR="00E55F4E" w:rsidRPr="00AA7633">
        <w:rPr>
          <w:rFonts w:eastAsia="Times New Roman" w:cs="Arial"/>
          <w:sz w:val="24"/>
          <w:szCs w:val="24"/>
        </w:rPr>
        <w:t>ight to equality</w:t>
      </w:r>
      <w:r w:rsidR="001C3DEA" w:rsidRPr="00AA7633">
        <w:rPr>
          <w:rFonts w:eastAsia="Times New Roman" w:cs="Arial"/>
          <w:sz w:val="24"/>
          <w:szCs w:val="24"/>
        </w:rPr>
        <w:t xml:space="preserve"> </w:t>
      </w:r>
      <w:r w:rsidRPr="00AA7633">
        <w:rPr>
          <w:rFonts w:eastAsia="Times New Roman" w:cs="Arial"/>
          <w:sz w:val="24"/>
          <w:szCs w:val="24"/>
        </w:rPr>
        <w:t>and</w:t>
      </w:r>
      <w:r w:rsidR="001C3DEA" w:rsidRPr="00AA7633">
        <w:rPr>
          <w:rFonts w:eastAsia="Times New Roman" w:cs="Arial"/>
          <w:sz w:val="24"/>
          <w:szCs w:val="24"/>
        </w:rPr>
        <w:t>/or</w:t>
      </w:r>
      <w:r w:rsidRPr="00AA7633">
        <w:rPr>
          <w:rFonts w:eastAsia="Times New Roman" w:cs="Arial"/>
          <w:sz w:val="24"/>
          <w:szCs w:val="24"/>
        </w:rPr>
        <w:t xml:space="preserve"> prohibits direct or indirect racial discrimination</w:t>
      </w:r>
      <w:r w:rsidR="00E55F4E" w:rsidRPr="00AA7633">
        <w:rPr>
          <w:rFonts w:eastAsia="Times New Roman" w:cs="Arial"/>
          <w:sz w:val="24"/>
          <w:szCs w:val="24"/>
        </w:rPr>
        <w:t>.</w:t>
      </w:r>
      <w:r w:rsidR="00533578" w:rsidRPr="00AA7633">
        <w:rPr>
          <w:rFonts w:eastAsia="Times New Roman" w:cs="Arial"/>
          <w:sz w:val="24"/>
          <w:szCs w:val="24"/>
        </w:rPr>
        <w:t xml:space="preserve"> The absence of this </w:t>
      </w:r>
      <w:r w:rsidR="001C3DEA" w:rsidRPr="00AA7633">
        <w:rPr>
          <w:rFonts w:eastAsia="Times New Roman" w:cs="Arial"/>
          <w:sz w:val="24"/>
          <w:szCs w:val="24"/>
        </w:rPr>
        <w:t xml:space="preserve">rights protection </w:t>
      </w:r>
      <w:r w:rsidR="00533578" w:rsidRPr="00AA7633">
        <w:rPr>
          <w:rFonts w:eastAsia="Times New Roman" w:cs="Arial"/>
          <w:sz w:val="24"/>
          <w:szCs w:val="24"/>
        </w:rPr>
        <w:t>allowed the previous 18</w:t>
      </w:r>
      <w:r w:rsidR="00533578" w:rsidRPr="00AA7633">
        <w:rPr>
          <w:rFonts w:eastAsia="Times New Roman" w:cs="Arial"/>
          <w:sz w:val="24"/>
          <w:szCs w:val="24"/>
          <w:vertAlign w:val="superscript"/>
        </w:rPr>
        <w:t>th</w:t>
      </w:r>
      <w:r w:rsidR="00533578" w:rsidRPr="00AA7633">
        <w:rPr>
          <w:rFonts w:eastAsia="Times New Roman" w:cs="Arial"/>
          <w:sz w:val="24"/>
          <w:szCs w:val="24"/>
        </w:rPr>
        <w:t xml:space="preserve"> Knesset (2009-2012) to </w:t>
      </w:r>
      <w:r w:rsidR="001C3DEA" w:rsidRPr="00AA7633">
        <w:rPr>
          <w:rFonts w:eastAsia="Times New Roman" w:cs="Arial"/>
          <w:sz w:val="24"/>
          <w:szCs w:val="24"/>
        </w:rPr>
        <w:t xml:space="preserve">enact over 20 </w:t>
      </w:r>
      <w:r w:rsidR="00533578" w:rsidRPr="00AA7633">
        <w:rPr>
          <w:rFonts w:eastAsia="Times New Roman" w:cs="Arial"/>
          <w:sz w:val="24"/>
          <w:szCs w:val="24"/>
        </w:rPr>
        <w:t>discriminatory and racist l</w:t>
      </w:r>
      <w:r w:rsidR="001C3DEA" w:rsidRPr="00AA7633">
        <w:rPr>
          <w:rFonts w:eastAsia="Times New Roman" w:cs="Arial"/>
          <w:sz w:val="24"/>
          <w:szCs w:val="24"/>
        </w:rPr>
        <w:t>aws</w:t>
      </w:r>
      <w:r w:rsidR="00533578" w:rsidRPr="00AA7633">
        <w:rPr>
          <w:rFonts w:eastAsia="Times New Roman" w:cs="Arial"/>
          <w:sz w:val="24"/>
          <w:szCs w:val="24"/>
        </w:rPr>
        <w:t xml:space="preserve"> that directly or indirectly attack </w:t>
      </w:r>
      <w:r w:rsidR="001C3DEA" w:rsidRPr="00AA7633">
        <w:rPr>
          <w:rFonts w:eastAsia="Times New Roman" w:cs="Arial"/>
          <w:sz w:val="24"/>
          <w:szCs w:val="24"/>
        </w:rPr>
        <w:t xml:space="preserve">Palestinian citizens’ </w:t>
      </w:r>
      <w:r w:rsidR="00533578" w:rsidRPr="00AA7633">
        <w:rPr>
          <w:rFonts w:eastAsia="Times New Roman" w:cs="Arial"/>
          <w:sz w:val="24"/>
          <w:szCs w:val="24"/>
        </w:rPr>
        <w:t>rights.</w:t>
      </w:r>
      <w:r w:rsidR="00533578" w:rsidRPr="00AA7633">
        <w:rPr>
          <w:rStyle w:val="FootnoteReference"/>
          <w:rFonts w:eastAsia="Times New Roman" w:cs="Arial"/>
          <w:sz w:val="24"/>
          <w:szCs w:val="24"/>
        </w:rPr>
        <w:footnoteReference w:id="3"/>
      </w:r>
      <w:r w:rsidR="003D49A8" w:rsidRPr="00AA7633">
        <w:rPr>
          <w:rFonts w:eastAsia="Times New Roman" w:cs="Arial"/>
          <w:sz w:val="24"/>
          <w:szCs w:val="24"/>
        </w:rPr>
        <w:t xml:space="preserve"> </w:t>
      </w:r>
      <w:r w:rsidR="001C3DEA" w:rsidRPr="00AA7633">
        <w:rPr>
          <w:rFonts w:eastAsia="Times New Roman" w:cs="Arial"/>
          <w:sz w:val="24"/>
          <w:szCs w:val="24"/>
        </w:rPr>
        <w:t xml:space="preserve">The new Knesset, which began its work in March 2013 following the elections in January 2013, has continued to introduce </w:t>
      </w:r>
      <w:r w:rsidR="005F322B" w:rsidRPr="00AA7633">
        <w:rPr>
          <w:rFonts w:eastAsia="Times New Roman" w:cs="Arial"/>
          <w:sz w:val="24"/>
          <w:szCs w:val="24"/>
        </w:rPr>
        <w:t xml:space="preserve">discriminatory </w:t>
      </w:r>
      <w:r w:rsidR="001C3DEA" w:rsidRPr="00AA7633">
        <w:rPr>
          <w:rFonts w:eastAsia="Times New Roman" w:cs="Arial"/>
          <w:sz w:val="24"/>
          <w:szCs w:val="24"/>
        </w:rPr>
        <w:t xml:space="preserve">legislation. </w:t>
      </w:r>
      <w:r w:rsidR="005F322B" w:rsidRPr="00AA7633">
        <w:rPr>
          <w:rFonts w:eastAsia="Times New Roman" w:cs="Arial"/>
          <w:sz w:val="24"/>
          <w:szCs w:val="24"/>
        </w:rPr>
        <w:t>In its first parliamentary session</w:t>
      </w:r>
      <w:r w:rsidR="00103976" w:rsidRPr="00AA7633">
        <w:rPr>
          <w:rFonts w:eastAsia="Times New Roman" w:cs="Arial"/>
          <w:sz w:val="24"/>
          <w:szCs w:val="24"/>
        </w:rPr>
        <w:t xml:space="preserve"> (March-July 2013)</w:t>
      </w:r>
      <w:r w:rsidR="005F322B" w:rsidRPr="00AA7633">
        <w:rPr>
          <w:rFonts w:eastAsia="Times New Roman" w:cs="Arial"/>
          <w:sz w:val="24"/>
          <w:szCs w:val="24"/>
        </w:rPr>
        <w:t xml:space="preserve">, the Knesset proposed 35 new </w:t>
      </w:r>
      <w:r w:rsidR="00533578" w:rsidRPr="00AA7633">
        <w:rPr>
          <w:rFonts w:eastAsia="Times New Roman" w:cs="Arial"/>
          <w:sz w:val="24"/>
          <w:szCs w:val="24"/>
        </w:rPr>
        <w:t>bills</w:t>
      </w:r>
      <w:r w:rsidR="005F322B" w:rsidRPr="00AA7633">
        <w:rPr>
          <w:rFonts w:eastAsia="Times New Roman" w:cs="Arial"/>
          <w:sz w:val="24"/>
          <w:szCs w:val="24"/>
        </w:rPr>
        <w:t xml:space="preserve"> that discriminate against Palestinians in Israel and in the OPT.</w:t>
      </w:r>
      <w:r w:rsidR="00FF1C5D" w:rsidRPr="00AA7633">
        <w:rPr>
          <w:rStyle w:val="FootnoteReference"/>
          <w:rFonts w:eastAsia="Times New Roman" w:cs="Arial"/>
          <w:sz w:val="24"/>
          <w:szCs w:val="24"/>
        </w:rPr>
        <w:footnoteReference w:id="4"/>
      </w:r>
    </w:p>
    <w:p w:rsidR="00AA7633" w:rsidRDefault="00AA7633" w:rsidP="00AA7633">
      <w:pPr>
        <w:shd w:val="clear" w:color="auto" w:fill="FFFFFF"/>
        <w:spacing w:after="0" w:line="240" w:lineRule="auto"/>
        <w:jc w:val="both"/>
        <w:rPr>
          <w:rFonts w:eastAsia="Times New Roman" w:cs="Arial"/>
          <w:sz w:val="24"/>
          <w:szCs w:val="24"/>
        </w:rPr>
      </w:pPr>
    </w:p>
    <w:p w:rsidR="00AA7633" w:rsidRDefault="001C3DEA" w:rsidP="00AA7633">
      <w:pPr>
        <w:shd w:val="clear" w:color="auto" w:fill="FFFFFF"/>
        <w:spacing w:after="0" w:line="240" w:lineRule="auto"/>
        <w:jc w:val="both"/>
        <w:rPr>
          <w:rFonts w:eastAsia="Times New Roman" w:cs="Arial"/>
          <w:sz w:val="24"/>
          <w:szCs w:val="24"/>
        </w:rPr>
      </w:pPr>
      <w:r w:rsidRPr="00AA7633">
        <w:rPr>
          <w:rFonts w:eastAsia="Times New Roman" w:cs="Arial"/>
          <w:sz w:val="24"/>
          <w:szCs w:val="24"/>
        </w:rPr>
        <w:lastRenderedPageBreak/>
        <w:t xml:space="preserve">A bill of most concern is the </w:t>
      </w:r>
      <w:r w:rsidRPr="00AA7633">
        <w:rPr>
          <w:rFonts w:eastAsia="Times New Roman" w:cs="Arial"/>
          <w:b/>
          <w:bCs/>
          <w:sz w:val="24"/>
          <w:szCs w:val="24"/>
        </w:rPr>
        <w:t>“</w:t>
      </w:r>
      <w:r w:rsidR="005A5747" w:rsidRPr="00AA7633">
        <w:rPr>
          <w:rFonts w:eastAsia="Times New Roman" w:cs="Arial"/>
          <w:b/>
          <w:bCs/>
          <w:sz w:val="24"/>
          <w:szCs w:val="24"/>
        </w:rPr>
        <w:t>Nation</w:t>
      </w:r>
      <w:r w:rsidR="006B7D7F" w:rsidRPr="00AA7633">
        <w:rPr>
          <w:rFonts w:eastAsia="Times New Roman" w:cs="Arial"/>
          <w:b/>
          <w:bCs/>
          <w:sz w:val="24"/>
          <w:szCs w:val="24"/>
        </w:rPr>
        <w:t xml:space="preserve"> State of the Jewish People Bill</w:t>
      </w:r>
      <w:r w:rsidR="005A5747" w:rsidRPr="00AA7633">
        <w:rPr>
          <w:rFonts w:eastAsia="Times New Roman" w:cs="Arial"/>
          <w:b/>
          <w:bCs/>
          <w:sz w:val="24"/>
          <w:szCs w:val="24"/>
        </w:rPr>
        <w:t>,</w:t>
      </w:r>
      <w:r w:rsidRPr="00AA7633">
        <w:rPr>
          <w:rFonts w:eastAsia="Times New Roman" w:cs="Arial"/>
          <w:b/>
          <w:bCs/>
          <w:sz w:val="24"/>
          <w:szCs w:val="24"/>
        </w:rPr>
        <w:t>”</w:t>
      </w:r>
      <w:r w:rsidR="005A5747" w:rsidRPr="00AA7633">
        <w:rPr>
          <w:rFonts w:eastAsia="Times New Roman" w:cs="Arial"/>
          <w:sz w:val="24"/>
          <w:szCs w:val="24"/>
        </w:rPr>
        <w:t xml:space="preserve"> </w:t>
      </w:r>
      <w:r w:rsidR="00276A73" w:rsidRPr="00AA7633">
        <w:rPr>
          <w:rFonts w:eastAsia="Times New Roman" w:cs="Arial"/>
          <w:sz w:val="24"/>
          <w:szCs w:val="24"/>
        </w:rPr>
        <w:t xml:space="preserve">which </w:t>
      </w:r>
      <w:r w:rsidR="006352BD" w:rsidRPr="00AA7633">
        <w:rPr>
          <w:rFonts w:eastAsia="Times New Roman" w:cs="Arial"/>
          <w:sz w:val="24"/>
          <w:szCs w:val="24"/>
        </w:rPr>
        <w:t>seeks to change</w:t>
      </w:r>
      <w:r w:rsidR="005A5747" w:rsidRPr="00AA7633">
        <w:rPr>
          <w:rFonts w:eastAsia="Times New Roman" w:cs="Arial"/>
          <w:sz w:val="24"/>
          <w:szCs w:val="24"/>
        </w:rPr>
        <w:t xml:space="preserve"> the </w:t>
      </w:r>
      <w:r w:rsidR="006B7D7F" w:rsidRPr="00AA7633">
        <w:rPr>
          <w:rFonts w:eastAsia="Times New Roman" w:cs="Arial"/>
          <w:sz w:val="24"/>
          <w:szCs w:val="24"/>
        </w:rPr>
        <w:t>current official ‘Jewish and democratic’</w:t>
      </w:r>
      <w:r w:rsidR="005A5747" w:rsidRPr="00AA7633">
        <w:rPr>
          <w:rFonts w:eastAsia="Times New Roman" w:cs="Arial"/>
          <w:sz w:val="24"/>
          <w:szCs w:val="24"/>
        </w:rPr>
        <w:t xml:space="preserve"> definition of the state (an already problematic definition</w:t>
      </w:r>
      <w:r w:rsidR="006B7D7F" w:rsidRPr="00AA7633">
        <w:rPr>
          <w:rFonts w:eastAsia="Times New Roman" w:cs="Arial"/>
          <w:sz w:val="24"/>
          <w:szCs w:val="24"/>
        </w:rPr>
        <w:t xml:space="preserve"> from the perspective of the rights of Israel’s non-Jewish citizens</w:t>
      </w:r>
      <w:r w:rsidR="005A5747" w:rsidRPr="00AA7633">
        <w:rPr>
          <w:rFonts w:eastAsia="Times New Roman" w:cs="Arial"/>
          <w:sz w:val="24"/>
          <w:szCs w:val="24"/>
        </w:rPr>
        <w:t xml:space="preserve">) by explicitly subordinating the democratic component </w:t>
      </w:r>
      <w:r w:rsidR="006D6EB8" w:rsidRPr="00AA7633">
        <w:rPr>
          <w:rFonts w:eastAsia="Times New Roman" w:cs="Arial"/>
          <w:sz w:val="24"/>
          <w:szCs w:val="24"/>
        </w:rPr>
        <w:t xml:space="preserve">to </w:t>
      </w:r>
      <w:r w:rsidR="00CB3540" w:rsidRPr="00AA7633">
        <w:rPr>
          <w:rFonts w:eastAsia="Times New Roman" w:cs="Arial"/>
          <w:sz w:val="24"/>
          <w:szCs w:val="24"/>
        </w:rPr>
        <w:t>the Jewish component.</w:t>
      </w:r>
      <w:r w:rsidR="000E3AA6" w:rsidRPr="00AA7633">
        <w:rPr>
          <w:rFonts w:eastAsia="Times New Roman" w:cs="Arial"/>
          <w:sz w:val="24"/>
          <w:szCs w:val="24"/>
        </w:rPr>
        <w:t xml:space="preserve"> </w:t>
      </w:r>
      <w:r w:rsidR="00276A73" w:rsidRPr="00AA7633">
        <w:rPr>
          <w:rFonts w:eastAsia="Times New Roman" w:cs="Arial"/>
          <w:sz w:val="24"/>
          <w:szCs w:val="24"/>
        </w:rPr>
        <w:t xml:space="preserve">Other </w:t>
      </w:r>
      <w:r w:rsidR="004E1C45" w:rsidRPr="00AA7633">
        <w:rPr>
          <w:rFonts w:eastAsia="Times New Roman" w:cs="Arial"/>
          <w:sz w:val="24"/>
          <w:szCs w:val="24"/>
        </w:rPr>
        <w:t xml:space="preserve">proposed </w:t>
      </w:r>
      <w:r w:rsidR="00276A73" w:rsidRPr="00AA7633">
        <w:rPr>
          <w:rFonts w:eastAsia="Times New Roman" w:cs="Arial"/>
          <w:sz w:val="24"/>
          <w:szCs w:val="24"/>
        </w:rPr>
        <w:t>bills</w:t>
      </w:r>
      <w:r w:rsidRPr="00AA7633">
        <w:rPr>
          <w:rFonts w:eastAsia="Times New Roman" w:cs="Arial"/>
          <w:sz w:val="24"/>
          <w:szCs w:val="24"/>
        </w:rPr>
        <w:t xml:space="preserve"> include</w:t>
      </w:r>
      <w:r w:rsidR="00366AE8" w:rsidRPr="00AA7633">
        <w:rPr>
          <w:rFonts w:eastAsia="Times New Roman" w:cs="Arial"/>
          <w:sz w:val="24"/>
          <w:szCs w:val="24"/>
        </w:rPr>
        <w:t>:</w:t>
      </w:r>
      <w:r w:rsidRPr="00AA7633">
        <w:rPr>
          <w:rFonts w:eastAsia="Times New Roman" w:cs="Arial"/>
          <w:sz w:val="24"/>
          <w:szCs w:val="24"/>
        </w:rPr>
        <w:t xml:space="preserve"> </w:t>
      </w:r>
    </w:p>
    <w:p w:rsidR="00AA7633" w:rsidRDefault="00AA7633" w:rsidP="00AA7633">
      <w:pPr>
        <w:shd w:val="clear" w:color="auto" w:fill="FFFFFF"/>
        <w:spacing w:after="0" w:line="240" w:lineRule="auto"/>
        <w:ind w:left="360"/>
        <w:jc w:val="both"/>
        <w:rPr>
          <w:rFonts w:eastAsia="Times New Roman" w:cs="Arial"/>
          <w:sz w:val="24"/>
          <w:szCs w:val="24"/>
        </w:rPr>
      </w:pPr>
      <w:r>
        <w:rPr>
          <w:rFonts w:eastAsia="Times New Roman" w:cs="Arial"/>
          <w:sz w:val="24"/>
          <w:szCs w:val="24"/>
        </w:rPr>
        <w:t xml:space="preserve">(1) </w:t>
      </w:r>
      <w:r w:rsidRPr="00AA7633">
        <w:rPr>
          <w:rFonts w:eastAsia="Times New Roman" w:cs="Arial"/>
          <w:sz w:val="24"/>
          <w:szCs w:val="24"/>
        </w:rPr>
        <w:t>Granting</w:t>
      </w:r>
      <w:r w:rsidR="001C3DEA" w:rsidRPr="00AA7633">
        <w:rPr>
          <w:rFonts w:eastAsia="Times New Roman" w:cs="Arial"/>
          <w:sz w:val="24"/>
          <w:szCs w:val="24"/>
        </w:rPr>
        <w:t xml:space="preserve"> of even more lucrative </w:t>
      </w:r>
      <w:r w:rsidR="001C3DEA" w:rsidRPr="00AA7633">
        <w:rPr>
          <w:rFonts w:eastAsia="Times New Roman" w:cs="Arial"/>
          <w:b/>
          <w:bCs/>
          <w:sz w:val="24"/>
          <w:szCs w:val="24"/>
        </w:rPr>
        <w:t>benefits to former soldiers</w:t>
      </w:r>
      <w:r w:rsidR="001C3DEA" w:rsidRPr="00AA7633">
        <w:rPr>
          <w:rFonts w:eastAsia="Times New Roman" w:cs="Arial"/>
          <w:sz w:val="24"/>
          <w:szCs w:val="24"/>
        </w:rPr>
        <w:t xml:space="preserve"> in a range of fields, well beyond the current law; </w:t>
      </w:r>
    </w:p>
    <w:p w:rsidR="00AA7633" w:rsidRDefault="00AA7633" w:rsidP="00AA7633">
      <w:pPr>
        <w:shd w:val="clear" w:color="auto" w:fill="FFFFFF"/>
        <w:spacing w:after="0" w:line="240" w:lineRule="auto"/>
        <w:ind w:left="360"/>
        <w:jc w:val="both"/>
        <w:rPr>
          <w:rFonts w:eastAsia="Times New Roman" w:cs="Arial"/>
          <w:sz w:val="24"/>
          <w:szCs w:val="24"/>
        </w:rPr>
      </w:pPr>
      <w:r>
        <w:rPr>
          <w:rFonts w:eastAsia="Times New Roman" w:cs="Arial"/>
          <w:sz w:val="24"/>
          <w:szCs w:val="24"/>
        </w:rPr>
        <w:t xml:space="preserve">(2) </w:t>
      </w:r>
      <w:r w:rsidRPr="00AA7633">
        <w:rPr>
          <w:rFonts w:eastAsia="Times New Roman" w:cs="Arial"/>
          <w:sz w:val="24"/>
          <w:szCs w:val="24"/>
        </w:rPr>
        <w:t>Raising</w:t>
      </w:r>
      <w:r w:rsidR="001C3DEA" w:rsidRPr="00AA7633">
        <w:rPr>
          <w:rFonts w:eastAsia="Times New Roman" w:cs="Arial"/>
          <w:sz w:val="24"/>
          <w:szCs w:val="24"/>
        </w:rPr>
        <w:t xml:space="preserve"> the </w:t>
      </w:r>
      <w:r w:rsidR="00366AE8" w:rsidRPr="00AA7633">
        <w:rPr>
          <w:rFonts w:eastAsia="Times New Roman" w:cs="Arial"/>
          <w:b/>
          <w:bCs/>
          <w:sz w:val="24"/>
          <w:szCs w:val="24"/>
        </w:rPr>
        <w:t xml:space="preserve">qualifying </w:t>
      </w:r>
      <w:r w:rsidR="001C3DEA" w:rsidRPr="00AA7633">
        <w:rPr>
          <w:rFonts w:eastAsia="Times New Roman" w:cs="Arial"/>
          <w:b/>
          <w:bCs/>
          <w:sz w:val="24"/>
          <w:szCs w:val="24"/>
        </w:rPr>
        <w:t xml:space="preserve">threshold </w:t>
      </w:r>
      <w:r w:rsidR="00366AE8" w:rsidRPr="00AA7633">
        <w:rPr>
          <w:rFonts w:eastAsia="Times New Roman" w:cs="Arial"/>
          <w:b/>
          <w:bCs/>
          <w:sz w:val="24"/>
          <w:szCs w:val="24"/>
        </w:rPr>
        <w:t>from 2% to 4% to obtain seats in the Knesset</w:t>
      </w:r>
      <w:r w:rsidR="00366AE8" w:rsidRPr="00AA7633">
        <w:rPr>
          <w:rFonts w:eastAsia="Times New Roman" w:cs="Arial"/>
          <w:sz w:val="24"/>
          <w:szCs w:val="24"/>
        </w:rPr>
        <w:t xml:space="preserve">, which would be particularly damaging to Arab political parties; </w:t>
      </w:r>
    </w:p>
    <w:p w:rsidR="00AA7633" w:rsidRDefault="00AA7633" w:rsidP="00AA7633">
      <w:pPr>
        <w:shd w:val="clear" w:color="auto" w:fill="FFFFFF"/>
        <w:spacing w:after="0" w:line="240" w:lineRule="auto"/>
        <w:ind w:left="360"/>
        <w:jc w:val="both"/>
        <w:rPr>
          <w:sz w:val="24"/>
          <w:szCs w:val="24"/>
        </w:rPr>
      </w:pPr>
      <w:r>
        <w:rPr>
          <w:rFonts w:eastAsia="Times New Roman" w:cs="Arial"/>
          <w:sz w:val="24"/>
          <w:szCs w:val="24"/>
        </w:rPr>
        <w:t>(3) I</w:t>
      </w:r>
      <w:r w:rsidR="00366AE8" w:rsidRPr="00AA7633">
        <w:rPr>
          <w:rFonts w:eastAsia="Times New Roman" w:cs="Arial"/>
          <w:sz w:val="24"/>
          <w:szCs w:val="24"/>
        </w:rPr>
        <w:t xml:space="preserve">mposing restrictions on </w:t>
      </w:r>
      <w:r w:rsidR="00366AE8" w:rsidRPr="00AA7633">
        <w:rPr>
          <w:rFonts w:eastAsia="Times New Roman" w:cs="Arial"/>
          <w:b/>
          <w:bCs/>
          <w:sz w:val="24"/>
          <w:szCs w:val="24"/>
        </w:rPr>
        <w:t>freedom of expression</w:t>
      </w:r>
      <w:r w:rsidR="00366AE8" w:rsidRPr="00AA7633">
        <w:rPr>
          <w:rFonts w:eastAsia="Times New Roman" w:cs="Arial"/>
          <w:sz w:val="24"/>
          <w:szCs w:val="24"/>
        </w:rPr>
        <w:t xml:space="preserve">, </w:t>
      </w:r>
      <w:r w:rsidR="005E30A1" w:rsidRPr="00AA7633">
        <w:rPr>
          <w:rFonts w:eastAsia="Times New Roman" w:cs="Arial"/>
          <w:sz w:val="24"/>
          <w:szCs w:val="24"/>
        </w:rPr>
        <w:t xml:space="preserve">which </w:t>
      </w:r>
      <w:r w:rsidR="006B7D7F" w:rsidRPr="00AA7633">
        <w:rPr>
          <w:rFonts w:eastAsia="Times New Roman" w:cs="Arial"/>
          <w:sz w:val="24"/>
          <w:szCs w:val="24"/>
        </w:rPr>
        <w:t xml:space="preserve">would </w:t>
      </w:r>
      <w:r w:rsidR="00732E29" w:rsidRPr="00AA7633">
        <w:rPr>
          <w:rFonts w:eastAsia="Times New Roman" w:cs="Arial"/>
          <w:sz w:val="24"/>
          <w:szCs w:val="24"/>
        </w:rPr>
        <w:t xml:space="preserve">make it easier for Israeli soldiers to file class action lawsuits </w:t>
      </w:r>
      <w:r w:rsidR="00FD60F0" w:rsidRPr="00AA7633">
        <w:rPr>
          <w:sz w:val="24"/>
          <w:szCs w:val="24"/>
        </w:rPr>
        <w:t xml:space="preserve">for defamation </w:t>
      </w:r>
      <w:r w:rsidR="006B7D7F" w:rsidRPr="00AA7633">
        <w:rPr>
          <w:sz w:val="24"/>
          <w:szCs w:val="24"/>
        </w:rPr>
        <w:t>in response to</w:t>
      </w:r>
      <w:r w:rsidR="00FD60F0" w:rsidRPr="00AA7633">
        <w:rPr>
          <w:sz w:val="24"/>
          <w:szCs w:val="24"/>
        </w:rPr>
        <w:t xml:space="preserve"> criticism of their conduct during military operations in the OPT</w:t>
      </w:r>
      <w:r w:rsidR="00366AE8" w:rsidRPr="00AA7633">
        <w:rPr>
          <w:sz w:val="24"/>
          <w:szCs w:val="24"/>
        </w:rPr>
        <w:t xml:space="preserve">; </w:t>
      </w:r>
    </w:p>
    <w:p w:rsidR="000D1A7A" w:rsidRDefault="00AA7633" w:rsidP="000D1A7A">
      <w:pPr>
        <w:shd w:val="clear" w:color="auto" w:fill="FFFFFF"/>
        <w:spacing w:after="0" w:line="240" w:lineRule="auto"/>
        <w:ind w:left="360"/>
        <w:jc w:val="both"/>
        <w:rPr>
          <w:sz w:val="24"/>
          <w:szCs w:val="24"/>
        </w:rPr>
      </w:pPr>
      <w:r>
        <w:rPr>
          <w:sz w:val="24"/>
          <w:szCs w:val="24"/>
        </w:rPr>
        <w:t xml:space="preserve">(4) </w:t>
      </w:r>
      <w:r w:rsidRPr="00AA7633">
        <w:rPr>
          <w:sz w:val="24"/>
          <w:szCs w:val="24"/>
        </w:rPr>
        <w:t>Enshrining</w:t>
      </w:r>
      <w:r w:rsidR="00366AE8" w:rsidRPr="00AA7633">
        <w:rPr>
          <w:sz w:val="24"/>
          <w:szCs w:val="24"/>
        </w:rPr>
        <w:t xml:space="preserve"> various harsh emergency regulations into law through an </w:t>
      </w:r>
      <w:r w:rsidR="00366AE8" w:rsidRPr="00AA7633">
        <w:rPr>
          <w:b/>
          <w:bCs/>
          <w:sz w:val="24"/>
          <w:szCs w:val="24"/>
        </w:rPr>
        <w:t>Anti-Terrorism Bill</w:t>
      </w:r>
      <w:r w:rsidR="00366AE8" w:rsidRPr="00AA7633">
        <w:rPr>
          <w:sz w:val="24"/>
          <w:szCs w:val="24"/>
        </w:rPr>
        <w:t>; and</w:t>
      </w:r>
    </w:p>
    <w:p w:rsidR="0086274A" w:rsidRPr="000D1A7A" w:rsidRDefault="00AA7633" w:rsidP="006637FF">
      <w:pPr>
        <w:shd w:val="clear" w:color="auto" w:fill="FFFFFF"/>
        <w:spacing w:after="0" w:line="240" w:lineRule="auto"/>
        <w:ind w:left="360"/>
        <w:jc w:val="both"/>
        <w:rPr>
          <w:sz w:val="24"/>
          <w:szCs w:val="24"/>
        </w:rPr>
      </w:pPr>
      <w:r>
        <w:rPr>
          <w:sz w:val="24"/>
          <w:szCs w:val="24"/>
        </w:rPr>
        <w:t xml:space="preserve">(5) Granting </w:t>
      </w:r>
      <w:r w:rsidR="00366AE8" w:rsidRPr="00AA7633">
        <w:rPr>
          <w:sz w:val="24"/>
          <w:szCs w:val="24"/>
        </w:rPr>
        <w:t xml:space="preserve">further </w:t>
      </w:r>
      <w:r w:rsidR="004B4B57">
        <w:rPr>
          <w:sz w:val="24"/>
          <w:szCs w:val="24"/>
        </w:rPr>
        <w:t>impunity</w:t>
      </w:r>
      <w:r w:rsidR="004B4B57" w:rsidRPr="00AA7633">
        <w:rPr>
          <w:sz w:val="24"/>
          <w:szCs w:val="24"/>
        </w:rPr>
        <w:t xml:space="preserve"> </w:t>
      </w:r>
      <w:r w:rsidR="006637FF">
        <w:rPr>
          <w:sz w:val="24"/>
          <w:szCs w:val="24"/>
        </w:rPr>
        <w:t>to</w:t>
      </w:r>
      <w:r w:rsidR="00366AE8" w:rsidRPr="00AA7633">
        <w:rPr>
          <w:sz w:val="24"/>
          <w:szCs w:val="24"/>
        </w:rPr>
        <w:t xml:space="preserve"> </w:t>
      </w:r>
      <w:r w:rsidR="006637FF">
        <w:rPr>
          <w:sz w:val="24"/>
          <w:szCs w:val="24"/>
        </w:rPr>
        <w:t xml:space="preserve">the </w:t>
      </w:r>
      <w:r w:rsidR="00366AE8" w:rsidRPr="00AA7633">
        <w:rPr>
          <w:sz w:val="24"/>
          <w:szCs w:val="24"/>
        </w:rPr>
        <w:t xml:space="preserve">Israeli military through the imposition of more </w:t>
      </w:r>
      <w:r w:rsidR="00366AE8" w:rsidRPr="00AA7633">
        <w:rPr>
          <w:b/>
          <w:bCs/>
          <w:sz w:val="24"/>
          <w:szCs w:val="24"/>
        </w:rPr>
        <w:t>restrictions on</w:t>
      </w:r>
      <w:r w:rsidR="0086274A">
        <w:rPr>
          <w:b/>
          <w:bCs/>
          <w:sz w:val="24"/>
          <w:szCs w:val="24"/>
        </w:rPr>
        <w:t xml:space="preserve"> obtaining</w:t>
      </w:r>
      <w:r w:rsidR="00366AE8" w:rsidRPr="00AA7633">
        <w:rPr>
          <w:b/>
          <w:bCs/>
          <w:sz w:val="24"/>
          <w:szCs w:val="24"/>
        </w:rPr>
        <w:t xml:space="preserve"> compensation</w:t>
      </w:r>
      <w:r w:rsidR="004B4B57">
        <w:rPr>
          <w:rFonts w:eastAsia="Times New Roman" w:cs="Arial"/>
          <w:sz w:val="24"/>
          <w:szCs w:val="24"/>
        </w:rPr>
        <w:t xml:space="preserve"> </w:t>
      </w:r>
      <w:r w:rsidR="00FD2656">
        <w:rPr>
          <w:rFonts w:eastAsia="Times New Roman" w:cs="Arial"/>
          <w:sz w:val="24"/>
          <w:szCs w:val="24"/>
        </w:rPr>
        <w:t>for</w:t>
      </w:r>
      <w:r w:rsidR="004B4B57">
        <w:rPr>
          <w:rFonts w:eastAsia="Times New Roman" w:cs="Arial"/>
          <w:sz w:val="24"/>
          <w:szCs w:val="24"/>
        </w:rPr>
        <w:t xml:space="preserve"> Palestinians </w:t>
      </w:r>
      <w:r w:rsidR="0086274A">
        <w:rPr>
          <w:rFonts w:eastAsia="Times New Roman" w:cs="Arial"/>
          <w:sz w:val="24"/>
          <w:szCs w:val="24"/>
        </w:rPr>
        <w:t>injured or killed by military</w:t>
      </w:r>
      <w:r w:rsidR="006637FF">
        <w:rPr>
          <w:rFonts w:eastAsia="Times New Roman" w:cs="Arial"/>
          <w:sz w:val="24"/>
          <w:szCs w:val="24"/>
        </w:rPr>
        <w:t xml:space="preserve"> operations in the OPT.</w:t>
      </w:r>
    </w:p>
    <w:p w:rsidR="002F5976" w:rsidRPr="00AA7633" w:rsidRDefault="002F5976" w:rsidP="002F5976">
      <w:pPr>
        <w:shd w:val="clear" w:color="auto" w:fill="FFFFFF"/>
        <w:spacing w:after="0" w:line="240" w:lineRule="auto"/>
        <w:jc w:val="both"/>
        <w:rPr>
          <w:rFonts w:eastAsia="Times New Roman" w:cs="Arial"/>
          <w:sz w:val="24"/>
          <w:szCs w:val="24"/>
        </w:rPr>
      </w:pPr>
    </w:p>
    <w:p w:rsidR="00F8298F" w:rsidRPr="00AA7633" w:rsidRDefault="00EF1F34" w:rsidP="009C16DF">
      <w:pPr>
        <w:shd w:val="clear" w:color="auto" w:fill="FFFFFF"/>
        <w:spacing w:after="0" w:line="240" w:lineRule="auto"/>
        <w:jc w:val="center"/>
        <w:rPr>
          <w:rFonts w:eastAsia="Times New Roman" w:cs="Arial"/>
          <w:b/>
          <w:bCs/>
          <w:sz w:val="24"/>
          <w:szCs w:val="24"/>
          <w:u w:val="single"/>
        </w:rPr>
      </w:pPr>
      <w:r w:rsidRPr="00AA7633">
        <w:rPr>
          <w:rFonts w:eastAsia="Times New Roman" w:cs="Arial"/>
          <w:b/>
          <w:bCs/>
          <w:sz w:val="24"/>
          <w:szCs w:val="24"/>
          <w:u w:val="single"/>
        </w:rPr>
        <w:t>III. PROMOTION AND PROTECTION OF HUMAN RIGHTS</w:t>
      </w:r>
    </w:p>
    <w:p w:rsidR="00366AE8" w:rsidRPr="00AA7633" w:rsidRDefault="00366AE8" w:rsidP="008450A8">
      <w:pPr>
        <w:shd w:val="clear" w:color="auto" w:fill="FFFFFF"/>
        <w:spacing w:after="0" w:line="240" w:lineRule="auto"/>
        <w:jc w:val="both"/>
        <w:rPr>
          <w:rFonts w:eastAsia="Times New Roman" w:cs="Arial"/>
          <w:b/>
          <w:bCs/>
          <w:sz w:val="24"/>
          <w:szCs w:val="24"/>
        </w:rPr>
      </w:pPr>
    </w:p>
    <w:p w:rsidR="00353449" w:rsidRPr="00AA7633" w:rsidRDefault="00652A23" w:rsidP="008450A8">
      <w:pPr>
        <w:shd w:val="clear" w:color="auto" w:fill="FFFFFF"/>
        <w:spacing w:after="0" w:line="240" w:lineRule="auto"/>
        <w:jc w:val="both"/>
        <w:rPr>
          <w:rFonts w:eastAsia="Times New Roman" w:cs="Arial"/>
          <w:b/>
          <w:bCs/>
          <w:sz w:val="24"/>
          <w:szCs w:val="24"/>
        </w:rPr>
      </w:pPr>
      <w:r w:rsidRPr="00AA7633">
        <w:rPr>
          <w:rFonts w:eastAsia="Times New Roman" w:cs="Arial"/>
          <w:b/>
          <w:bCs/>
          <w:sz w:val="24"/>
          <w:szCs w:val="24"/>
        </w:rPr>
        <w:t xml:space="preserve">Right to Equal Access to </w:t>
      </w:r>
      <w:r w:rsidR="00430029" w:rsidRPr="00AA7633">
        <w:rPr>
          <w:rFonts w:eastAsia="Times New Roman" w:cs="Arial"/>
          <w:b/>
          <w:bCs/>
          <w:sz w:val="24"/>
          <w:szCs w:val="24"/>
        </w:rPr>
        <w:t>State</w:t>
      </w:r>
      <w:r w:rsidRPr="00AA7633">
        <w:rPr>
          <w:rFonts w:eastAsia="Times New Roman" w:cs="Arial"/>
          <w:b/>
          <w:bCs/>
          <w:sz w:val="24"/>
          <w:szCs w:val="24"/>
        </w:rPr>
        <w:t xml:space="preserve"> </w:t>
      </w:r>
      <w:r w:rsidR="006C0054" w:rsidRPr="00AA7633">
        <w:rPr>
          <w:rFonts w:eastAsia="Times New Roman" w:cs="Arial"/>
          <w:b/>
          <w:bCs/>
          <w:sz w:val="24"/>
          <w:szCs w:val="24"/>
        </w:rPr>
        <w:t>Resources</w:t>
      </w:r>
    </w:p>
    <w:p w:rsidR="006B374B" w:rsidRPr="00AA7633" w:rsidRDefault="00366AE8" w:rsidP="00C57CCF">
      <w:pPr>
        <w:shd w:val="clear" w:color="auto" w:fill="FFFFFF"/>
        <w:spacing w:after="0" w:line="240" w:lineRule="auto"/>
        <w:jc w:val="both"/>
        <w:rPr>
          <w:sz w:val="24"/>
          <w:szCs w:val="24"/>
          <w:lang w:val="en-US"/>
        </w:rPr>
      </w:pPr>
      <w:r w:rsidRPr="00AA7633">
        <w:rPr>
          <w:rFonts w:eastAsia="Times New Roman" w:cs="Arial"/>
          <w:sz w:val="24"/>
          <w:szCs w:val="24"/>
        </w:rPr>
        <w:t xml:space="preserve">The state discriminates against </w:t>
      </w:r>
      <w:r w:rsidR="00713EE7" w:rsidRPr="00AA7633">
        <w:rPr>
          <w:rFonts w:eastAsia="Times New Roman" w:cs="Arial"/>
          <w:sz w:val="24"/>
          <w:szCs w:val="24"/>
        </w:rPr>
        <w:t xml:space="preserve">Arab </w:t>
      </w:r>
      <w:r w:rsidR="00A838D5" w:rsidRPr="00AA7633">
        <w:rPr>
          <w:rFonts w:eastAsia="Times New Roman" w:cs="Arial"/>
          <w:sz w:val="24"/>
          <w:szCs w:val="24"/>
        </w:rPr>
        <w:t>communities</w:t>
      </w:r>
      <w:r w:rsidR="00713EE7" w:rsidRPr="00AA7633">
        <w:rPr>
          <w:rFonts w:eastAsia="Times New Roman" w:cs="Arial"/>
          <w:sz w:val="24"/>
          <w:szCs w:val="24"/>
        </w:rPr>
        <w:t xml:space="preserve"> in Israel in </w:t>
      </w:r>
      <w:r w:rsidR="006B7D7F" w:rsidRPr="00AA7633">
        <w:rPr>
          <w:rFonts w:eastAsia="Times New Roman" w:cs="Arial"/>
          <w:sz w:val="24"/>
          <w:szCs w:val="24"/>
        </w:rPr>
        <w:t>the allocation of state</w:t>
      </w:r>
      <w:r w:rsidR="00713EE7" w:rsidRPr="00AA7633">
        <w:rPr>
          <w:rFonts w:eastAsia="Times New Roman" w:cs="Arial"/>
          <w:sz w:val="24"/>
          <w:szCs w:val="24"/>
        </w:rPr>
        <w:t xml:space="preserve"> resources</w:t>
      </w:r>
      <w:r w:rsidR="008274C3" w:rsidRPr="00AA7633">
        <w:rPr>
          <w:rFonts w:eastAsia="Times New Roman" w:cs="Arial"/>
          <w:sz w:val="24"/>
          <w:szCs w:val="24"/>
        </w:rPr>
        <w:t xml:space="preserve">, including </w:t>
      </w:r>
      <w:r w:rsidR="009D08CC" w:rsidRPr="00AA7633">
        <w:rPr>
          <w:rFonts w:eastAsia="Times New Roman" w:cs="Arial"/>
          <w:sz w:val="24"/>
          <w:szCs w:val="24"/>
        </w:rPr>
        <w:t xml:space="preserve">in </w:t>
      </w:r>
      <w:r w:rsidR="006B7D7F" w:rsidRPr="00AA7633">
        <w:rPr>
          <w:rFonts w:eastAsia="Times New Roman" w:cs="Arial"/>
          <w:sz w:val="24"/>
          <w:szCs w:val="24"/>
        </w:rPr>
        <w:t xml:space="preserve">the budgets for </w:t>
      </w:r>
      <w:r w:rsidR="008274C3" w:rsidRPr="00AA7633">
        <w:rPr>
          <w:rFonts w:eastAsia="Times New Roman" w:cs="Arial"/>
          <w:sz w:val="24"/>
          <w:szCs w:val="24"/>
        </w:rPr>
        <w:t>education and employment-generating industrial zones</w:t>
      </w:r>
      <w:r w:rsidR="009D08CC" w:rsidRPr="00AA7633">
        <w:rPr>
          <w:rFonts w:eastAsia="Times New Roman" w:cs="Arial"/>
          <w:sz w:val="24"/>
          <w:szCs w:val="24"/>
        </w:rPr>
        <w:t>, for example</w:t>
      </w:r>
      <w:r w:rsidR="00713EE7" w:rsidRPr="00AA7633">
        <w:rPr>
          <w:rFonts w:eastAsia="Times New Roman" w:cs="Arial"/>
          <w:sz w:val="24"/>
          <w:szCs w:val="24"/>
        </w:rPr>
        <w:t>.</w:t>
      </w:r>
      <w:r w:rsidR="00732143" w:rsidRPr="00AA7633">
        <w:rPr>
          <w:rStyle w:val="FootnoteReference"/>
          <w:rFonts w:eastAsia="Times New Roman" w:cs="Arial"/>
          <w:sz w:val="24"/>
          <w:szCs w:val="24"/>
        </w:rPr>
        <w:footnoteReference w:id="5"/>
      </w:r>
      <w:r w:rsidR="00E22E46" w:rsidRPr="00AA7633">
        <w:rPr>
          <w:rFonts w:eastAsia="Times New Roman" w:cs="Arial"/>
          <w:sz w:val="24"/>
          <w:szCs w:val="24"/>
        </w:rPr>
        <w:t xml:space="preserve"> </w:t>
      </w:r>
      <w:r w:rsidR="00E22E46" w:rsidRPr="00AA7633">
        <w:rPr>
          <w:sz w:val="24"/>
          <w:szCs w:val="24"/>
          <w:lang w:val="en-US"/>
        </w:rPr>
        <w:t xml:space="preserve">Despite the </w:t>
      </w:r>
      <w:r w:rsidR="006B7D7F" w:rsidRPr="00AA7633">
        <w:rPr>
          <w:sz w:val="24"/>
          <w:szCs w:val="24"/>
          <w:lang w:val="en-US"/>
        </w:rPr>
        <w:t xml:space="preserve">large </w:t>
      </w:r>
      <w:r w:rsidR="00E22E46" w:rsidRPr="00AA7633">
        <w:rPr>
          <w:sz w:val="24"/>
          <w:szCs w:val="24"/>
          <w:lang w:val="en-US"/>
        </w:rPr>
        <w:t xml:space="preserve">socio-economic gaps that </w:t>
      </w:r>
      <w:r w:rsidR="006B7D7F" w:rsidRPr="00AA7633">
        <w:rPr>
          <w:sz w:val="24"/>
          <w:szCs w:val="24"/>
          <w:lang w:val="en-US"/>
        </w:rPr>
        <w:t>divide</w:t>
      </w:r>
      <w:r w:rsidR="00E22E46" w:rsidRPr="00AA7633">
        <w:rPr>
          <w:sz w:val="24"/>
          <w:szCs w:val="24"/>
          <w:lang w:val="en-US"/>
        </w:rPr>
        <w:t xml:space="preserve"> Arab and Jewish communities in Israel, the government continues to prioritize Jewish towns </w:t>
      </w:r>
      <w:r w:rsidRPr="00AA7633">
        <w:rPr>
          <w:sz w:val="24"/>
          <w:szCs w:val="24"/>
          <w:lang w:val="en-US"/>
        </w:rPr>
        <w:t xml:space="preserve">(both in Israel and in the occupied West Bank) </w:t>
      </w:r>
      <w:r w:rsidR="00E22E46" w:rsidRPr="00AA7633">
        <w:rPr>
          <w:sz w:val="24"/>
          <w:szCs w:val="24"/>
          <w:lang w:val="en-US"/>
        </w:rPr>
        <w:t>in its state budgets based on political considerations.</w:t>
      </w:r>
      <w:r w:rsidR="00E22E46" w:rsidRPr="00AA7633">
        <w:rPr>
          <w:rFonts w:cs="Tahoma"/>
          <w:sz w:val="20"/>
          <w:szCs w:val="20"/>
          <w:shd w:val="clear" w:color="auto" w:fill="FFFFFF"/>
        </w:rPr>
        <w:t xml:space="preserve"> </w:t>
      </w:r>
      <w:r w:rsidR="00971F3C" w:rsidRPr="00AA7633">
        <w:rPr>
          <w:sz w:val="24"/>
          <w:szCs w:val="24"/>
        </w:rPr>
        <w:t>In</w:t>
      </w:r>
      <w:r w:rsidR="00E22E46" w:rsidRPr="00AA7633">
        <w:rPr>
          <w:sz w:val="24"/>
          <w:szCs w:val="24"/>
        </w:rPr>
        <w:t xml:space="preserve"> August 2013, the Israeli Cabinet approved a list of new </w:t>
      </w:r>
      <w:r w:rsidR="006B7D7F" w:rsidRPr="00AA7633">
        <w:rPr>
          <w:sz w:val="24"/>
          <w:szCs w:val="24"/>
        </w:rPr>
        <w:t>‘</w:t>
      </w:r>
      <w:r w:rsidR="00E22E46" w:rsidRPr="00AA7633">
        <w:rPr>
          <w:sz w:val="24"/>
          <w:szCs w:val="24"/>
        </w:rPr>
        <w:t>National Priority Areas</w:t>
      </w:r>
      <w:r w:rsidR="006B7D7F" w:rsidRPr="00AA7633">
        <w:rPr>
          <w:sz w:val="24"/>
          <w:szCs w:val="24"/>
        </w:rPr>
        <w:t>’</w:t>
      </w:r>
      <w:r w:rsidR="00E22E46" w:rsidRPr="00AA7633">
        <w:rPr>
          <w:sz w:val="24"/>
          <w:szCs w:val="24"/>
        </w:rPr>
        <w:t xml:space="preserve"> (NPAs) consisting of 20 new towns, </w:t>
      </w:r>
      <w:r w:rsidR="006B7D7F" w:rsidRPr="00AA7633">
        <w:rPr>
          <w:sz w:val="24"/>
          <w:szCs w:val="24"/>
        </w:rPr>
        <w:t>all Jewish, including nine</w:t>
      </w:r>
      <w:r w:rsidR="00E22E46" w:rsidRPr="00AA7633">
        <w:rPr>
          <w:sz w:val="24"/>
          <w:szCs w:val="24"/>
        </w:rPr>
        <w:t xml:space="preserve"> </w:t>
      </w:r>
      <w:r w:rsidR="006B7D7F" w:rsidRPr="00AA7633">
        <w:rPr>
          <w:sz w:val="24"/>
          <w:szCs w:val="24"/>
        </w:rPr>
        <w:t xml:space="preserve">illegal </w:t>
      </w:r>
      <w:r w:rsidR="00E22E46" w:rsidRPr="00AA7633">
        <w:rPr>
          <w:sz w:val="24"/>
          <w:szCs w:val="24"/>
        </w:rPr>
        <w:t>settlements in the Occupied West Bank.</w:t>
      </w:r>
      <w:r w:rsidR="007123EE" w:rsidRPr="00AA7633">
        <w:rPr>
          <w:rStyle w:val="FootnoteReference"/>
          <w:sz w:val="24"/>
          <w:szCs w:val="24"/>
        </w:rPr>
        <w:footnoteReference w:id="6"/>
      </w:r>
      <w:r w:rsidR="00E22E46" w:rsidRPr="00AA7633">
        <w:rPr>
          <w:sz w:val="24"/>
          <w:szCs w:val="24"/>
        </w:rPr>
        <w:t xml:space="preserve"> NPAs are municipal regions designated by the government to receive significant tax cuts, special benefits and funds for housing, education and culture, as well as tax exemptions, special mortgage rates, and other lucrative subsidies.</w:t>
      </w:r>
      <w:r w:rsidR="00E22E46" w:rsidRPr="00AA7633">
        <w:rPr>
          <w:rFonts w:eastAsia="Times New Roman" w:cs="Arial"/>
          <w:sz w:val="24"/>
          <w:szCs w:val="24"/>
        </w:rPr>
        <w:t xml:space="preserve"> </w:t>
      </w:r>
      <w:r w:rsidR="00E22E46" w:rsidRPr="00AA7633">
        <w:rPr>
          <w:sz w:val="24"/>
          <w:szCs w:val="24"/>
        </w:rPr>
        <w:t>The most serious aspect of this policy is that governmental ministries themselves designate the NPAs and decide the benefits and support that they receive</w:t>
      </w:r>
      <w:r w:rsidR="006B7D7F" w:rsidRPr="00AA7633">
        <w:rPr>
          <w:sz w:val="24"/>
          <w:szCs w:val="24"/>
        </w:rPr>
        <w:t xml:space="preserve"> by executive decision</w:t>
      </w:r>
      <w:r w:rsidR="00E22E46" w:rsidRPr="00AA7633">
        <w:rPr>
          <w:sz w:val="24"/>
          <w:szCs w:val="24"/>
        </w:rPr>
        <w:t xml:space="preserve">. Thus, </w:t>
      </w:r>
      <w:r w:rsidR="006B7D7F" w:rsidRPr="00AA7633">
        <w:rPr>
          <w:sz w:val="24"/>
          <w:szCs w:val="24"/>
        </w:rPr>
        <w:t xml:space="preserve">in practice </w:t>
      </w:r>
      <w:r w:rsidR="005C07EB" w:rsidRPr="00AA7633">
        <w:rPr>
          <w:sz w:val="24"/>
          <w:szCs w:val="24"/>
        </w:rPr>
        <w:t xml:space="preserve">the state does not award </w:t>
      </w:r>
      <w:r w:rsidR="00E22E46" w:rsidRPr="00AA7633">
        <w:rPr>
          <w:sz w:val="24"/>
          <w:szCs w:val="24"/>
        </w:rPr>
        <w:t xml:space="preserve">these benefits based on socio-economic need or fairness, but on political </w:t>
      </w:r>
      <w:r w:rsidR="006317D2" w:rsidRPr="00AA7633">
        <w:rPr>
          <w:sz w:val="24"/>
          <w:szCs w:val="24"/>
        </w:rPr>
        <w:t>agendas</w:t>
      </w:r>
      <w:r w:rsidR="006317D2" w:rsidRPr="00AA7633">
        <w:rPr>
          <w:sz w:val="24"/>
          <w:szCs w:val="24"/>
          <w:lang w:val="en-US"/>
        </w:rPr>
        <w:t xml:space="preserve"> that ultimately exclude Arab communities.</w:t>
      </w:r>
      <w:r w:rsidR="005C07EB" w:rsidRPr="00AA7633">
        <w:rPr>
          <w:sz w:val="24"/>
          <w:szCs w:val="24"/>
          <w:lang w:val="en-US"/>
        </w:rPr>
        <w:t xml:space="preserve"> This new decision runs counter to a landmark Supreme Court decision delivered in 2006.</w:t>
      </w:r>
      <w:r w:rsidR="00D84995">
        <w:rPr>
          <w:rStyle w:val="FootnoteReference"/>
          <w:sz w:val="24"/>
          <w:szCs w:val="24"/>
          <w:lang w:val="en-US"/>
        </w:rPr>
        <w:footnoteReference w:id="7"/>
      </w:r>
    </w:p>
    <w:p w:rsidR="001E52D2" w:rsidRPr="00AA7633" w:rsidRDefault="001E52D2" w:rsidP="00646756">
      <w:pPr>
        <w:shd w:val="clear" w:color="auto" w:fill="FFFFFF"/>
        <w:spacing w:after="0" w:line="240" w:lineRule="auto"/>
        <w:jc w:val="both"/>
        <w:rPr>
          <w:rFonts w:eastAsia="Times New Roman" w:cs="Arial"/>
          <w:sz w:val="24"/>
          <w:szCs w:val="24"/>
        </w:rPr>
      </w:pPr>
    </w:p>
    <w:p w:rsidR="009C16DF" w:rsidRPr="00AA7633" w:rsidRDefault="003D49A8" w:rsidP="00772209">
      <w:pPr>
        <w:shd w:val="clear" w:color="auto" w:fill="FFFFFF"/>
        <w:spacing w:after="0" w:line="240" w:lineRule="auto"/>
        <w:rPr>
          <w:rFonts w:eastAsia="Times New Roman" w:cs="Arial"/>
          <w:b/>
          <w:bCs/>
          <w:sz w:val="24"/>
          <w:szCs w:val="24"/>
        </w:rPr>
      </w:pPr>
      <w:r w:rsidRPr="00AA7633">
        <w:rPr>
          <w:rFonts w:eastAsia="Times New Roman" w:cs="Arial"/>
          <w:b/>
          <w:bCs/>
          <w:sz w:val="24"/>
          <w:szCs w:val="24"/>
        </w:rPr>
        <w:lastRenderedPageBreak/>
        <w:t xml:space="preserve">Right </w:t>
      </w:r>
      <w:r w:rsidR="009C16DF" w:rsidRPr="00AA7633">
        <w:rPr>
          <w:rFonts w:eastAsia="Times New Roman" w:cs="Arial"/>
          <w:b/>
          <w:bCs/>
          <w:sz w:val="24"/>
          <w:szCs w:val="24"/>
        </w:rPr>
        <w:t>to Employment and Equal Opportunities</w:t>
      </w:r>
    </w:p>
    <w:p w:rsidR="00F478E3" w:rsidRPr="00AA7633" w:rsidRDefault="009C16DF" w:rsidP="005C07EB">
      <w:pPr>
        <w:shd w:val="clear" w:color="auto" w:fill="FFFFFF"/>
        <w:spacing w:after="0" w:line="240" w:lineRule="auto"/>
        <w:jc w:val="both"/>
        <w:rPr>
          <w:rFonts w:eastAsia="Times New Roman" w:cs="Arial"/>
          <w:sz w:val="24"/>
          <w:szCs w:val="24"/>
        </w:rPr>
      </w:pPr>
      <w:r w:rsidRPr="00AA7633">
        <w:rPr>
          <w:rFonts w:eastAsia="Times New Roman" w:cs="Arial"/>
          <w:sz w:val="24"/>
          <w:szCs w:val="24"/>
        </w:rPr>
        <w:t>Despite Israel’s claims that it is address</w:t>
      </w:r>
      <w:r w:rsidR="009D08CC" w:rsidRPr="00AA7633">
        <w:rPr>
          <w:rFonts w:eastAsia="Times New Roman" w:cs="Arial"/>
          <w:sz w:val="24"/>
          <w:szCs w:val="24"/>
        </w:rPr>
        <w:t>ing</w:t>
      </w:r>
      <w:r w:rsidRPr="00AA7633">
        <w:rPr>
          <w:rFonts w:eastAsia="Times New Roman" w:cs="Arial"/>
          <w:sz w:val="24"/>
          <w:szCs w:val="24"/>
        </w:rPr>
        <w:t xml:space="preserve"> the</w:t>
      </w:r>
      <w:r w:rsidR="005C07EB" w:rsidRPr="00AA7633">
        <w:rPr>
          <w:rFonts w:eastAsia="Times New Roman" w:cs="Arial"/>
          <w:sz w:val="24"/>
          <w:szCs w:val="24"/>
        </w:rPr>
        <w:t xml:space="preserve"> obstacles to Arab citizens’ rights to work and to favorable conditions of employment, </w:t>
      </w:r>
      <w:r w:rsidRPr="00AA7633">
        <w:rPr>
          <w:rFonts w:eastAsia="Times New Roman" w:cs="Arial"/>
          <w:sz w:val="24"/>
          <w:szCs w:val="24"/>
        </w:rPr>
        <w:t xml:space="preserve">the state </w:t>
      </w:r>
      <w:r w:rsidR="000E78D8" w:rsidRPr="00AA7633">
        <w:rPr>
          <w:rFonts w:eastAsia="Times New Roman" w:cs="Arial"/>
          <w:sz w:val="24"/>
          <w:szCs w:val="24"/>
        </w:rPr>
        <w:t>is continuing to institute</w:t>
      </w:r>
      <w:r w:rsidRPr="00AA7633">
        <w:rPr>
          <w:rFonts w:eastAsia="Times New Roman" w:cs="Arial"/>
          <w:sz w:val="24"/>
          <w:szCs w:val="24"/>
        </w:rPr>
        <w:t xml:space="preserve"> </w:t>
      </w:r>
      <w:r w:rsidR="00E1073E" w:rsidRPr="00AA7633">
        <w:rPr>
          <w:rFonts w:eastAsia="Times New Roman" w:cs="Arial"/>
          <w:sz w:val="24"/>
          <w:szCs w:val="24"/>
        </w:rPr>
        <w:t>measures</w:t>
      </w:r>
      <w:r w:rsidRPr="00AA7633">
        <w:rPr>
          <w:rFonts w:eastAsia="Times New Roman" w:cs="Arial"/>
          <w:sz w:val="24"/>
          <w:szCs w:val="24"/>
        </w:rPr>
        <w:t xml:space="preserve"> that </w:t>
      </w:r>
      <w:r w:rsidR="00770C80" w:rsidRPr="00AA7633">
        <w:rPr>
          <w:rFonts w:eastAsia="Times New Roman" w:cs="Arial"/>
          <w:sz w:val="24"/>
          <w:szCs w:val="24"/>
        </w:rPr>
        <w:t>widen</w:t>
      </w:r>
      <w:r w:rsidRPr="00AA7633">
        <w:rPr>
          <w:rFonts w:eastAsia="Times New Roman" w:cs="Arial"/>
          <w:sz w:val="24"/>
          <w:szCs w:val="24"/>
        </w:rPr>
        <w:t xml:space="preserve"> </w:t>
      </w:r>
      <w:r w:rsidR="009D08CC" w:rsidRPr="00AA7633">
        <w:rPr>
          <w:rFonts w:eastAsia="Times New Roman" w:cs="Arial"/>
          <w:sz w:val="24"/>
          <w:szCs w:val="24"/>
        </w:rPr>
        <w:t xml:space="preserve">existing </w:t>
      </w:r>
      <w:r w:rsidRPr="00AA7633">
        <w:rPr>
          <w:rFonts w:eastAsia="Times New Roman" w:cs="Arial"/>
          <w:sz w:val="24"/>
          <w:szCs w:val="24"/>
        </w:rPr>
        <w:t xml:space="preserve">inequalities. </w:t>
      </w:r>
      <w:r w:rsidR="009D08CC" w:rsidRPr="00AA7633">
        <w:rPr>
          <w:rFonts w:eastAsia="Times New Roman" w:cs="Arial"/>
          <w:sz w:val="24"/>
          <w:szCs w:val="24"/>
        </w:rPr>
        <w:t xml:space="preserve">A major </w:t>
      </w:r>
      <w:r w:rsidR="000E78D8" w:rsidRPr="00AA7633">
        <w:rPr>
          <w:rFonts w:eastAsia="Times New Roman" w:cs="Arial"/>
          <w:sz w:val="24"/>
          <w:szCs w:val="24"/>
        </w:rPr>
        <w:t>channel</w:t>
      </w:r>
      <w:r w:rsidR="0075322C" w:rsidRPr="00AA7633">
        <w:rPr>
          <w:rFonts w:eastAsia="Times New Roman" w:cs="Arial"/>
          <w:sz w:val="24"/>
          <w:szCs w:val="24"/>
        </w:rPr>
        <w:t xml:space="preserve"> for discrimination is </w:t>
      </w:r>
      <w:r w:rsidR="000E78D8" w:rsidRPr="00AA7633">
        <w:rPr>
          <w:rFonts w:eastAsia="Times New Roman" w:cs="Arial"/>
          <w:sz w:val="24"/>
          <w:szCs w:val="24"/>
        </w:rPr>
        <w:t xml:space="preserve">the </w:t>
      </w:r>
      <w:r w:rsidR="0075322C" w:rsidRPr="00AA7633">
        <w:rPr>
          <w:rFonts w:eastAsia="Times New Roman" w:cs="Arial"/>
          <w:sz w:val="24"/>
          <w:szCs w:val="24"/>
        </w:rPr>
        <w:t xml:space="preserve">conditioning </w:t>
      </w:r>
      <w:r w:rsidR="000E78D8" w:rsidRPr="00AA7633">
        <w:rPr>
          <w:rFonts w:eastAsia="Times New Roman" w:cs="Arial"/>
          <w:sz w:val="24"/>
          <w:szCs w:val="24"/>
        </w:rPr>
        <w:t xml:space="preserve">of </w:t>
      </w:r>
      <w:r w:rsidR="009D08CC" w:rsidRPr="00AA7633">
        <w:rPr>
          <w:rFonts w:eastAsia="Times New Roman" w:cs="Arial"/>
          <w:sz w:val="24"/>
          <w:szCs w:val="24"/>
        </w:rPr>
        <w:t>employment</w:t>
      </w:r>
      <w:r w:rsidR="00DD07BB" w:rsidRPr="00AA7633">
        <w:rPr>
          <w:rFonts w:eastAsia="Times New Roman" w:cs="Arial"/>
          <w:sz w:val="24"/>
          <w:szCs w:val="24"/>
        </w:rPr>
        <w:t xml:space="preserve"> and </w:t>
      </w:r>
      <w:r w:rsidR="009D08CC" w:rsidRPr="00AA7633">
        <w:rPr>
          <w:rFonts w:eastAsia="Times New Roman" w:cs="Arial"/>
          <w:sz w:val="24"/>
          <w:szCs w:val="24"/>
        </w:rPr>
        <w:t xml:space="preserve">financial </w:t>
      </w:r>
      <w:r w:rsidR="00DD07BB" w:rsidRPr="00AA7633">
        <w:rPr>
          <w:rFonts w:eastAsia="Times New Roman" w:cs="Arial"/>
          <w:sz w:val="24"/>
          <w:szCs w:val="24"/>
        </w:rPr>
        <w:t>benefits</w:t>
      </w:r>
      <w:r w:rsidR="0075322C" w:rsidRPr="00AA7633">
        <w:rPr>
          <w:rFonts w:eastAsia="Times New Roman" w:cs="Arial"/>
          <w:sz w:val="24"/>
          <w:szCs w:val="24"/>
        </w:rPr>
        <w:t xml:space="preserve"> on </w:t>
      </w:r>
      <w:r w:rsidR="00DD07BB" w:rsidRPr="00AA7633">
        <w:rPr>
          <w:rFonts w:eastAsia="Times New Roman" w:cs="Arial"/>
          <w:sz w:val="24"/>
          <w:szCs w:val="24"/>
        </w:rPr>
        <w:t xml:space="preserve">the completion of </w:t>
      </w:r>
      <w:r w:rsidR="0075322C" w:rsidRPr="00AA7633">
        <w:rPr>
          <w:rFonts w:eastAsia="Times New Roman" w:cs="Arial"/>
          <w:sz w:val="24"/>
          <w:szCs w:val="24"/>
        </w:rPr>
        <w:t xml:space="preserve">military or civil service, </w:t>
      </w:r>
      <w:r w:rsidR="009D08CC" w:rsidRPr="00AA7633">
        <w:rPr>
          <w:rFonts w:eastAsia="Times New Roman" w:cs="Arial"/>
          <w:sz w:val="24"/>
          <w:szCs w:val="24"/>
        </w:rPr>
        <w:t>which excludes</w:t>
      </w:r>
      <w:r w:rsidR="0075322C" w:rsidRPr="00AA7633">
        <w:rPr>
          <w:rFonts w:eastAsia="Times New Roman" w:cs="Arial"/>
          <w:sz w:val="24"/>
          <w:szCs w:val="24"/>
        </w:rPr>
        <w:t xml:space="preserve"> the vast majority of Arab citizens</w:t>
      </w:r>
      <w:r w:rsidR="009D08CC" w:rsidRPr="00AA7633">
        <w:rPr>
          <w:rFonts w:eastAsia="Times New Roman" w:cs="Arial"/>
          <w:sz w:val="24"/>
          <w:szCs w:val="24"/>
        </w:rPr>
        <w:t>, who</w:t>
      </w:r>
      <w:r w:rsidR="0075322C" w:rsidRPr="00AA7633">
        <w:rPr>
          <w:rFonts w:eastAsia="Times New Roman" w:cs="Arial"/>
          <w:sz w:val="24"/>
          <w:szCs w:val="24"/>
        </w:rPr>
        <w:t xml:space="preserve"> </w:t>
      </w:r>
      <w:r w:rsidR="00D71D27" w:rsidRPr="00AA7633">
        <w:rPr>
          <w:rFonts w:eastAsia="Times New Roman" w:cs="Arial"/>
          <w:sz w:val="24"/>
          <w:szCs w:val="24"/>
        </w:rPr>
        <w:t xml:space="preserve">do not serve in these institutions </w:t>
      </w:r>
      <w:r w:rsidR="0075322C" w:rsidRPr="00AA7633">
        <w:rPr>
          <w:rFonts w:eastAsia="Times New Roman" w:cs="Arial"/>
          <w:sz w:val="24"/>
          <w:szCs w:val="24"/>
        </w:rPr>
        <w:t>for historical and political reasons.</w:t>
      </w:r>
      <w:r w:rsidR="00952305" w:rsidRPr="00AA7633">
        <w:rPr>
          <w:rFonts w:eastAsia="Times New Roman" w:cs="Arial"/>
          <w:sz w:val="24"/>
          <w:szCs w:val="24"/>
        </w:rPr>
        <w:t xml:space="preserve"> For example, in April 2013, the Israel Airport Authority published advertisements for vacant job positions as baggage handlers</w:t>
      </w:r>
      <w:r w:rsidR="0075322C" w:rsidRPr="00AA7633">
        <w:rPr>
          <w:rFonts w:eastAsia="Times New Roman" w:cs="Arial"/>
          <w:sz w:val="24"/>
          <w:szCs w:val="24"/>
        </w:rPr>
        <w:t xml:space="preserve"> </w:t>
      </w:r>
      <w:r w:rsidR="00952305" w:rsidRPr="00AA7633">
        <w:rPr>
          <w:rFonts w:eastAsia="Times New Roman" w:cs="Arial"/>
          <w:sz w:val="24"/>
          <w:szCs w:val="24"/>
        </w:rPr>
        <w:t>at Ben-Gurion Airport</w:t>
      </w:r>
      <w:r w:rsidR="00711F1F">
        <w:rPr>
          <w:rFonts w:eastAsia="Times New Roman" w:cs="Arial"/>
          <w:sz w:val="24"/>
          <w:szCs w:val="24"/>
        </w:rPr>
        <w:t>,</w:t>
      </w:r>
      <w:r w:rsidR="005C07EB" w:rsidRPr="00AA7633">
        <w:rPr>
          <w:rFonts w:eastAsia="Times New Roman" w:cs="Arial"/>
          <w:sz w:val="24"/>
          <w:szCs w:val="24"/>
        </w:rPr>
        <w:t xml:space="preserve"> noting that</w:t>
      </w:r>
      <w:r w:rsidR="00952305" w:rsidRPr="00AA7633">
        <w:rPr>
          <w:rFonts w:eastAsia="Times New Roman" w:cs="Arial"/>
          <w:sz w:val="24"/>
          <w:szCs w:val="24"/>
        </w:rPr>
        <w:t xml:space="preserve"> military service </w:t>
      </w:r>
      <w:r w:rsidR="009D08CC" w:rsidRPr="00AA7633">
        <w:rPr>
          <w:rFonts w:eastAsia="Times New Roman" w:cs="Arial"/>
          <w:sz w:val="24"/>
          <w:szCs w:val="24"/>
        </w:rPr>
        <w:t>was a prerequisite for applicants</w:t>
      </w:r>
      <w:r w:rsidR="005C07EB" w:rsidRPr="00AA7633">
        <w:rPr>
          <w:rFonts w:eastAsia="Times New Roman" w:cs="Arial"/>
          <w:sz w:val="24"/>
          <w:szCs w:val="24"/>
        </w:rPr>
        <w:t>.</w:t>
      </w:r>
      <w:r w:rsidR="00F612D2" w:rsidRPr="00AA7633">
        <w:rPr>
          <w:rStyle w:val="FootnoteReference"/>
          <w:rFonts w:eastAsia="Times New Roman" w:cs="Arial"/>
          <w:sz w:val="24"/>
          <w:szCs w:val="24"/>
        </w:rPr>
        <w:footnoteReference w:id="8"/>
      </w:r>
      <w:r w:rsidR="0043670B" w:rsidRPr="00AA7633">
        <w:rPr>
          <w:rFonts w:eastAsia="Times New Roman" w:cs="Arial"/>
          <w:sz w:val="24"/>
          <w:szCs w:val="24"/>
        </w:rPr>
        <w:t xml:space="preserve"> Another example is </w:t>
      </w:r>
      <w:r w:rsidR="00C54C2B" w:rsidRPr="00AA7633">
        <w:rPr>
          <w:rFonts w:eastAsia="Times New Roman" w:cs="Arial"/>
          <w:sz w:val="24"/>
          <w:szCs w:val="24"/>
        </w:rPr>
        <w:t xml:space="preserve">the </w:t>
      </w:r>
      <w:r w:rsidR="009D08CC" w:rsidRPr="00AA7633">
        <w:rPr>
          <w:rFonts w:eastAsia="Times New Roman" w:cs="Arial"/>
          <w:sz w:val="24"/>
          <w:szCs w:val="24"/>
        </w:rPr>
        <w:t>use</w:t>
      </w:r>
      <w:r w:rsidR="00C54C2B" w:rsidRPr="00AA7633">
        <w:rPr>
          <w:rFonts w:eastAsia="Times New Roman" w:cs="Arial"/>
          <w:sz w:val="24"/>
          <w:szCs w:val="24"/>
        </w:rPr>
        <w:t xml:space="preserve"> of military service </w:t>
      </w:r>
      <w:r w:rsidR="009D08CC" w:rsidRPr="00AA7633">
        <w:rPr>
          <w:rFonts w:eastAsia="Times New Roman" w:cs="Arial"/>
          <w:sz w:val="24"/>
          <w:szCs w:val="24"/>
        </w:rPr>
        <w:t xml:space="preserve">in fielding candidates for positions in Israel’s high-tech industry, which has left </w:t>
      </w:r>
      <w:r w:rsidR="00C54C2B" w:rsidRPr="00AA7633">
        <w:rPr>
          <w:rFonts w:eastAsia="Times New Roman" w:cs="Arial"/>
          <w:sz w:val="24"/>
          <w:szCs w:val="24"/>
        </w:rPr>
        <w:t xml:space="preserve">the </w:t>
      </w:r>
      <w:r w:rsidR="009D08CC" w:rsidRPr="00AA7633">
        <w:rPr>
          <w:rFonts w:eastAsia="Times New Roman" w:cs="Arial"/>
          <w:sz w:val="24"/>
          <w:szCs w:val="24"/>
        </w:rPr>
        <w:t>percentage</w:t>
      </w:r>
      <w:r w:rsidR="00C54C2B" w:rsidRPr="00AA7633">
        <w:rPr>
          <w:rFonts w:eastAsia="Times New Roman" w:cs="Arial"/>
          <w:sz w:val="24"/>
          <w:szCs w:val="24"/>
        </w:rPr>
        <w:t xml:space="preserve"> of Arab citizens in the sector </w:t>
      </w:r>
      <w:r w:rsidR="009D08CC" w:rsidRPr="00AA7633">
        <w:rPr>
          <w:rFonts w:eastAsia="Times New Roman" w:cs="Arial"/>
          <w:sz w:val="24"/>
          <w:szCs w:val="24"/>
        </w:rPr>
        <w:t>as low as</w:t>
      </w:r>
      <w:r w:rsidR="00C54C2B" w:rsidRPr="00AA7633">
        <w:rPr>
          <w:rFonts w:eastAsia="Times New Roman" w:cs="Arial"/>
          <w:sz w:val="24"/>
          <w:szCs w:val="24"/>
        </w:rPr>
        <w:t xml:space="preserve"> </w:t>
      </w:r>
      <w:r w:rsidR="009D08CC" w:rsidRPr="00AA7633">
        <w:rPr>
          <w:rFonts w:eastAsia="Times New Roman" w:cs="Arial"/>
          <w:sz w:val="24"/>
          <w:szCs w:val="24"/>
        </w:rPr>
        <w:t>0.</w:t>
      </w:r>
      <w:r w:rsidR="00C54C2B" w:rsidRPr="00AA7633">
        <w:rPr>
          <w:rFonts w:eastAsia="Times New Roman" w:cs="Arial"/>
          <w:sz w:val="24"/>
          <w:szCs w:val="24"/>
        </w:rPr>
        <w:t>3%.</w:t>
      </w:r>
      <w:r w:rsidR="001754E4" w:rsidRPr="00AA7633">
        <w:rPr>
          <w:rFonts w:eastAsia="Times New Roman" w:cs="Arial"/>
          <w:sz w:val="24"/>
          <w:szCs w:val="24"/>
        </w:rPr>
        <w:t xml:space="preserve"> </w:t>
      </w:r>
      <w:r w:rsidR="009D08CC" w:rsidRPr="00AA7633">
        <w:rPr>
          <w:rFonts w:eastAsia="Times New Roman" w:cs="Arial"/>
          <w:sz w:val="24"/>
          <w:szCs w:val="24"/>
        </w:rPr>
        <w:t xml:space="preserve">In April 2013, </w:t>
      </w:r>
      <w:r w:rsidR="00B32E3E" w:rsidRPr="00AA7633">
        <w:rPr>
          <w:rFonts w:eastAsia="Times New Roman" w:cs="Arial"/>
          <w:sz w:val="24"/>
          <w:szCs w:val="24"/>
        </w:rPr>
        <w:t>the Minister of Trade and Economy announced</w:t>
      </w:r>
      <w:r w:rsidR="00C1115C" w:rsidRPr="00AA7633">
        <w:rPr>
          <w:rFonts w:eastAsia="Times New Roman" w:cs="Arial"/>
          <w:sz w:val="24"/>
          <w:szCs w:val="24"/>
        </w:rPr>
        <w:t xml:space="preserve"> </w:t>
      </w:r>
      <w:r w:rsidR="009D08CC" w:rsidRPr="00AA7633">
        <w:rPr>
          <w:rFonts w:eastAsia="Times New Roman" w:cs="Arial"/>
          <w:sz w:val="24"/>
          <w:szCs w:val="24"/>
        </w:rPr>
        <w:t>that the number of ultra-Orthodox Jews in high-tech, who are also poorly represented in the industry, would soon rise dramatically</w:t>
      </w:r>
      <w:r w:rsidR="00B32E3E" w:rsidRPr="00AA7633">
        <w:rPr>
          <w:rFonts w:eastAsia="Times New Roman" w:cs="Arial"/>
          <w:sz w:val="24"/>
          <w:szCs w:val="24"/>
        </w:rPr>
        <w:t xml:space="preserve">, </w:t>
      </w:r>
      <w:r w:rsidR="009D08CC" w:rsidRPr="00AA7633">
        <w:rPr>
          <w:rFonts w:eastAsia="Times New Roman" w:cs="Arial"/>
          <w:sz w:val="24"/>
          <w:szCs w:val="24"/>
        </w:rPr>
        <w:t xml:space="preserve">but made </w:t>
      </w:r>
      <w:r w:rsidR="00B32E3E" w:rsidRPr="00AA7633">
        <w:rPr>
          <w:rFonts w:eastAsia="Times New Roman" w:cs="Arial"/>
          <w:sz w:val="24"/>
          <w:szCs w:val="24"/>
        </w:rPr>
        <w:t xml:space="preserve">no </w:t>
      </w:r>
      <w:r w:rsidR="009D08CC" w:rsidRPr="00AA7633">
        <w:rPr>
          <w:rFonts w:eastAsia="Times New Roman" w:cs="Arial"/>
          <w:sz w:val="24"/>
          <w:szCs w:val="24"/>
        </w:rPr>
        <w:t xml:space="preserve">such </w:t>
      </w:r>
      <w:r w:rsidR="00B32E3E" w:rsidRPr="00AA7633">
        <w:rPr>
          <w:rFonts w:eastAsia="Times New Roman" w:cs="Arial"/>
          <w:sz w:val="24"/>
          <w:szCs w:val="24"/>
        </w:rPr>
        <w:t xml:space="preserve">announcement </w:t>
      </w:r>
      <w:r w:rsidR="009D08CC" w:rsidRPr="00AA7633">
        <w:rPr>
          <w:rFonts w:eastAsia="Times New Roman" w:cs="Arial"/>
          <w:sz w:val="24"/>
          <w:szCs w:val="24"/>
        </w:rPr>
        <w:t xml:space="preserve">in the case of Palestinian </w:t>
      </w:r>
      <w:r w:rsidR="00B32E3E" w:rsidRPr="00AA7633">
        <w:rPr>
          <w:rFonts w:eastAsia="Times New Roman" w:cs="Arial"/>
          <w:sz w:val="24"/>
          <w:szCs w:val="24"/>
        </w:rPr>
        <w:t>citizens.</w:t>
      </w:r>
      <w:r w:rsidR="00B32E3E" w:rsidRPr="00AA7633">
        <w:rPr>
          <w:rStyle w:val="FootnoteReference"/>
          <w:rFonts w:eastAsia="Times New Roman" w:cs="Arial"/>
          <w:sz w:val="24"/>
          <w:szCs w:val="24"/>
        </w:rPr>
        <w:footnoteReference w:id="9"/>
      </w:r>
      <w:r w:rsidR="00B32E3E" w:rsidRPr="00AA7633">
        <w:rPr>
          <w:rFonts w:eastAsia="Times New Roman" w:cs="Arial"/>
          <w:sz w:val="24"/>
          <w:szCs w:val="24"/>
        </w:rPr>
        <w:t xml:space="preserve"> </w:t>
      </w:r>
      <w:r w:rsidR="00952305" w:rsidRPr="00AA7633">
        <w:rPr>
          <w:rFonts w:eastAsia="Times New Roman" w:cs="Arial"/>
          <w:sz w:val="24"/>
          <w:szCs w:val="24"/>
        </w:rPr>
        <w:t xml:space="preserve">Such </w:t>
      </w:r>
      <w:r w:rsidR="005C07EB" w:rsidRPr="00AA7633">
        <w:rPr>
          <w:rFonts w:eastAsia="Times New Roman" w:cs="Arial"/>
          <w:sz w:val="24"/>
          <w:szCs w:val="24"/>
        </w:rPr>
        <w:t>military service requirements</w:t>
      </w:r>
      <w:r w:rsidR="00952305" w:rsidRPr="00AA7633">
        <w:rPr>
          <w:rFonts w:eastAsia="Times New Roman" w:cs="Arial"/>
          <w:sz w:val="24"/>
          <w:szCs w:val="24"/>
        </w:rPr>
        <w:t xml:space="preserve">, which have no relevance to an individual’s ability to fulfill a job’s tasks, constitute discrimination against </w:t>
      </w:r>
      <w:r w:rsidR="009D08CC" w:rsidRPr="00AA7633">
        <w:rPr>
          <w:rFonts w:eastAsia="Times New Roman" w:cs="Arial"/>
          <w:sz w:val="24"/>
          <w:szCs w:val="24"/>
        </w:rPr>
        <w:t>Palestinian</w:t>
      </w:r>
      <w:r w:rsidR="00952305" w:rsidRPr="00AA7633">
        <w:rPr>
          <w:rFonts w:eastAsia="Times New Roman" w:cs="Arial"/>
          <w:sz w:val="24"/>
          <w:szCs w:val="24"/>
        </w:rPr>
        <w:t xml:space="preserve"> citizens</w:t>
      </w:r>
      <w:r w:rsidR="005C07EB" w:rsidRPr="00AA7633">
        <w:rPr>
          <w:rFonts w:eastAsia="Times New Roman" w:cs="Arial"/>
          <w:sz w:val="24"/>
          <w:szCs w:val="24"/>
        </w:rPr>
        <w:t>.</w:t>
      </w:r>
      <w:r w:rsidR="001754E4" w:rsidRPr="00AA7633">
        <w:rPr>
          <w:rFonts w:eastAsia="Times New Roman" w:cs="Arial"/>
          <w:sz w:val="24"/>
          <w:szCs w:val="24"/>
        </w:rPr>
        <w:t xml:space="preserve"> </w:t>
      </w:r>
    </w:p>
    <w:p w:rsidR="00F478E3" w:rsidRPr="00AA7633" w:rsidRDefault="00F478E3" w:rsidP="001754E4">
      <w:pPr>
        <w:shd w:val="clear" w:color="auto" w:fill="FFFFFF"/>
        <w:spacing w:after="0" w:line="240" w:lineRule="auto"/>
        <w:jc w:val="both"/>
        <w:rPr>
          <w:rFonts w:eastAsia="Times New Roman" w:cs="Arial"/>
          <w:sz w:val="24"/>
          <w:szCs w:val="24"/>
        </w:rPr>
      </w:pPr>
    </w:p>
    <w:p w:rsidR="009C16DF" w:rsidRPr="00AA7633" w:rsidRDefault="00930839" w:rsidP="005C07EB">
      <w:pPr>
        <w:shd w:val="clear" w:color="auto" w:fill="FFFFFF"/>
        <w:spacing w:after="0" w:line="240" w:lineRule="auto"/>
        <w:jc w:val="both"/>
        <w:rPr>
          <w:rFonts w:eastAsia="Times New Roman" w:cs="Arial"/>
          <w:sz w:val="24"/>
          <w:szCs w:val="24"/>
        </w:rPr>
      </w:pPr>
      <w:r w:rsidRPr="00AA7633">
        <w:rPr>
          <w:rFonts w:eastAsia="Times New Roman" w:cs="Arial"/>
          <w:sz w:val="24"/>
          <w:szCs w:val="24"/>
        </w:rPr>
        <w:t>In addition</w:t>
      </w:r>
      <w:r w:rsidR="00D71D27" w:rsidRPr="00AA7633">
        <w:rPr>
          <w:rFonts w:eastAsia="Times New Roman" w:cs="Arial"/>
          <w:sz w:val="24"/>
          <w:szCs w:val="24"/>
        </w:rPr>
        <w:t xml:space="preserve">, </w:t>
      </w:r>
      <w:r w:rsidR="005C07EB" w:rsidRPr="00AA7633">
        <w:rPr>
          <w:rFonts w:eastAsia="Times New Roman" w:cs="Arial"/>
          <w:sz w:val="24"/>
          <w:szCs w:val="24"/>
        </w:rPr>
        <w:t xml:space="preserve">as noted, </w:t>
      </w:r>
      <w:r w:rsidR="00D71D27" w:rsidRPr="00AA7633">
        <w:rPr>
          <w:rFonts w:eastAsia="Times New Roman" w:cs="Arial"/>
          <w:sz w:val="24"/>
          <w:szCs w:val="24"/>
        </w:rPr>
        <w:t>t</w:t>
      </w:r>
      <w:r w:rsidR="0075322C" w:rsidRPr="00AA7633">
        <w:rPr>
          <w:rFonts w:eastAsia="Times New Roman" w:cs="Arial"/>
          <w:sz w:val="24"/>
          <w:szCs w:val="24"/>
        </w:rPr>
        <w:t xml:space="preserve">he Knesset has introduced </w:t>
      </w:r>
      <w:r w:rsidR="005C07EB" w:rsidRPr="00AA7633">
        <w:rPr>
          <w:rFonts w:eastAsia="Times New Roman" w:cs="Arial"/>
          <w:sz w:val="24"/>
          <w:szCs w:val="24"/>
        </w:rPr>
        <w:t xml:space="preserve">several </w:t>
      </w:r>
      <w:r w:rsidR="00391A35" w:rsidRPr="00AA7633">
        <w:rPr>
          <w:rFonts w:eastAsia="Times New Roman" w:cs="Arial"/>
          <w:sz w:val="24"/>
          <w:szCs w:val="24"/>
        </w:rPr>
        <w:t>new</w:t>
      </w:r>
      <w:r w:rsidR="0075322C" w:rsidRPr="00AA7633">
        <w:rPr>
          <w:rFonts w:eastAsia="Times New Roman" w:cs="Arial"/>
          <w:sz w:val="24"/>
          <w:szCs w:val="24"/>
        </w:rPr>
        <w:t xml:space="preserve"> bills to </w:t>
      </w:r>
      <w:r w:rsidR="00FE5D19" w:rsidRPr="00AA7633">
        <w:rPr>
          <w:rFonts w:eastAsia="Times New Roman" w:cs="Arial"/>
          <w:sz w:val="24"/>
          <w:szCs w:val="24"/>
        </w:rPr>
        <w:t xml:space="preserve">grant </w:t>
      </w:r>
      <w:r w:rsidR="000E78D8" w:rsidRPr="00AA7633">
        <w:rPr>
          <w:rFonts w:eastAsia="Times New Roman" w:cs="Arial"/>
          <w:sz w:val="24"/>
          <w:szCs w:val="24"/>
        </w:rPr>
        <w:t>additional</w:t>
      </w:r>
      <w:r w:rsidR="00FE5D19" w:rsidRPr="00AA7633">
        <w:rPr>
          <w:rFonts w:eastAsia="Times New Roman" w:cs="Arial"/>
          <w:sz w:val="24"/>
          <w:szCs w:val="24"/>
        </w:rPr>
        <w:t xml:space="preserve"> benefits</w:t>
      </w:r>
      <w:r w:rsidR="000E78D8" w:rsidRPr="00AA7633">
        <w:rPr>
          <w:rFonts w:eastAsia="Times New Roman" w:cs="Arial"/>
          <w:sz w:val="24"/>
          <w:szCs w:val="24"/>
        </w:rPr>
        <w:t xml:space="preserve"> </w:t>
      </w:r>
      <w:r w:rsidR="00391A35" w:rsidRPr="00AA7633">
        <w:rPr>
          <w:rFonts w:eastAsia="Times New Roman" w:cs="Arial"/>
          <w:sz w:val="24"/>
          <w:szCs w:val="24"/>
        </w:rPr>
        <w:t xml:space="preserve">and advantages </w:t>
      </w:r>
      <w:r w:rsidR="000E78D8" w:rsidRPr="00AA7633">
        <w:rPr>
          <w:rFonts w:eastAsia="Times New Roman" w:cs="Arial"/>
          <w:sz w:val="24"/>
          <w:szCs w:val="24"/>
        </w:rPr>
        <w:t xml:space="preserve">to </w:t>
      </w:r>
      <w:r w:rsidR="005C07EB" w:rsidRPr="00AA7633">
        <w:rPr>
          <w:rFonts w:eastAsia="Times New Roman" w:cs="Arial"/>
          <w:sz w:val="24"/>
          <w:szCs w:val="24"/>
        </w:rPr>
        <w:t xml:space="preserve">those who perform </w:t>
      </w:r>
      <w:r w:rsidR="000E78D8" w:rsidRPr="00AA7633">
        <w:rPr>
          <w:rFonts w:eastAsia="Times New Roman" w:cs="Arial"/>
          <w:sz w:val="24"/>
          <w:szCs w:val="24"/>
        </w:rPr>
        <w:t>milit</w:t>
      </w:r>
      <w:r w:rsidR="00391A35" w:rsidRPr="00AA7633">
        <w:rPr>
          <w:rFonts w:eastAsia="Times New Roman" w:cs="Arial"/>
          <w:sz w:val="24"/>
          <w:szCs w:val="24"/>
        </w:rPr>
        <w:t>ary and civil service</w:t>
      </w:r>
      <w:r w:rsidR="005C07EB" w:rsidRPr="00AA7633">
        <w:rPr>
          <w:rFonts w:eastAsia="Times New Roman" w:cs="Arial"/>
          <w:sz w:val="24"/>
          <w:szCs w:val="24"/>
        </w:rPr>
        <w:t xml:space="preserve">. </w:t>
      </w:r>
      <w:r w:rsidR="00D71D27" w:rsidRPr="00AA7633">
        <w:rPr>
          <w:rFonts w:eastAsia="Times New Roman" w:cs="Arial"/>
          <w:sz w:val="24"/>
          <w:szCs w:val="24"/>
        </w:rPr>
        <w:t>Among these is the</w:t>
      </w:r>
      <w:r w:rsidR="000E78D8" w:rsidRPr="00AA7633">
        <w:rPr>
          <w:rFonts w:eastAsia="Times New Roman" w:cs="Arial"/>
          <w:sz w:val="24"/>
          <w:szCs w:val="24"/>
        </w:rPr>
        <w:t xml:space="preserve"> </w:t>
      </w:r>
      <w:r w:rsidR="009C16DF" w:rsidRPr="00AA7633">
        <w:rPr>
          <w:rFonts w:eastAsia="Times New Roman" w:cs="Arial"/>
          <w:sz w:val="24"/>
          <w:szCs w:val="24"/>
        </w:rPr>
        <w:t>C</w:t>
      </w:r>
      <w:r w:rsidR="009D08CC" w:rsidRPr="00AA7633">
        <w:rPr>
          <w:rFonts w:eastAsia="Times New Roman" w:cs="Arial"/>
          <w:sz w:val="24"/>
          <w:szCs w:val="24"/>
        </w:rPr>
        <w:t>ontributors to the State Bill</w:t>
      </w:r>
      <w:r w:rsidR="00D71D27" w:rsidRPr="00AA7633">
        <w:rPr>
          <w:rFonts w:eastAsia="Times New Roman" w:cs="Arial"/>
          <w:sz w:val="24"/>
          <w:szCs w:val="24"/>
        </w:rPr>
        <w:t>,</w:t>
      </w:r>
      <w:r w:rsidR="00130FA7" w:rsidRPr="00AA7633">
        <w:rPr>
          <w:rFonts w:eastAsia="Times New Roman" w:cs="Arial"/>
          <w:sz w:val="24"/>
          <w:szCs w:val="24"/>
        </w:rPr>
        <w:t xml:space="preserve"> </w:t>
      </w:r>
      <w:r w:rsidR="00D71D27" w:rsidRPr="00AA7633">
        <w:rPr>
          <w:rFonts w:eastAsia="Times New Roman" w:cs="Arial"/>
          <w:sz w:val="24"/>
          <w:szCs w:val="24"/>
        </w:rPr>
        <w:t>which</w:t>
      </w:r>
      <w:r w:rsidR="00D70DC7" w:rsidRPr="00AA7633">
        <w:rPr>
          <w:rFonts w:eastAsia="Times New Roman" w:cs="Arial"/>
          <w:sz w:val="24"/>
          <w:szCs w:val="24"/>
        </w:rPr>
        <w:t xml:space="preserve"> </w:t>
      </w:r>
      <w:r w:rsidR="009D08CC" w:rsidRPr="00AA7633">
        <w:rPr>
          <w:rFonts w:eastAsia="Times New Roman" w:cs="Arial"/>
          <w:sz w:val="24"/>
          <w:szCs w:val="24"/>
        </w:rPr>
        <w:t>would</w:t>
      </w:r>
      <w:r w:rsidR="00D70DC7" w:rsidRPr="00AA7633">
        <w:rPr>
          <w:rFonts w:eastAsia="Times New Roman" w:cs="Arial"/>
          <w:sz w:val="24"/>
          <w:szCs w:val="24"/>
        </w:rPr>
        <w:t xml:space="preserve"> </w:t>
      </w:r>
      <w:r w:rsidR="00130FA7" w:rsidRPr="00AA7633">
        <w:rPr>
          <w:rFonts w:eastAsia="Times New Roman" w:cs="Arial"/>
          <w:sz w:val="24"/>
          <w:szCs w:val="24"/>
        </w:rPr>
        <w:t>institute</w:t>
      </w:r>
      <w:r w:rsidR="009D08CC" w:rsidRPr="00AA7633">
        <w:rPr>
          <w:rFonts w:eastAsia="Times New Roman" w:cs="Arial"/>
          <w:sz w:val="24"/>
          <w:szCs w:val="24"/>
        </w:rPr>
        <w:t xml:space="preserve"> further</w:t>
      </w:r>
      <w:r w:rsidR="009C16DF" w:rsidRPr="00AA7633">
        <w:rPr>
          <w:rFonts w:eastAsia="Times New Roman" w:cs="Arial"/>
          <w:sz w:val="24"/>
          <w:szCs w:val="24"/>
        </w:rPr>
        <w:t xml:space="preserve"> preferential treatment </w:t>
      </w:r>
      <w:r w:rsidR="00D71D27" w:rsidRPr="00AA7633">
        <w:rPr>
          <w:rFonts w:eastAsia="Times New Roman" w:cs="Arial"/>
          <w:sz w:val="24"/>
          <w:szCs w:val="24"/>
        </w:rPr>
        <w:t>for</w:t>
      </w:r>
      <w:r w:rsidR="009C16DF" w:rsidRPr="00AA7633">
        <w:rPr>
          <w:rFonts w:eastAsia="Times New Roman" w:cs="Arial"/>
          <w:sz w:val="24"/>
          <w:szCs w:val="24"/>
        </w:rPr>
        <w:t xml:space="preserve"> </w:t>
      </w:r>
      <w:r w:rsidR="000E78D8" w:rsidRPr="00AA7633">
        <w:rPr>
          <w:rFonts w:eastAsia="Times New Roman" w:cs="Arial"/>
          <w:sz w:val="24"/>
          <w:szCs w:val="24"/>
        </w:rPr>
        <w:t xml:space="preserve">military and civil service graduates </w:t>
      </w:r>
      <w:r w:rsidR="009C16DF" w:rsidRPr="00AA7633">
        <w:rPr>
          <w:rFonts w:eastAsia="Times New Roman" w:cs="Arial"/>
          <w:sz w:val="24"/>
          <w:szCs w:val="24"/>
        </w:rPr>
        <w:t xml:space="preserve">in </w:t>
      </w:r>
      <w:r w:rsidR="009D08CC" w:rsidRPr="00AA7633">
        <w:rPr>
          <w:rFonts w:eastAsia="Times New Roman" w:cs="Arial"/>
          <w:sz w:val="24"/>
          <w:szCs w:val="24"/>
          <w:lang w:val="en-GB"/>
        </w:rPr>
        <w:t>employment, rent, purchasing land for housing, the civil service, university admission, student housing</w:t>
      </w:r>
      <w:r w:rsidR="005C07EB" w:rsidRPr="00AA7633">
        <w:rPr>
          <w:rFonts w:eastAsia="Times New Roman" w:cs="Arial"/>
          <w:sz w:val="24"/>
          <w:szCs w:val="24"/>
          <w:lang w:val="en-GB"/>
        </w:rPr>
        <w:t>,</w:t>
      </w:r>
      <w:r w:rsidR="009D08CC" w:rsidRPr="00AA7633">
        <w:rPr>
          <w:rFonts w:eastAsia="Times New Roman" w:cs="Arial"/>
          <w:sz w:val="24"/>
          <w:szCs w:val="24"/>
          <w:lang w:val="en-GB"/>
        </w:rPr>
        <w:t xml:space="preserve"> and other areas</w:t>
      </w:r>
      <w:r w:rsidR="009C16DF" w:rsidRPr="00AA7633">
        <w:rPr>
          <w:rFonts w:eastAsia="Times New Roman" w:cs="Arial"/>
          <w:sz w:val="24"/>
          <w:szCs w:val="24"/>
        </w:rPr>
        <w:t>.</w:t>
      </w:r>
      <w:r w:rsidR="000E78D8" w:rsidRPr="00AA7633">
        <w:rPr>
          <w:rStyle w:val="FootnoteReference"/>
          <w:rFonts w:eastAsia="Times New Roman" w:cs="Arial"/>
          <w:sz w:val="24"/>
          <w:szCs w:val="24"/>
        </w:rPr>
        <w:footnoteReference w:id="10"/>
      </w:r>
      <w:r w:rsidR="009C16DF" w:rsidRPr="00AA7633">
        <w:rPr>
          <w:rFonts w:eastAsia="Times New Roman" w:cs="Arial"/>
          <w:sz w:val="24"/>
          <w:szCs w:val="24"/>
        </w:rPr>
        <w:t xml:space="preserve"> The bill states that such preferential treatment </w:t>
      </w:r>
      <w:r w:rsidR="009D08CC" w:rsidRPr="00AA7633">
        <w:rPr>
          <w:rFonts w:eastAsia="Times New Roman" w:cs="Arial"/>
          <w:sz w:val="24"/>
          <w:szCs w:val="24"/>
        </w:rPr>
        <w:t>would</w:t>
      </w:r>
      <w:r w:rsidR="009C16DF" w:rsidRPr="00AA7633">
        <w:rPr>
          <w:rFonts w:eastAsia="Times New Roman" w:cs="Arial"/>
          <w:sz w:val="24"/>
          <w:szCs w:val="24"/>
        </w:rPr>
        <w:t xml:space="preserve"> not be considered discriminatio</w:t>
      </w:r>
      <w:r w:rsidR="004A5FD8" w:rsidRPr="00AA7633">
        <w:rPr>
          <w:rFonts w:eastAsia="Times New Roman" w:cs="Arial"/>
          <w:sz w:val="24"/>
          <w:szCs w:val="24"/>
        </w:rPr>
        <w:t>n.</w:t>
      </w:r>
      <w:r w:rsidRPr="00AA7633">
        <w:rPr>
          <w:rFonts w:eastAsia="Times New Roman" w:cs="Arial"/>
          <w:sz w:val="24"/>
          <w:szCs w:val="24"/>
        </w:rPr>
        <w:t xml:space="preserve"> </w:t>
      </w:r>
    </w:p>
    <w:p w:rsidR="00D71D27" w:rsidRPr="00AA7633" w:rsidRDefault="00D71D27" w:rsidP="00E114FC">
      <w:pPr>
        <w:shd w:val="clear" w:color="auto" w:fill="FFFFFF"/>
        <w:tabs>
          <w:tab w:val="left" w:pos="1605"/>
        </w:tabs>
        <w:spacing w:after="0" w:line="240" w:lineRule="auto"/>
        <w:jc w:val="both"/>
        <w:rPr>
          <w:rFonts w:eastAsia="Times New Roman" w:cs="Arial"/>
          <w:sz w:val="24"/>
          <w:szCs w:val="24"/>
        </w:rPr>
      </w:pPr>
    </w:p>
    <w:p w:rsidR="0090551A" w:rsidRPr="00AA7633" w:rsidRDefault="00531230" w:rsidP="0090551A">
      <w:pPr>
        <w:shd w:val="clear" w:color="auto" w:fill="FFFFFF"/>
        <w:tabs>
          <w:tab w:val="left" w:pos="1605"/>
        </w:tabs>
        <w:spacing w:after="0" w:line="240" w:lineRule="auto"/>
        <w:jc w:val="both"/>
        <w:rPr>
          <w:rFonts w:eastAsia="Times New Roman" w:cs="Arial"/>
          <w:sz w:val="24"/>
          <w:szCs w:val="24"/>
        </w:rPr>
      </w:pPr>
      <w:r w:rsidRPr="00AA7633">
        <w:rPr>
          <w:rFonts w:eastAsia="Times New Roman" w:cs="Arial"/>
          <w:b/>
          <w:bCs/>
          <w:sz w:val="24"/>
          <w:szCs w:val="24"/>
        </w:rPr>
        <w:t xml:space="preserve">Minority </w:t>
      </w:r>
      <w:r w:rsidR="0090551A" w:rsidRPr="00AA7633">
        <w:rPr>
          <w:rFonts w:eastAsia="Times New Roman" w:cs="Arial"/>
          <w:b/>
          <w:bCs/>
          <w:sz w:val="24"/>
          <w:szCs w:val="24"/>
        </w:rPr>
        <w:t>Representation in Public Services</w:t>
      </w:r>
    </w:p>
    <w:p w:rsidR="007907AE" w:rsidRPr="00AA7633" w:rsidRDefault="005C07EB" w:rsidP="00592E45">
      <w:pPr>
        <w:shd w:val="clear" w:color="auto" w:fill="FFFFFF"/>
        <w:spacing w:after="0" w:line="240" w:lineRule="auto"/>
        <w:jc w:val="both"/>
        <w:rPr>
          <w:sz w:val="24"/>
          <w:szCs w:val="24"/>
        </w:rPr>
      </w:pPr>
      <w:r w:rsidRPr="00AA7633">
        <w:rPr>
          <w:rFonts w:eastAsia="Times New Roman" w:cs="Arial"/>
          <w:sz w:val="24"/>
          <w:szCs w:val="24"/>
        </w:rPr>
        <w:t>Despite promises, t</w:t>
      </w:r>
      <w:r w:rsidR="003C1FDE" w:rsidRPr="00AA7633">
        <w:rPr>
          <w:rFonts w:eastAsia="Times New Roman" w:cs="Arial"/>
          <w:sz w:val="24"/>
          <w:szCs w:val="24"/>
        </w:rPr>
        <w:t xml:space="preserve">he </w:t>
      </w:r>
      <w:r w:rsidR="00130E23" w:rsidRPr="00AA7633">
        <w:rPr>
          <w:rFonts w:eastAsia="Times New Roman" w:cs="Arial"/>
          <w:sz w:val="24"/>
          <w:szCs w:val="24"/>
        </w:rPr>
        <w:t>Israeli government</w:t>
      </w:r>
      <w:r w:rsidR="003C1FDE" w:rsidRPr="00AA7633">
        <w:rPr>
          <w:rFonts w:eastAsia="Times New Roman" w:cs="Arial"/>
          <w:sz w:val="24"/>
          <w:szCs w:val="24"/>
        </w:rPr>
        <w:t xml:space="preserve"> has failed to </w:t>
      </w:r>
      <w:r w:rsidR="009516B6" w:rsidRPr="00AA7633">
        <w:rPr>
          <w:rFonts w:eastAsia="Times New Roman" w:cs="Arial"/>
          <w:sz w:val="24"/>
          <w:szCs w:val="24"/>
        </w:rPr>
        <w:t>address the low</w:t>
      </w:r>
      <w:r w:rsidR="003C1FDE" w:rsidRPr="00AA7633">
        <w:rPr>
          <w:rFonts w:eastAsia="Times New Roman" w:cs="Arial"/>
          <w:sz w:val="24"/>
          <w:szCs w:val="24"/>
        </w:rPr>
        <w:t xml:space="preserve"> representation of Arab citizens in the public service.</w:t>
      </w:r>
      <w:r w:rsidR="00DA77A0" w:rsidRPr="00AA7633">
        <w:rPr>
          <w:rFonts w:eastAsia="Times New Roman" w:cs="Arial"/>
          <w:sz w:val="24"/>
          <w:szCs w:val="24"/>
        </w:rPr>
        <w:t xml:space="preserve"> </w:t>
      </w:r>
      <w:r w:rsidR="00FD673D" w:rsidRPr="00AA7633">
        <w:rPr>
          <w:rFonts w:eastAsia="Times New Roman" w:cs="Arial"/>
          <w:sz w:val="24"/>
          <w:szCs w:val="24"/>
        </w:rPr>
        <w:t>Arabs currently constitute</w:t>
      </w:r>
      <w:r w:rsidR="00DA77A0" w:rsidRPr="00AA7633">
        <w:rPr>
          <w:rFonts w:eastAsia="Times New Roman" w:cs="Arial"/>
          <w:sz w:val="24"/>
          <w:szCs w:val="24"/>
        </w:rPr>
        <w:t xml:space="preserve"> only 7.8% of Israel’</w:t>
      </w:r>
      <w:r w:rsidR="00130E23" w:rsidRPr="00AA7633">
        <w:rPr>
          <w:rFonts w:eastAsia="Times New Roman" w:cs="Arial"/>
          <w:sz w:val="24"/>
          <w:szCs w:val="24"/>
        </w:rPr>
        <w:t>s civil servants</w:t>
      </w:r>
      <w:r w:rsidR="00FD673D" w:rsidRPr="00AA7633">
        <w:rPr>
          <w:rFonts w:eastAsia="Times New Roman" w:cs="Arial"/>
          <w:sz w:val="24"/>
          <w:szCs w:val="24"/>
        </w:rPr>
        <w:t>, which fall</w:t>
      </w:r>
      <w:r w:rsidR="002C4ACF" w:rsidRPr="00AA7633">
        <w:rPr>
          <w:rFonts w:eastAsia="Times New Roman" w:cs="Arial"/>
          <w:sz w:val="24"/>
          <w:szCs w:val="24"/>
        </w:rPr>
        <w:t>s</w:t>
      </w:r>
      <w:r w:rsidR="00FD673D" w:rsidRPr="00AA7633">
        <w:rPr>
          <w:rFonts w:eastAsia="Times New Roman" w:cs="Arial"/>
          <w:sz w:val="24"/>
          <w:szCs w:val="24"/>
        </w:rPr>
        <w:t xml:space="preserve"> short of</w:t>
      </w:r>
      <w:r w:rsidR="00C02AC5" w:rsidRPr="00AA7633">
        <w:rPr>
          <w:rFonts w:eastAsia="Times New Roman" w:cs="Arial"/>
          <w:sz w:val="24"/>
          <w:szCs w:val="24"/>
        </w:rPr>
        <w:t xml:space="preserve"> the government</w:t>
      </w:r>
      <w:r w:rsidR="00FD673D" w:rsidRPr="00AA7633">
        <w:rPr>
          <w:rFonts w:eastAsia="Times New Roman" w:cs="Arial"/>
          <w:sz w:val="24"/>
          <w:szCs w:val="24"/>
        </w:rPr>
        <w:t>’s target</w:t>
      </w:r>
      <w:r w:rsidR="002C4ACF" w:rsidRPr="00AA7633">
        <w:rPr>
          <w:rFonts w:eastAsia="Times New Roman" w:cs="Arial"/>
          <w:sz w:val="24"/>
          <w:szCs w:val="24"/>
        </w:rPr>
        <w:t xml:space="preserve">, </w:t>
      </w:r>
      <w:r w:rsidR="00FD673D" w:rsidRPr="00AA7633">
        <w:rPr>
          <w:rFonts w:eastAsia="Times New Roman" w:cs="Arial"/>
          <w:sz w:val="24"/>
          <w:szCs w:val="24"/>
        </w:rPr>
        <w:t xml:space="preserve">set </w:t>
      </w:r>
      <w:r w:rsidR="008E5B28" w:rsidRPr="00AA7633">
        <w:rPr>
          <w:rFonts w:eastAsia="Times New Roman" w:cs="Arial"/>
          <w:sz w:val="24"/>
          <w:szCs w:val="24"/>
        </w:rPr>
        <w:t>in 2007</w:t>
      </w:r>
      <w:r w:rsidR="002C4ACF" w:rsidRPr="00AA7633">
        <w:rPr>
          <w:rFonts w:eastAsia="Times New Roman" w:cs="Arial"/>
          <w:sz w:val="24"/>
          <w:szCs w:val="24"/>
        </w:rPr>
        <w:t>,</w:t>
      </w:r>
      <w:r w:rsidR="008E5B28" w:rsidRPr="00AA7633">
        <w:rPr>
          <w:rFonts w:eastAsia="Times New Roman" w:cs="Arial"/>
          <w:sz w:val="24"/>
          <w:szCs w:val="24"/>
        </w:rPr>
        <w:t xml:space="preserve"> to increase</w:t>
      </w:r>
      <w:r w:rsidR="00C02AC5" w:rsidRPr="00AA7633">
        <w:rPr>
          <w:rFonts w:eastAsia="Times New Roman" w:cs="Arial"/>
          <w:sz w:val="24"/>
          <w:szCs w:val="24"/>
        </w:rPr>
        <w:t xml:space="preserve"> Arab representation to 10% by 2012.</w:t>
      </w:r>
      <w:r w:rsidR="00BC23DD" w:rsidRPr="00AA7633">
        <w:rPr>
          <w:rFonts w:eastAsia="Times New Roman" w:cs="Arial"/>
          <w:sz w:val="24"/>
          <w:szCs w:val="24"/>
        </w:rPr>
        <w:t xml:space="preserve"> Representation is particularly dire </w:t>
      </w:r>
      <w:r w:rsidR="00FD673D" w:rsidRPr="00AA7633">
        <w:rPr>
          <w:rFonts w:eastAsia="Times New Roman" w:cs="Arial"/>
          <w:sz w:val="24"/>
          <w:szCs w:val="24"/>
        </w:rPr>
        <w:t>among</w:t>
      </w:r>
      <w:r w:rsidR="00BC23DD" w:rsidRPr="00AA7633">
        <w:rPr>
          <w:rFonts w:eastAsia="Times New Roman" w:cs="Arial"/>
          <w:sz w:val="24"/>
          <w:szCs w:val="24"/>
        </w:rPr>
        <w:t xml:space="preserve"> Arab women; </w:t>
      </w:r>
      <w:r w:rsidR="00BC23DD" w:rsidRPr="00AA7633">
        <w:rPr>
          <w:sz w:val="24"/>
          <w:szCs w:val="24"/>
        </w:rPr>
        <w:t>w</w:t>
      </w:r>
      <w:r w:rsidR="0047455B" w:rsidRPr="00AA7633">
        <w:rPr>
          <w:sz w:val="24"/>
          <w:szCs w:val="24"/>
        </w:rPr>
        <w:t xml:space="preserve">hile Jewish women have made substantial gains in the civil sector, the percentage of </w:t>
      </w:r>
      <w:r w:rsidR="00FD673D" w:rsidRPr="00AA7633">
        <w:rPr>
          <w:sz w:val="24"/>
          <w:szCs w:val="24"/>
        </w:rPr>
        <w:t>Arab</w:t>
      </w:r>
      <w:r w:rsidR="0047455B" w:rsidRPr="00AA7633">
        <w:rPr>
          <w:sz w:val="24"/>
          <w:szCs w:val="24"/>
        </w:rPr>
        <w:t xml:space="preserve"> women </w:t>
      </w:r>
      <w:r w:rsidR="00592E45" w:rsidRPr="00AA7633">
        <w:rPr>
          <w:sz w:val="24"/>
          <w:szCs w:val="24"/>
        </w:rPr>
        <w:t xml:space="preserve">remains very low at </w:t>
      </w:r>
      <w:r w:rsidR="0047455B" w:rsidRPr="00AA7633">
        <w:rPr>
          <w:sz w:val="24"/>
          <w:szCs w:val="24"/>
        </w:rPr>
        <w:t>1.8%, even though they make up around 10% of the total population of the state. This figure contrasts sharply with the 56.6% of civil service</w:t>
      </w:r>
      <w:r w:rsidR="00FD673D" w:rsidRPr="00AA7633">
        <w:rPr>
          <w:sz w:val="24"/>
          <w:szCs w:val="24"/>
        </w:rPr>
        <w:t xml:space="preserve"> employees who are Jewish women</w:t>
      </w:r>
      <w:r w:rsidR="0047455B" w:rsidRPr="00AA7633">
        <w:rPr>
          <w:sz w:val="24"/>
          <w:szCs w:val="24"/>
        </w:rPr>
        <w:t>.</w:t>
      </w:r>
      <w:r w:rsidR="0047455B" w:rsidRPr="00AA7633">
        <w:rPr>
          <w:rStyle w:val="FootnoteReference"/>
          <w:sz w:val="24"/>
          <w:szCs w:val="24"/>
        </w:rPr>
        <w:footnoteReference w:id="11"/>
      </w:r>
      <w:r w:rsidR="002A590B" w:rsidRPr="00AA7633">
        <w:rPr>
          <w:sz w:val="24"/>
          <w:szCs w:val="24"/>
        </w:rPr>
        <w:t xml:space="preserve"> A study conducted by Adalah concluded that </w:t>
      </w:r>
      <w:r w:rsidR="00777E6D" w:rsidRPr="00AA7633">
        <w:rPr>
          <w:sz w:val="24"/>
          <w:szCs w:val="24"/>
        </w:rPr>
        <w:t>the</w:t>
      </w:r>
      <w:r w:rsidR="009D08CC" w:rsidRPr="00AA7633">
        <w:rPr>
          <w:sz w:val="24"/>
          <w:szCs w:val="24"/>
        </w:rPr>
        <w:t>se</w:t>
      </w:r>
      <w:r w:rsidR="00777E6D" w:rsidRPr="00AA7633">
        <w:rPr>
          <w:sz w:val="24"/>
          <w:szCs w:val="24"/>
        </w:rPr>
        <w:t xml:space="preserve"> low figures, and the government ministries’ unsatisfactory explanations for them, demonstrated the state’s </w:t>
      </w:r>
      <w:r w:rsidR="002A590B" w:rsidRPr="00AA7633">
        <w:rPr>
          <w:sz w:val="24"/>
          <w:szCs w:val="24"/>
        </w:rPr>
        <w:t xml:space="preserve">lack of commitment to </w:t>
      </w:r>
      <w:r w:rsidR="00777E6D" w:rsidRPr="00AA7633">
        <w:rPr>
          <w:sz w:val="24"/>
          <w:szCs w:val="24"/>
        </w:rPr>
        <w:t>its</w:t>
      </w:r>
      <w:r w:rsidR="002A590B" w:rsidRPr="00AA7633">
        <w:rPr>
          <w:sz w:val="24"/>
          <w:szCs w:val="24"/>
        </w:rPr>
        <w:t xml:space="preserve"> own targets and </w:t>
      </w:r>
      <w:r w:rsidR="00777E6D" w:rsidRPr="00AA7633">
        <w:rPr>
          <w:sz w:val="24"/>
          <w:szCs w:val="24"/>
        </w:rPr>
        <w:t>its failure to remove the hu</w:t>
      </w:r>
      <w:r w:rsidR="002A590B" w:rsidRPr="00AA7633">
        <w:rPr>
          <w:sz w:val="24"/>
          <w:szCs w:val="24"/>
        </w:rPr>
        <w:t xml:space="preserve">rdles </w:t>
      </w:r>
      <w:r w:rsidR="00777E6D" w:rsidRPr="00AA7633">
        <w:rPr>
          <w:sz w:val="24"/>
          <w:szCs w:val="24"/>
        </w:rPr>
        <w:t>faced by</w:t>
      </w:r>
      <w:r w:rsidR="002A590B" w:rsidRPr="00AA7633">
        <w:rPr>
          <w:sz w:val="24"/>
          <w:szCs w:val="24"/>
        </w:rPr>
        <w:t xml:space="preserve"> employment-seeking Arab women, who </w:t>
      </w:r>
      <w:r w:rsidR="00592E45" w:rsidRPr="00AA7633">
        <w:rPr>
          <w:sz w:val="24"/>
          <w:szCs w:val="24"/>
        </w:rPr>
        <w:lastRenderedPageBreak/>
        <w:t xml:space="preserve">face </w:t>
      </w:r>
      <w:r w:rsidR="002A590B" w:rsidRPr="00AA7633">
        <w:rPr>
          <w:sz w:val="24"/>
          <w:szCs w:val="24"/>
        </w:rPr>
        <w:t>compound discrimination.</w:t>
      </w:r>
      <w:r w:rsidR="002C4ACF" w:rsidRPr="00AA7633">
        <w:rPr>
          <w:rStyle w:val="FootnoteReference"/>
          <w:rFonts w:eastAsia="Times New Roman" w:cs="Arial"/>
          <w:sz w:val="24"/>
          <w:szCs w:val="24"/>
        </w:rPr>
        <w:footnoteReference w:id="12"/>
      </w:r>
      <w:r w:rsidR="00A0073D" w:rsidRPr="00AA7633">
        <w:rPr>
          <w:sz w:val="24"/>
          <w:szCs w:val="24"/>
        </w:rPr>
        <w:t xml:space="preserve"> F</w:t>
      </w:r>
      <w:r w:rsidR="009D08CC" w:rsidRPr="00AA7633">
        <w:rPr>
          <w:sz w:val="24"/>
          <w:szCs w:val="24"/>
        </w:rPr>
        <w:t xml:space="preserve">urthermore, the aforementioned </w:t>
      </w:r>
      <w:r w:rsidR="00A0073D" w:rsidRPr="00AA7633">
        <w:rPr>
          <w:sz w:val="24"/>
          <w:szCs w:val="24"/>
        </w:rPr>
        <w:t xml:space="preserve">Contributors to the State Bill includes amendments that will institute preference in hiring to military and civil service graduates for public sector jobs </w:t>
      </w:r>
      <w:r w:rsidR="0014664B" w:rsidRPr="00AA7633">
        <w:rPr>
          <w:sz w:val="24"/>
          <w:szCs w:val="24"/>
        </w:rPr>
        <w:t>that</w:t>
      </w:r>
      <w:r w:rsidR="00A0073D" w:rsidRPr="00AA7633">
        <w:rPr>
          <w:sz w:val="24"/>
          <w:szCs w:val="24"/>
        </w:rPr>
        <w:t xml:space="preserve"> are meant </w:t>
      </w:r>
      <w:r w:rsidR="00592E45" w:rsidRPr="00AA7633">
        <w:rPr>
          <w:sz w:val="24"/>
          <w:szCs w:val="24"/>
        </w:rPr>
        <w:t xml:space="preserve">(also by law) </w:t>
      </w:r>
      <w:r w:rsidR="00A0073D" w:rsidRPr="00AA7633">
        <w:rPr>
          <w:sz w:val="24"/>
          <w:szCs w:val="24"/>
        </w:rPr>
        <w:t xml:space="preserve">to be provided to </w:t>
      </w:r>
      <w:r w:rsidR="00592E45" w:rsidRPr="00AA7633">
        <w:rPr>
          <w:sz w:val="24"/>
          <w:szCs w:val="24"/>
        </w:rPr>
        <w:t xml:space="preserve">Arab citizens in general and women, </w:t>
      </w:r>
      <w:r w:rsidR="0014664B" w:rsidRPr="00AA7633">
        <w:rPr>
          <w:sz w:val="24"/>
          <w:szCs w:val="24"/>
        </w:rPr>
        <w:t xml:space="preserve">thereby placing </w:t>
      </w:r>
      <w:r w:rsidR="009D08CC" w:rsidRPr="00AA7633">
        <w:rPr>
          <w:sz w:val="24"/>
          <w:szCs w:val="24"/>
        </w:rPr>
        <w:t>further</w:t>
      </w:r>
      <w:r w:rsidR="0014664B" w:rsidRPr="00AA7633">
        <w:rPr>
          <w:sz w:val="24"/>
          <w:szCs w:val="24"/>
        </w:rPr>
        <w:t xml:space="preserve"> obstacles </w:t>
      </w:r>
      <w:r w:rsidR="009D08CC" w:rsidRPr="00AA7633">
        <w:rPr>
          <w:sz w:val="24"/>
          <w:szCs w:val="24"/>
        </w:rPr>
        <w:t xml:space="preserve">in the way of </w:t>
      </w:r>
      <w:r w:rsidR="00754AAC" w:rsidRPr="00AA7633">
        <w:rPr>
          <w:sz w:val="24"/>
          <w:szCs w:val="24"/>
        </w:rPr>
        <w:t xml:space="preserve">Arab citizens </w:t>
      </w:r>
      <w:r w:rsidR="009D08CC" w:rsidRPr="00AA7633">
        <w:rPr>
          <w:sz w:val="24"/>
          <w:szCs w:val="24"/>
        </w:rPr>
        <w:t xml:space="preserve">seeking </w:t>
      </w:r>
      <w:r w:rsidR="00754AAC" w:rsidRPr="00AA7633">
        <w:rPr>
          <w:sz w:val="24"/>
          <w:szCs w:val="24"/>
        </w:rPr>
        <w:t xml:space="preserve">to </w:t>
      </w:r>
      <w:r w:rsidR="003B79B9" w:rsidRPr="00AA7633">
        <w:rPr>
          <w:sz w:val="24"/>
          <w:szCs w:val="24"/>
        </w:rPr>
        <w:t>enter</w:t>
      </w:r>
      <w:r w:rsidR="00754AAC" w:rsidRPr="00AA7633">
        <w:rPr>
          <w:sz w:val="24"/>
          <w:szCs w:val="24"/>
        </w:rPr>
        <w:t xml:space="preserve"> the public service.</w:t>
      </w:r>
    </w:p>
    <w:p w:rsidR="001E52D2" w:rsidRPr="00AA7633" w:rsidRDefault="001E52D2" w:rsidP="002C4ACF">
      <w:pPr>
        <w:shd w:val="clear" w:color="auto" w:fill="FFFFFF"/>
        <w:spacing w:after="0" w:line="240" w:lineRule="auto"/>
        <w:jc w:val="both"/>
        <w:rPr>
          <w:rFonts w:eastAsia="Times New Roman" w:cs="Arial"/>
          <w:sz w:val="24"/>
          <w:szCs w:val="24"/>
        </w:rPr>
      </w:pPr>
    </w:p>
    <w:p w:rsidR="001E52D2" w:rsidRPr="00AA7633" w:rsidRDefault="001E52D2" w:rsidP="001E52D2">
      <w:pPr>
        <w:shd w:val="clear" w:color="auto" w:fill="FFFFFF"/>
        <w:spacing w:after="0" w:line="240" w:lineRule="auto"/>
        <w:jc w:val="both"/>
        <w:rPr>
          <w:rFonts w:eastAsia="Times New Roman" w:cs="Arial"/>
          <w:b/>
          <w:bCs/>
          <w:sz w:val="24"/>
          <w:szCs w:val="24"/>
        </w:rPr>
      </w:pPr>
      <w:r w:rsidRPr="00AA7633">
        <w:rPr>
          <w:rFonts w:eastAsia="Times New Roman" w:cs="Arial"/>
          <w:b/>
          <w:bCs/>
          <w:sz w:val="24"/>
          <w:szCs w:val="24"/>
        </w:rPr>
        <w:t>Rights of Children and Families to Health and Social Security</w:t>
      </w:r>
    </w:p>
    <w:p w:rsidR="001E52D2" w:rsidRPr="00AA7633" w:rsidRDefault="009D08CC" w:rsidP="00592E45">
      <w:pPr>
        <w:shd w:val="clear" w:color="auto" w:fill="FFFFFF"/>
        <w:spacing w:after="0" w:line="240" w:lineRule="auto"/>
        <w:jc w:val="both"/>
        <w:rPr>
          <w:rFonts w:eastAsia="Times New Roman" w:cs="Tahoma"/>
          <w:sz w:val="24"/>
          <w:szCs w:val="24"/>
        </w:rPr>
      </w:pPr>
      <w:r w:rsidRPr="00AA7633">
        <w:rPr>
          <w:rFonts w:eastAsia="Times New Roman" w:cs="Tahoma"/>
          <w:sz w:val="24"/>
          <w:szCs w:val="24"/>
        </w:rPr>
        <w:t xml:space="preserve">Several new developments, including official policies and decisions, threaten the </w:t>
      </w:r>
      <w:r w:rsidR="001E52D2" w:rsidRPr="00AA7633">
        <w:rPr>
          <w:rFonts w:eastAsia="Times New Roman" w:cs="Tahoma"/>
          <w:sz w:val="24"/>
          <w:szCs w:val="24"/>
        </w:rPr>
        <w:t xml:space="preserve">rights and welfare of Palestinian children and families in Israel. For example, the proposed national budget for 2013-2014 </w:t>
      </w:r>
      <w:r w:rsidR="00592E45" w:rsidRPr="00AA7633">
        <w:rPr>
          <w:rFonts w:eastAsia="Times New Roman" w:cs="Tahoma"/>
          <w:sz w:val="24"/>
          <w:szCs w:val="24"/>
        </w:rPr>
        <w:t xml:space="preserve">substantially </w:t>
      </w:r>
      <w:r w:rsidR="001E52D2" w:rsidRPr="00AA7633">
        <w:rPr>
          <w:rFonts w:eastAsia="Times New Roman" w:cs="Tahoma"/>
          <w:sz w:val="24"/>
          <w:szCs w:val="24"/>
        </w:rPr>
        <w:t>reduces monthly child allowances</w:t>
      </w:r>
      <w:r w:rsidR="00592E45" w:rsidRPr="00AA7633">
        <w:rPr>
          <w:rFonts w:eastAsia="Times New Roman" w:cs="Tahoma"/>
          <w:sz w:val="24"/>
          <w:szCs w:val="24"/>
        </w:rPr>
        <w:t>.</w:t>
      </w:r>
      <w:r w:rsidR="001E52D2" w:rsidRPr="00AA7633">
        <w:rPr>
          <w:rStyle w:val="FootnoteReference"/>
          <w:rFonts w:eastAsia="Times New Roman" w:cs="Tahoma"/>
          <w:sz w:val="24"/>
          <w:szCs w:val="24"/>
        </w:rPr>
        <w:footnoteReference w:id="13"/>
      </w:r>
      <w:r w:rsidR="001E52D2" w:rsidRPr="00AA7633">
        <w:rPr>
          <w:rFonts w:cs="Tahoma"/>
          <w:sz w:val="24"/>
          <w:szCs w:val="24"/>
          <w:shd w:val="clear" w:color="auto" w:fill="FFFFFF"/>
        </w:rPr>
        <w:t xml:space="preserve"> The new policy will </w:t>
      </w:r>
      <w:r w:rsidR="00592E45" w:rsidRPr="00AA7633">
        <w:rPr>
          <w:rFonts w:cs="Tahoma"/>
          <w:sz w:val="24"/>
          <w:szCs w:val="24"/>
          <w:shd w:val="clear" w:color="auto" w:fill="FFFFFF"/>
        </w:rPr>
        <w:t xml:space="preserve">significantly affect </w:t>
      </w:r>
      <w:r w:rsidR="001E52D2" w:rsidRPr="00AA7633">
        <w:rPr>
          <w:rFonts w:cs="Tahoma"/>
          <w:sz w:val="24"/>
          <w:szCs w:val="24"/>
          <w:shd w:val="clear" w:color="auto" w:fill="FFFFFF"/>
        </w:rPr>
        <w:t>Arab families</w:t>
      </w:r>
      <w:r w:rsidR="00592E45" w:rsidRPr="00AA7633">
        <w:rPr>
          <w:rFonts w:cs="Tahoma"/>
          <w:sz w:val="24"/>
          <w:szCs w:val="24"/>
          <w:shd w:val="clear" w:color="auto" w:fill="FFFFFF"/>
        </w:rPr>
        <w:t xml:space="preserve">, </w:t>
      </w:r>
      <w:r w:rsidR="001E52D2" w:rsidRPr="00AA7633">
        <w:rPr>
          <w:rFonts w:cs="Tahoma"/>
          <w:sz w:val="24"/>
          <w:szCs w:val="24"/>
          <w:shd w:val="clear" w:color="auto" w:fill="FFFFFF"/>
        </w:rPr>
        <w:t xml:space="preserve">as they make up nearly 45% of Israel’s poor population despite </w:t>
      </w:r>
      <w:r w:rsidRPr="00AA7633">
        <w:rPr>
          <w:rFonts w:cs="Tahoma"/>
          <w:sz w:val="24"/>
          <w:szCs w:val="24"/>
          <w:shd w:val="clear" w:color="auto" w:fill="FFFFFF"/>
        </w:rPr>
        <w:t xml:space="preserve">their </w:t>
      </w:r>
      <w:r w:rsidR="001E52D2" w:rsidRPr="00AA7633">
        <w:rPr>
          <w:rFonts w:cs="Tahoma"/>
          <w:sz w:val="24"/>
          <w:szCs w:val="24"/>
          <w:shd w:val="clear" w:color="auto" w:fill="FFFFFF"/>
        </w:rPr>
        <w:t xml:space="preserve">constituting </w:t>
      </w:r>
      <w:r w:rsidRPr="00AA7633">
        <w:rPr>
          <w:rFonts w:cs="Tahoma"/>
          <w:sz w:val="24"/>
          <w:szCs w:val="24"/>
          <w:shd w:val="clear" w:color="auto" w:fill="FFFFFF"/>
        </w:rPr>
        <w:t xml:space="preserve">only </w:t>
      </w:r>
      <w:r w:rsidR="001E52D2" w:rsidRPr="00AA7633">
        <w:rPr>
          <w:rFonts w:cs="Tahoma"/>
          <w:sz w:val="24"/>
          <w:szCs w:val="24"/>
          <w:shd w:val="clear" w:color="auto" w:fill="FFFFFF"/>
        </w:rPr>
        <w:t>20% of the country’s total population.</w:t>
      </w:r>
      <w:r w:rsidR="001E52D2" w:rsidRPr="00AA7633">
        <w:rPr>
          <w:rStyle w:val="FootnoteReference"/>
          <w:rFonts w:cs="Tahoma"/>
          <w:sz w:val="24"/>
          <w:szCs w:val="24"/>
          <w:shd w:val="clear" w:color="auto" w:fill="FFFFFF"/>
        </w:rPr>
        <w:footnoteReference w:id="14"/>
      </w:r>
      <w:r w:rsidR="001E52D2" w:rsidRPr="00AA7633">
        <w:rPr>
          <w:rFonts w:cs="Tahoma"/>
          <w:sz w:val="24"/>
          <w:szCs w:val="24"/>
          <w:shd w:val="clear" w:color="auto" w:fill="FFFFFF"/>
        </w:rPr>
        <w:t xml:space="preserve"> The reduction of the child allowances will </w:t>
      </w:r>
      <w:r w:rsidRPr="00AA7633">
        <w:rPr>
          <w:rFonts w:cs="Tahoma"/>
          <w:sz w:val="24"/>
          <w:szCs w:val="24"/>
          <w:shd w:val="clear" w:color="auto" w:fill="FFFFFF"/>
        </w:rPr>
        <w:t>therefore</w:t>
      </w:r>
      <w:r w:rsidR="001E52D2" w:rsidRPr="00AA7633">
        <w:rPr>
          <w:rFonts w:cs="Tahoma"/>
          <w:sz w:val="24"/>
          <w:szCs w:val="24"/>
          <w:shd w:val="clear" w:color="auto" w:fill="FFFFFF"/>
        </w:rPr>
        <w:t xml:space="preserve"> widen socio-economic discrepancies between Jewish and Arab citizens</w:t>
      </w:r>
      <w:r w:rsidR="00592E45" w:rsidRPr="00AA7633">
        <w:rPr>
          <w:rFonts w:cs="Tahoma"/>
          <w:sz w:val="24"/>
          <w:szCs w:val="24"/>
          <w:shd w:val="clear" w:color="auto" w:fill="FFFFFF"/>
        </w:rPr>
        <w:t xml:space="preserve">, </w:t>
      </w:r>
      <w:r w:rsidR="001E52D2" w:rsidRPr="00AA7633">
        <w:rPr>
          <w:rFonts w:cs="Tahoma"/>
          <w:sz w:val="24"/>
          <w:szCs w:val="24"/>
          <w:shd w:val="clear" w:color="auto" w:fill="FFFFFF"/>
        </w:rPr>
        <w:t>contrary to Israel’s commitments to reduce these gaps.</w:t>
      </w:r>
    </w:p>
    <w:p w:rsidR="001E52D2" w:rsidRPr="00AA7633" w:rsidRDefault="001E52D2" w:rsidP="001E52D2">
      <w:pPr>
        <w:shd w:val="clear" w:color="auto" w:fill="FFFFFF"/>
        <w:spacing w:after="0" w:line="240" w:lineRule="auto"/>
        <w:jc w:val="both"/>
        <w:rPr>
          <w:rFonts w:cs="Tahoma"/>
          <w:sz w:val="24"/>
          <w:szCs w:val="24"/>
          <w:shd w:val="clear" w:color="auto" w:fill="FFFFFF"/>
        </w:rPr>
      </w:pPr>
    </w:p>
    <w:p w:rsidR="005A446F" w:rsidRPr="00AA7633" w:rsidRDefault="001E52D2" w:rsidP="00180DE4">
      <w:pPr>
        <w:shd w:val="clear" w:color="auto" w:fill="FFFFFF"/>
        <w:spacing w:after="0" w:line="240" w:lineRule="auto"/>
        <w:jc w:val="both"/>
        <w:rPr>
          <w:rFonts w:eastAsia="Times New Roman" w:cstheme="minorHAnsi"/>
          <w:sz w:val="24"/>
          <w:szCs w:val="24"/>
          <w:lang w:val="en-US"/>
        </w:rPr>
      </w:pPr>
      <w:r w:rsidRPr="00AA7633">
        <w:rPr>
          <w:rFonts w:cs="Tahoma"/>
          <w:sz w:val="24"/>
          <w:szCs w:val="24"/>
          <w:shd w:val="clear" w:color="auto" w:fill="FFFFFF"/>
        </w:rPr>
        <w:t xml:space="preserve">This </w:t>
      </w:r>
      <w:r w:rsidR="009D08CC" w:rsidRPr="00AA7633">
        <w:rPr>
          <w:rFonts w:cs="Tahoma"/>
          <w:sz w:val="24"/>
          <w:szCs w:val="24"/>
          <w:shd w:val="clear" w:color="auto" w:fill="FFFFFF"/>
        </w:rPr>
        <w:t>budget reduction</w:t>
      </w:r>
      <w:r w:rsidRPr="00AA7633">
        <w:rPr>
          <w:rFonts w:cs="Tahoma"/>
          <w:sz w:val="24"/>
          <w:szCs w:val="24"/>
          <w:shd w:val="clear" w:color="auto" w:fill="FFFFFF"/>
        </w:rPr>
        <w:t xml:space="preserve"> compounds </w:t>
      </w:r>
      <w:r w:rsidR="009D08CC" w:rsidRPr="00AA7633">
        <w:rPr>
          <w:rFonts w:cs="Tahoma"/>
          <w:sz w:val="24"/>
          <w:szCs w:val="24"/>
          <w:shd w:val="clear" w:color="auto" w:fill="FFFFFF"/>
        </w:rPr>
        <w:t>the existing difficulties facing</w:t>
      </w:r>
      <w:r w:rsidRPr="00AA7633">
        <w:rPr>
          <w:rFonts w:cs="Tahoma"/>
          <w:sz w:val="24"/>
          <w:szCs w:val="24"/>
          <w:shd w:val="clear" w:color="auto" w:fill="FFFFFF"/>
        </w:rPr>
        <w:t xml:space="preserve"> </w:t>
      </w:r>
      <w:r w:rsidR="00592E45" w:rsidRPr="00AA7633">
        <w:rPr>
          <w:rFonts w:cs="Tahoma"/>
          <w:sz w:val="24"/>
          <w:szCs w:val="24"/>
          <w:shd w:val="clear" w:color="auto" w:fill="FFFFFF"/>
        </w:rPr>
        <w:t xml:space="preserve">Arab Bedouin </w:t>
      </w:r>
      <w:r w:rsidRPr="00AA7633">
        <w:rPr>
          <w:rFonts w:cs="Tahoma"/>
          <w:sz w:val="24"/>
          <w:szCs w:val="24"/>
          <w:shd w:val="clear" w:color="auto" w:fill="FFFFFF"/>
        </w:rPr>
        <w:t>citizens in the Naqab (Negev)</w:t>
      </w:r>
      <w:r w:rsidR="00592E45" w:rsidRPr="00AA7633">
        <w:rPr>
          <w:rFonts w:cs="Tahoma"/>
          <w:sz w:val="24"/>
          <w:szCs w:val="24"/>
          <w:shd w:val="clear" w:color="auto" w:fill="FFFFFF"/>
        </w:rPr>
        <w:t xml:space="preserve">. </w:t>
      </w:r>
      <w:r w:rsidRPr="00AA7633">
        <w:rPr>
          <w:rFonts w:cs="Tahoma"/>
          <w:sz w:val="24"/>
          <w:szCs w:val="24"/>
          <w:shd w:val="clear" w:color="auto" w:fill="FFFFFF"/>
        </w:rPr>
        <w:t>In 2010,</w:t>
      </w:r>
      <w:r w:rsidR="009D08CC" w:rsidRPr="00AA7633">
        <w:rPr>
          <w:rFonts w:cs="Tahoma"/>
          <w:sz w:val="24"/>
          <w:szCs w:val="24"/>
          <w:shd w:val="clear" w:color="auto" w:fill="FFFFFF"/>
        </w:rPr>
        <w:t xml:space="preserve"> for example,</w:t>
      </w:r>
      <w:r w:rsidRPr="00AA7633">
        <w:rPr>
          <w:rFonts w:cs="Tahoma"/>
          <w:sz w:val="24"/>
          <w:szCs w:val="24"/>
          <w:shd w:val="clear" w:color="auto" w:fill="FFFFFF"/>
        </w:rPr>
        <w:t xml:space="preserve"> the Knesset passed Amendment 113 to the National Insurance Law, which </w:t>
      </w:r>
      <w:r w:rsidRPr="00AA7633">
        <w:rPr>
          <w:rFonts w:eastAsia="Times New Roman" w:cstheme="minorHAnsi"/>
          <w:sz w:val="24"/>
          <w:szCs w:val="24"/>
        </w:rPr>
        <w:t>reduces child allowances by up to 60% for families with children whom have not received all the vaccinat</w:t>
      </w:r>
      <w:r w:rsidR="00592E45" w:rsidRPr="00AA7633">
        <w:rPr>
          <w:rFonts w:eastAsia="Times New Roman" w:cstheme="minorHAnsi"/>
          <w:sz w:val="24"/>
          <w:szCs w:val="24"/>
        </w:rPr>
        <w:t>ions</w:t>
      </w:r>
      <w:r w:rsidRPr="00AA7633">
        <w:rPr>
          <w:rFonts w:eastAsia="Times New Roman" w:cstheme="minorHAnsi"/>
          <w:sz w:val="24"/>
          <w:szCs w:val="24"/>
        </w:rPr>
        <w:t xml:space="preserve"> mandated by the Ministry of Health.</w:t>
      </w:r>
      <w:r w:rsidR="00180DE4">
        <w:rPr>
          <w:rFonts w:eastAsia="Times New Roman" w:cs="Arial"/>
          <w:sz w:val="28"/>
          <w:szCs w:val="28"/>
        </w:rPr>
        <w:t xml:space="preserve"> </w:t>
      </w:r>
      <w:r w:rsidRPr="00AA7633">
        <w:rPr>
          <w:rFonts w:cs="Tahoma"/>
          <w:sz w:val="24"/>
          <w:szCs w:val="24"/>
          <w:shd w:val="clear" w:color="auto" w:fill="FFFFFF"/>
        </w:rPr>
        <w:t xml:space="preserve">Vaccinations are given at mother and child clinics, of which there is a severe shortage in the Naqab due to the state’s </w:t>
      </w:r>
      <w:r w:rsidR="00592E45" w:rsidRPr="00AA7633">
        <w:rPr>
          <w:rFonts w:cs="Tahoma"/>
          <w:sz w:val="24"/>
          <w:szCs w:val="24"/>
          <w:shd w:val="clear" w:color="auto" w:fill="FFFFFF"/>
        </w:rPr>
        <w:t xml:space="preserve">neglect. </w:t>
      </w:r>
      <w:r w:rsidRPr="00AA7633">
        <w:rPr>
          <w:rFonts w:cs="Tahoma"/>
          <w:sz w:val="24"/>
          <w:szCs w:val="24"/>
          <w:shd w:val="clear" w:color="auto" w:fill="FFFFFF"/>
        </w:rPr>
        <w:t xml:space="preserve">As a result, the condition of immunization stipulated in the new law disproportionately harms Arab children </w:t>
      </w:r>
      <w:r w:rsidR="00B03E6E">
        <w:rPr>
          <w:rFonts w:cs="Tahoma"/>
          <w:sz w:val="24"/>
          <w:szCs w:val="24"/>
          <w:shd w:val="clear" w:color="auto" w:fill="FFFFFF"/>
        </w:rPr>
        <w:t xml:space="preserve">in </w:t>
      </w:r>
      <w:r w:rsidRPr="00AA7633">
        <w:rPr>
          <w:rFonts w:cs="Tahoma"/>
          <w:sz w:val="24"/>
          <w:szCs w:val="24"/>
          <w:shd w:val="clear" w:color="auto" w:fill="FFFFFF"/>
        </w:rPr>
        <w:t>these areas.</w:t>
      </w:r>
      <w:r w:rsidRPr="00AA7633">
        <w:rPr>
          <w:rFonts w:eastAsia="Times New Roman" w:cstheme="minorHAnsi"/>
          <w:sz w:val="24"/>
          <w:szCs w:val="24"/>
          <w:lang w:val="en-US"/>
        </w:rPr>
        <w:t xml:space="preserve"> Furthermore, the amendment increases the incidence of poverty among children</w:t>
      </w:r>
      <w:r w:rsidR="00592E45" w:rsidRPr="00AA7633">
        <w:rPr>
          <w:rFonts w:eastAsia="Times New Roman" w:cstheme="minorHAnsi"/>
          <w:sz w:val="24"/>
          <w:szCs w:val="24"/>
          <w:lang w:val="en-US"/>
        </w:rPr>
        <w:t xml:space="preserve">. </w:t>
      </w:r>
      <w:r w:rsidR="00592E45" w:rsidRPr="00B67B2D">
        <w:rPr>
          <w:rFonts w:eastAsia="Times New Roman" w:cstheme="minorHAnsi"/>
          <w:sz w:val="24"/>
          <w:szCs w:val="24"/>
          <w:lang w:val="en-US"/>
        </w:rPr>
        <w:t>The Supreme Court has upheld the law.</w:t>
      </w:r>
      <w:r w:rsidR="00180DE4" w:rsidRPr="00AA7633">
        <w:rPr>
          <w:rStyle w:val="FootnoteReference"/>
          <w:rFonts w:eastAsia="Times New Roman" w:cstheme="minorHAnsi"/>
          <w:sz w:val="24"/>
          <w:szCs w:val="24"/>
        </w:rPr>
        <w:footnoteReference w:id="15"/>
      </w:r>
    </w:p>
    <w:p w:rsidR="001E52D2" w:rsidRPr="00AA7633" w:rsidRDefault="001E52D2" w:rsidP="001E52D2">
      <w:pPr>
        <w:shd w:val="clear" w:color="auto" w:fill="FFFFFF"/>
        <w:spacing w:after="0" w:line="240" w:lineRule="auto"/>
        <w:jc w:val="both"/>
        <w:rPr>
          <w:rFonts w:eastAsia="Times New Roman" w:cs="Arial"/>
          <w:sz w:val="24"/>
          <w:szCs w:val="24"/>
        </w:rPr>
      </w:pPr>
    </w:p>
    <w:p w:rsidR="00935861" w:rsidRPr="00AA7633" w:rsidRDefault="008450A8" w:rsidP="008450A8">
      <w:pPr>
        <w:shd w:val="clear" w:color="auto" w:fill="FFFFFF"/>
        <w:spacing w:after="0" w:line="240" w:lineRule="auto"/>
        <w:jc w:val="both"/>
        <w:rPr>
          <w:rFonts w:eastAsia="Times New Roman" w:cs="Arial"/>
          <w:b/>
          <w:bCs/>
          <w:sz w:val="24"/>
          <w:szCs w:val="24"/>
        </w:rPr>
      </w:pPr>
      <w:r w:rsidRPr="00AA7633">
        <w:rPr>
          <w:rFonts w:eastAsia="Times New Roman" w:cs="Arial"/>
          <w:b/>
          <w:bCs/>
          <w:sz w:val="24"/>
          <w:szCs w:val="24"/>
        </w:rPr>
        <w:t>Rights of Indigenous Peoples</w:t>
      </w:r>
    </w:p>
    <w:p w:rsidR="00B90F07" w:rsidRPr="00AA7633" w:rsidRDefault="002D52C5" w:rsidP="00BF1443">
      <w:pPr>
        <w:shd w:val="clear" w:color="auto" w:fill="FFFFFF"/>
        <w:spacing w:after="0" w:line="240" w:lineRule="auto"/>
        <w:jc w:val="both"/>
        <w:rPr>
          <w:rFonts w:cs="Tahoma"/>
          <w:sz w:val="24"/>
          <w:szCs w:val="24"/>
          <w:shd w:val="clear" w:color="auto" w:fill="FFFFFF"/>
        </w:rPr>
      </w:pPr>
      <w:r w:rsidRPr="00AA7633">
        <w:rPr>
          <w:rFonts w:eastAsia="Times New Roman" w:cs="Arial"/>
          <w:sz w:val="24"/>
          <w:szCs w:val="24"/>
        </w:rPr>
        <w:t xml:space="preserve">Adalah’s previous report discussed the development of the </w:t>
      </w:r>
      <w:r w:rsidR="00592E45" w:rsidRPr="00AA7633">
        <w:rPr>
          <w:rFonts w:eastAsia="Times New Roman" w:cs="Arial"/>
          <w:sz w:val="24"/>
          <w:szCs w:val="24"/>
        </w:rPr>
        <w:t>“</w:t>
      </w:r>
      <w:r w:rsidRPr="00AA7633">
        <w:rPr>
          <w:rFonts w:eastAsia="Times New Roman" w:cs="Arial"/>
          <w:sz w:val="24"/>
          <w:szCs w:val="24"/>
        </w:rPr>
        <w:t>Plan for the Regulation of the Settlement of the Bedouin in the Negev</w:t>
      </w:r>
      <w:r w:rsidR="00592E45" w:rsidRPr="00AA7633">
        <w:rPr>
          <w:rFonts w:eastAsia="Times New Roman" w:cs="Arial"/>
          <w:sz w:val="24"/>
          <w:szCs w:val="24"/>
        </w:rPr>
        <w:t>”</w:t>
      </w:r>
      <w:r w:rsidRPr="00AA7633">
        <w:rPr>
          <w:rFonts w:eastAsia="Times New Roman" w:cs="Arial"/>
          <w:sz w:val="24"/>
          <w:szCs w:val="24"/>
        </w:rPr>
        <w:t>, or the Prawer Plan. If fully implemented, the Plan will result in the destruction of 35 unrecognized Bedouin villages, the forced displacement of up to 70,000 Bedouin citizens</w:t>
      </w:r>
      <w:r w:rsidR="002F26A3" w:rsidRPr="00AA7633">
        <w:rPr>
          <w:rFonts w:eastAsia="Times New Roman" w:cs="Arial"/>
          <w:sz w:val="24"/>
          <w:szCs w:val="24"/>
        </w:rPr>
        <w:t xml:space="preserve"> of Israel</w:t>
      </w:r>
      <w:r w:rsidR="00106681" w:rsidRPr="00AA7633">
        <w:rPr>
          <w:rFonts w:eastAsia="Times New Roman" w:cs="Arial"/>
          <w:sz w:val="24"/>
          <w:szCs w:val="24"/>
        </w:rPr>
        <w:t>, and the dispossession of almo</w:t>
      </w:r>
      <w:r w:rsidR="00AC21ED" w:rsidRPr="00AA7633">
        <w:rPr>
          <w:rFonts w:eastAsia="Times New Roman" w:cs="Arial"/>
          <w:sz w:val="24"/>
          <w:szCs w:val="24"/>
        </w:rPr>
        <w:t>st 800,000 dunams of their land.</w:t>
      </w:r>
      <w:r w:rsidR="00B90F07" w:rsidRPr="00AA7633">
        <w:rPr>
          <w:rFonts w:cs="Tahoma"/>
          <w:sz w:val="24"/>
          <w:szCs w:val="24"/>
          <w:shd w:val="clear" w:color="auto" w:fill="FFFFFF"/>
        </w:rPr>
        <w:t xml:space="preserve"> The Prawer Plan not only violates the human rights and constitutional rights of Arab Bedouin citizens, but also </w:t>
      </w:r>
      <w:r w:rsidR="009D08CC" w:rsidRPr="00AA7633">
        <w:rPr>
          <w:rFonts w:cs="Tahoma"/>
          <w:sz w:val="24"/>
          <w:szCs w:val="24"/>
          <w:shd w:val="clear" w:color="auto" w:fill="FFFFFF"/>
        </w:rPr>
        <w:t xml:space="preserve">threatens to </w:t>
      </w:r>
      <w:r w:rsidR="00B90F07" w:rsidRPr="00AA7633">
        <w:rPr>
          <w:rFonts w:cs="Tahoma"/>
          <w:sz w:val="24"/>
          <w:szCs w:val="24"/>
          <w:shd w:val="clear" w:color="auto" w:fill="FFFFFF"/>
        </w:rPr>
        <w:t xml:space="preserve">entrench </w:t>
      </w:r>
      <w:r w:rsidR="009D08CC" w:rsidRPr="00AA7633">
        <w:rPr>
          <w:rFonts w:cs="Tahoma"/>
          <w:sz w:val="24"/>
          <w:szCs w:val="24"/>
          <w:shd w:val="clear" w:color="auto" w:fill="FFFFFF"/>
        </w:rPr>
        <w:t xml:space="preserve">the </w:t>
      </w:r>
      <w:r w:rsidR="00B90F07" w:rsidRPr="00AA7633">
        <w:rPr>
          <w:rFonts w:cs="Tahoma"/>
          <w:sz w:val="24"/>
          <w:szCs w:val="24"/>
          <w:shd w:val="clear" w:color="auto" w:fill="FFFFFF"/>
        </w:rPr>
        <w:t>poverty and marginalization of the Bedouin</w:t>
      </w:r>
      <w:r w:rsidR="00BF1443" w:rsidRPr="00AA7633">
        <w:rPr>
          <w:rFonts w:cs="Tahoma"/>
          <w:sz w:val="24"/>
          <w:szCs w:val="24"/>
          <w:shd w:val="clear" w:color="auto" w:fill="FFFFFF"/>
        </w:rPr>
        <w:t>. Despite an after-the-fact “listening period”, t</w:t>
      </w:r>
      <w:r w:rsidR="00B90F07" w:rsidRPr="00AA7633">
        <w:rPr>
          <w:rFonts w:cs="Tahoma"/>
          <w:sz w:val="24"/>
          <w:szCs w:val="24"/>
          <w:shd w:val="clear" w:color="auto" w:fill="FFFFFF"/>
        </w:rPr>
        <w:t xml:space="preserve">he Israeli government has refused to seriously consider </w:t>
      </w:r>
      <w:r w:rsidR="00B90F07" w:rsidRPr="00AA7633">
        <w:rPr>
          <w:rFonts w:cs="Tahoma"/>
          <w:sz w:val="24"/>
          <w:szCs w:val="24"/>
          <w:shd w:val="clear" w:color="auto" w:fill="FFFFFF"/>
        </w:rPr>
        <w:lastRenderedPageBreak/>
        <w:t>Arab Bedouin input on the bill, and has ignored all alternative plans and solutions proposed by the</w:t>
      </w:r>
      <w:r w:rsidR="00BF1443" w:rsidRPr="00AA7633">
        <w:rPr>
          <w:rFonts w:cs="Tahoma"/>
          <w:sz w:val="24"/>
          <w:szCs w:val="24"/>
          <w:shd w:val="clear" w:color="auto" w:fill="FFFFFF"/>
        </w:rPr>
        <w:t>m.</w:t>
      </w:r>
      <w:r w:rsidR="00B90F07" w:rsidRPr="00AA7633">
        <w:rPr>
          <w:rStyle w:val="FootnoteReference"/>
          <w:rFonts w:cs="Tahoma"/>
          <w:sz w:val="24"/>
          <w:szCs w:val="24"/>
          <w:shd w:val="clear" w:color="auto" w:fill="FFFFFF"/>
        </w:rPr>
        <w:footnoteReference w:id="16"/>
      </w:r>
    </w:p>
    <w:p w:rsidR="00B90F07" w:rsidRPr="00AA7633" w:rsidRDefault="00B90F07" w:rsidP="00AC4737">
      <w:pPr>
        <w:shd w:val="clear" w:color="auto" w:fill="FFFFFF"/>
        <w:spacing w:after="0" w:line="240" w:lineRule="auto"/>
        <w:jc w:val="both"/>
        <w:rPr>
          <w:rFonts w:eastAsia="Times New Roman" w:cs="Arial"/>
          <w:sz w:val="24"/>
          <w:szCs w:val="24"/>
        </w:rPr>
      </w:pPr>
    </w:p>
    <w:p w:rsidR="008A707F" w:rsidRPr="00AA7633" w:rsidRDefault="00BF1443" w:rsidP="00BF1443">
      <w:pPr>
        <w:shd w:val="clear" w:color="auto" w:fill="FFFFFF"/>
        <w:spacing w:after="0" w:line="240" w:lineRule="auto"/>
        <w:jc w:val="both"/>
        <w:rPr>
          <w:rFonts w:eastAsia="Times New Roman" w:cs="Arial"/>
          <w:sz w:val="24"/>
          <w:szCs w:val="24"/>
        </w:rPr>
      </w:pPr>
      <w:r w:rsidRPr="00AA7633">
        <w:rPr>
          <w:rFonts w:eastAsia="Times New Roman" w:cs="Arial"/>
          <w:sz w:val="24"/>
          <w:szCs w:val="24"/>
        </w:rPr>
        <w:t>T</w:t>
      </w:r>
      <w:r w:rsidR="0040733A" w:rsidRPr="00AA7633">
        <w:rPr>
          <w:rFonts w:eastAsia="Times New Roman" w:cs="Arial"/>
          <w:sz w:val="24"/>
          <w:szCs w:val="24"/>
        </w:rPr>
        <w:t xml:space="preserve">he </w:t>
      </w:r>
      <w:r w:rsidRPr="00AA7633">
        <w:rPr>
          <w:rFonts w:eastAsia="Times New Roman" w:cs="Arial"/>
          <w:sz w:val="24"/>
          <w:szCs w:val="24"/>
        </w:rPr>
        <w:t xml:space="preserve">state is already implementing the </w:t>
      </w:r>
      <w:r w:rsidR="0040733A" w:rsidRPr="00AA7633">
        <w:rPr>
          <w:rFonts w:eastAsia="Times New Roman" w:cs="Arial"/>
          <w:sz w:val="24"/>
          <w:szCs w:val="24"/>
        </w:rPr>
        <w:t>Prawer Plan on the ground</w:t>
      </w:r>
      <w:r w:rsidR="00474EAD" w:rsidRPr="00AA7633">
        <w:rPr>
          <w:rFonts w:eastAsia="Times New Roman" w:cs="Arial"/>
          <w:sz w:val="24"/>
          <w:szCs w:val="24"/>
        </w:rPr>
        <w:t>.</w:t>
      </w:r>
      <w:r w:rsidR="007913F5" w:rsidRPr="00AA7633">
        <w:rPr>
          <w:rFonts w:eastAsia="Times New Roman" w:cs="Arial"/>
          <w:sz w:val="24"/>
          <w:szCs w:val="24"/>
        </w:rPr>
        <w:t xml:space="preserve"> </w:t>
      </w:r>
      <w:r w:rsidR="00D62DAB" w:rsidRPr="00AA7633">
        <w:rPr>
          <w:rFonts w:cs="Tahoma"/>
          <w:sz w:val="24"/>
          <w:szCs w:val="24"/>
          <w:shd w:val="clear" w:color="auto" w:fill="FFFFFF"/>
        </w:rPr>
        <w:t>According to the Interior Ministry, 862 homes were demolished in 2012</w:t>
      </w:r>
      <w:r w:rsidRPr="00AA7633">
        <w:rPr>
          <w:rFonts w:cs="Tahoma"/>
          <w:sz w:val="24"/>
          <w:szCs w:val="24"/>
          <w:shd w:val="clear" w:color="auto" w:fill="FFFFFF"/>
        </w:rPr>
        <w:t xml:space="preserve">; of this figure, owners demolished 449 homes due to threats of heavy fines. </w:t>
      </w:r>
      <w:r w:rsidR="00D62DAB" w:rsidRPr="00AA7633">
        <w:rPr>
          <w:rFonts w:cs="Tahoma"/>
          <w:sz w:val="24"/>
          <w:szCs w:val="24"/>
          <w:shd w:val="clear" w:color="auto" w:fill="FFFFFF"/>
        </w:rPr>
        <w:t>As of August 2013, the Israeli authorities have demolished 399 homes, 187 of which were self-demolished</w:t>
      </w:r>
      <w:r w:rsidR="009D08CC" w:rsidRPr="00AA7633">
        <w:rPr>
          <w:rFonts w:cs="Tahoma"/>
          <w:sz w:val="24"/>
          <w:szCs w:val="24"/>
          <w:shd w:val="clear" w:color="auto" w:fill="FFFFFF"/>
        </w:rPr>
        <w:t xml:space="preserve"> by residents wishing to avoid exorbitant fees imposed for the costs of state demolitions</w:t>
      </w:r>
      <w:r w:rsidR="00D62DAB" w:rsidRPr="00AA7633">
        <w:rPr>
          <w:rFonts w:cs="Tahoma"/>
          <w:sz w:val="24"/>
          <w:szCs w:val="24"/>
          <w:shd w:val="clear" w:color="auto" w:fill="FFFFFF"/>
        </w:rPr>
        <w:t>.</w:t>
      </w:r>
      <w:r w:rsidR="00F95BFE" w:rsidRPr="00AA7633">
        <w:rPr>
          <w:rStyle w:val="FootnoteReference"/>
          <w:rFonts w:cs="Tahoma"/>
          <w:sz w:val="24"/>
          <w:szCs w:val="24"/>
          <w:shd w:val="clear" w:color="auto" w:fill="FFFFFF"/>
        </w:rPr>
        <w:footnoteReference w:id="17"/>
      </w:r>
      <w:r w:rsidR="0019607A" w:rsidRPr="00AA7633">
        <w:rPr>
          <w:rFonts w:cs="Tahoma"/>
          <w:sz w:val="24"/>
          <w:szCs w:val="24"/>
          <w:shd w:val="clear" w:color="auto" w:fill="FFFFFF"/>
        </w:rPr>
        <w:t xml:space="preserve"> Popular demonstrations against the Plan on 15 June and 1 August 2013 were met with excessive police force and </w:t>
      </w:r>
      <w:r w:rsidRPr="00AA7633">
        <w:rPr>
          <w:rFonts w:cs="Tahoma"/>
          <w:sz w:val="24"/>
          <w:szCs w:val="24"/>
          <w:shd w:val="clear" w:color="auto" w:fill="FFFFFF"/>
        </w:rPr>
        <w:t xml:space="preserve">numerous </w:t>
      </w:r>
      <w:r w:rsidR="0019607A" w:rsidRPr="00AA7633">
        <w:rPr>
          <w:rFonts w:cs="Tahoma"/>
          <w:sz w:val="24"/>
          <w:szCs w:val="24"/>
          <w:shd w:val="clear" w:color="auto" w:fill="FFFFFF"/>
        </w:rPr>
        <w:t>arrests of Arab protesters</w:t>
      </w:r>
      <w:r w:rsidRPr="00AA7633">
        <w:rPr>
          <w:rFonts w:cs="Tahoma"/>
          <w:sz w:val="24"/>
          <w:szCs w:val="24"/>
          <w:shd w:val="clear" w:color="auto" w:fill="FFFFFF"/>
        </w:rPr>
        <w:t>.</w:t>
      </w:r>
      <w:r w:rsidR="0019607A" w:rsidRPr="00AA7633">
        <w:rPr>
          <w:rStyle w:val="FootnoteReference"/>
          <w:rFonts w:cs="Tahoma"/>
          <w:sz w:val="24"/>
          <w:szCs w:val="24"/>
          <w:shd w:val="clear" w:color="auto" w:fill="FFFFFF"/>
        </w:rPr>
        <w:footnoteReference w:id="18"/>
      </w:r>
    </w:p>
    <w:p w:rsidR="008A707F" w:rsidRPr="00AA7633" w:rsidRDefault="008A707F" w:rsidP="008A707F">
      <w:pPr>
        <w:shd w:val="clear" w:color="auto" w:fill="FFFFFF"/>
        <w:spacing w:after="0" w:line="240" w:lineRule="auto"/>
        <w:jc w:val="both"/>
        <w:rPr>
          <w:rFonts w:cs="Tahoma"/>
          <w:sz w:val="24"/>
          <w:szCs w:val="24"/>
          <w:shd w:val="clear" w:color="auto" w:fill="FFFFFF"/>
        </w:rPr>
      </w:pPr>
    </w:p>
    <w:p w:rsidR="00B90F07" w:rsidRPr="00AA7633" w:rsidRDefault="00BB1B3F" w:rsidP="00BF1443">
      <w:pPr>
        <w:shd w:val="clear" w:color="auto" w:fill="FFFFFF"/>
        <w:spacing w:after="0" w:line="240" w:lineRule="auto"/>
        <w:jc w:val="both"/>
        <w:rPr>
          <w:rFonts w:cs="Tahoma"/>
          <w:sz w:val="24"/>
          <w:szCs w:val="24"/>
          <w:shd w:val="clear" w:color="auto" w:fill="FFFFFF"/>
        </w:rPr>
      </w:pPr>
      <w:r w:rsidRPr="00AA7633">
        <w:rPr>
          <w:rFonts w:cs="Tahoma"/>
          <w:sz w:val="24"/>
          <w:szCs w:val="24"/>
          <w:shd w:val="clear" w:color="auto" w:fill="FFFFFF"/>
        </w:rPr>
        <w:t xml:space="preserve">In addition to its </w:t>
      </w:r>
      <w:r w:rsidRPr="00AA7633">
        <w:rPr>
          <w:rFonts w:cs="Tahoma"/>
          <w:i/>
          <w:iCs/>
          <w:sz w:val="24"/>
          <w:szCs w:val="24"/>
          <w:shd w:val="clear" w:color="auto" w:fill="FFFFFF"/>
        </w:rPr>
        <w:t>de facto</w:t>
      </w:r>
      <w:r w:rsidRPr="00AA7633">
        <w:rPr>
          <w:rFonts w:cs="Tahoma"/>
          <w:sz w:val="24"/>
          <w:szCs w:val="24"/>
          <w:shd w:val="clear" w:color="auto" w:fill="FFFFFF"/>
        </w:rPr>
        <w:t xml:space="preserve"> implementation</w:t>
      </w:r>
      <w:r w:rsidR="00BF1443" w:rsidRPr="00AA7633">
        <w:rPr>
          <w:rFonts w:cs="Tahoma"/>
          <w:sz w:val="24"/>
          <w:szCs w:val="24"/>
          <w:shd w:val="clear" w:color="auto" w:fill="FFFFFF"/>
        </w:rPr>
        <w:t xml:space="preserve">, the government has proposed the Prawer Plan Bill, </w:t>
      </w:r>
      <w:r w:rsidR="009D08CC" w:rsidRPr="00AA7633">
        <w:rPr>
          <w:rFonts w:cs="Tahoma"/>
          <w:sz w:val="24"/>
          <w:szCs w:val="24"/>
          <w:shd w:val="clear" w:color="auto" w:fill="FFFFFF"/>
        </w:rPr>
        <w:t xml:space="preserve">which its proponents seek to </w:t>
      </w:r>
      <w:r w:rsidR="00BF1443" w:rsidRPr="00AA7633">
        <w:rPr>
          <w:rFonts w:cs="Tahoma"/>
          <w:sz w:val="24"/>
          <w:szCs w:val="24"/>
          <w:shd w:val="clear" w:color="auto" w:fill="FFFFFF"/>
        </w:rPr>
        <w:t xml:space="preserve">enact into law quickly and to </w:t>
      </w:r>
      <w:r w:rsidR="009D08CC" w:rsidRPr="00AA7633">
        <w:rPr>
          <w:rFonts w:cs="Tahoma"/>
          <w:sz w:val="24"/>
          <w:szCs w:val="24"/>
          <w:shd w:val="clear" w:color="auto" w:fill="FFFFFF"/>
        </w:rPr>
        <w:t xml:space="preserve">implement </w:t>
      </w:r>
      <w:r w:rsidR="0019607A" w:rsidRPr="00AA7633">
        <w:rPr>
          <w:rFonts w:cs="Tahoma"/>
          <w:sz w:val="24"/>
          <w:szCs w:val="24"/>
          <w:shd w:val="clear" w:color="auto" w:fill="FFFFFF"/>
        </w:rPr>
        <w:t>within three years of its enactment.</w:t>
      </w:r>
      <w:r w:rsidR="007C4556" w:rsidRPr="00AA7633">
        <w:rPr>
          <w:rStyle w:val="FootnoteReference"/>
          <w:rFonts w:cs="Tahoma"/>
          <w:sz w:val="24"/>
          <w:szCs w:val="24"/>
          <w:shd w:val="clear" w:color="auto" w:fill="FFFFFF"/>
        </w:rPr>
        <w:footnoteReference w:id="19"/>
      </w:r>
      <w:r w:rsidR="00AC4737" w:rsidRPr="00AA7633">
        <w:rPr>
          <w:rFonts w:cs="Tahoma"/>
          <w:sz w:val="24"/>
          <w:szCs w:val="24"/>
          <w:shd w:val="clear" w:color="auto" w:fill="FFFFFF"/>
        </w:rPr>
        <w:t xml:space="preserve"> </w:t>
      </w:r>
      <w:r w:rsidR="00474EAD" w:rsidRPr="00AA7633">
        <w:rPr>
          <w:rFonts w:eastAsia="Times New Roman" w:cs="Arial"/>
          <w:sz w:val="24"/>
          <w:szCs w:val="24"/>
        </w:rPr>
        <w:t>On 24 June 2013, the Knesset approved the first reading of the “Prawer-Begin Bill”</w:t>
      </w:r>
      <w:r w:rsidR="00BF1443" w:rsidRPr="00AA7633">
        <w:rPr>
          <w:rFonts w:eastAsia="Times New Roman" w:cs="Arial"/>
          <w:sz w:val="24"/>
          <w:szCs w:val="24"/>
        </w:rPr>
        <w:t>. Adalah expects that this bill will be high on the Knesset’s agenda during its upcoming fall and winter term</w:t>
      </w:r>
      <w:r w:rsidR="00AA7633" w:rsidRPr="00AA7633">
        <w:rPr>
          <w:rFonts w:eastAsia="Times New Roman" w:cs="Arial"/>
          <w:sz w:val="24"/>
          <w:szCs w:val="24"/>
        </w:rPr>
        <w:t>,</w:t>
      </w:r>
      <w:r w:rsidR="00BF1443" w:rsidRPr="00AA7633">
        <w:rPr>
          <w:rFonts w:eastAsia="Times New Roman" w:cs="Arial"/>
          <w:sz w:val="24"/>
          <w:szCs w:val="24"/>
        </w:rPr>
        <w:t xml:space="preserve"> which begins in mid-</w:t>
      </w:r>
      <w:r w:rsidR="00474EAD" w:rsidRPr="00AA7633">
        <w:rPr>
          <w:rFonts w:eastAsia="Times New Roman" w:cs="Arial"/>
          <w:sz w:val="24"/>
          <w:szCs w:val="24"/>
        </w:rPr>
        <w:t xml:space="preserve"> </w:t>
      </w:r>
      <w:r w:rsidR="00BF1443" w:rsidRPr="00AA7633">
        <w:rPr>
          <w:rFonts w:eastAsia="Times New Roman" w:cs="Arial"/>
          <w:sz w:val="24"/>
          <w:szCs w:val="24"/>
        </w:rPr>
        <w:t>O</w:t>
      </w:r>
      <w:r w:rsidR="00474EAD" w:rsidRPr="00AA7633">
        <w:rPr>
          <w:rFonts w:eastAsia="Times New Roman" w:cs="Arial"/>
          <w:sz w:val="24"/>
          <w:szCs w:val="24"/>
        </w:rPr>
        <w:t>ctober 2013.</w:t>
      </w:r>
      <w:r w:rsidR="00474EAD" w:rsidRPr="00AA7633">
        <w:rPr>
          <w:rStyle w:val="FootnoteReference"/>
          <w:rFonts w:eastAsia="Times New Roman" w:cs="Arial"/>
          <w:sz w:val="24"/>
          <w:szCs w:val="24"/>
        </w:rPr>
        <w:footnoteReference w:id="20"/>
      </w:r>
    </w:p>
    <w:sectPr w:rsidR="00B90F07" w:rsidRPr="00AA7633" w:rsidSect="00066948">
      <w:footerReference w:type="default" r:id="rId8"/>
      <w:headerReference w:type="first" r:id="rId9"/>
      <w:footerReference w:type="first" r:id="rId10"/>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FDE" w:rsidRDefault="00E06FDE" w:rsidP="00CB5563">
      <w:pPr>
        <w:spacing w:after="0" w:line="240" w:lineRule="auto"/>
      </w:pPr>
      <w:r>
        <w:separator/>
      </w:r>
    </w:p>
  </w:endnote>
  <w:endnote w:type="continuationSeparator" w:id="0">
    <w:p w:rsidR="00E06FDE" w:rsidRDefault="00E06FDE" w:rsidP="00CB5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661358"/>
      <w:docPartObj>
        <w:docPartGallery w:val="Page Numbers (Bottom of Page)"/>
        <w:docPartUnique/>
      </w:docPartObj>
    </w:sdtPr>
    <w:sdtEndPr>
      <w:rPr>
        <w:rFonts w:asciiTheme="majorHAnsi" w:hAnsiTheme="majorHAnsi"/>
        <w:noProof/>
      </w:rPr>
    </w:sdtEndPr>
    <w:sdtContent>
      <w:p w:rsidR="001716A4" w:rsidRPr="007E370B" w:rsidRDefault="001716A4">
        <w:pPr>
          <w:pStyle w:val="Footer"/>
          <w:jc w:val="center"/>
          <w:rPr>
            <w:rFonts w:asciiTheme="majorHAnsi" w:hAnsiTheme="majorHAnsi"/>
          </w:rPr>
        </w:pPr>
        <w:r w:rsidRPr="007E370B">
          <w:rPr>
            <w:rFonts w:asciiTheme="majorHAnsi" w:hAnsiTheme="majorHAnsi"/>
          </w:rPr>
          <w:fldChar w:fldCharType="begin"/>
        </w:r>
        <w:r w:rsidRPr="007E370B">
          <w:rPr>
            <w:rFonts w:asciiTheme="majorHAnsi" w:hAnsiTheme="majorHAnsi"/>
          </w:rPr>
          <w:instrText xml:space="preserve"> PAGE   \* MERGEFORMAT </w:instrText>
        </w:r>
        <w:r w:rsidRPr="007E370B">
          <w:rPr>
            <w:rFonts w:asciiTheme="majorHAnsi" w:hAnsiTheme="majorHAnsi"/>
          </w:rPr>
          <w:fldChar w:fldCharType="separate"/>
        </w:r>
        <w:r w:rsidR="00F9121E">
          <w:rPr>
            <w:rFonts w:asciiTheme="majorHAnsi" w:hAnsiTheme="majorHAnsi"/>
            <w:noProof/>
          </w:rPr>
          <w:t>1</w:t>
        </w:r>
        <w:r w:rsidRPr="007E370B">
          <w:rPr>
            <w:rFonts w:asciiTheme="majorHAnsi" w:hAnsiTheme="majorHAnsi"/>
            <w:noProof/>
          </w:rPr>
          <w:fldChar w:fldCharType="end"/>
        </w:r>
      </w:p>
    </w:sdtContent>
  </w:sdt>
  <w:p w:rsidR="001716A4" w:rsidRDefault="00171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78" w:rsidRDefault="00533578" w:rsidP="00CB5563">
    <w:pPr>
      <w:pStyle w:val="Footer"/>
      <w:jc w:val="center"/>
      <w:rPr>
        <w:rFonts w:asciiTheme="majorBidi" w:hAnsiTheme="majorBidi" w:cstheme="majorBidi"/>
        <w:b/>
        <w:bCs/>
        <w:sz w:val="24"/>
        <w:szCs w:val="24"/>
      </w:rPr>
    </w:pPr>
  </w:p>
  <w:p w:rsidR="00CB5563" w:rsidRPr="00CB5563" w:rsidRDefault="00CB5563" w:rsidP="00CB5563">
    <w:pPr>
      <w:pStyle w:val="Footer"/>
      <w:jc w:val="center"/>
      <w:rPr>
        <w:rFonts w:asciiTheme="majorBidi" w:hAnsiTheme="majorBidi" w:cstheme="majorBidi"/>
        <w:b/>
        <w:bCs/>
        <w:sz w:val="24"/>
        <w:szCs w:val="24"/>
      </w:rPr>
    </w:pPr>
    <w:r w:rsidRPr="00CB5563">
      <w:rPr>
        <w:rFonts w:asciiTheme="majorBidi" w:hAnsiTheme="majorBidi" w:cstheme="majorBidi"/>
        <w:b/>
        <w:bCs/>
        <w:sz w:val="24"/>
        <w:szCs w:val="24"/>
      </w:rPr>
      <w:t>P.O. Box 8921 Haifa 31090 Israel   Tel: (972)-4-950-1610 Fax: (972)-4-950-3140</w:t>
    </w:r>
  </w:p>
  <w:p w:rsidR="00CB5563" w:rsidRPr="00CB5563" w:rsidRDefault="00CB5563" w:rsidP="00CB5563">
    <w:pPr>
      <w:pStyle w:val="Footer"/>
      <w:jc w:val="center"/>
      <w:rPr>
        <w:rFonts w:asciiTheme="majorBidi" w:hAnsiTheme="majorBidi" w:cstheme="majorBidi"/>
        <w:sz w:val="24"/>
        <w:szCs w:val="24"/>
        <w:rtl/>
      </w:rPr>
    </w:pPr>
    <w:r w:rsidRPr="00CB5563">
      <w:rPr>
        <w:rFonts w:asciiTheme="majorBidi" w:hAnsiTheme="majorBidi" w:cstheme="majorBidi"/>
        <w:sz w:val="24"/>
        <w:szCs w:val="24"/>
        <w:rtl/>
      </w:rPr>
      <w:t xml:space="preserve">حـــيــفا  </w:t>
    </w:r>
    <w:r w:rsidRPr="00CB5563">
      <w:rPr>
        <w:rFonts w:asciiTheme="majorBidi" w:hAnsiTheme="majorBidi" w:cstheme="majorBidi"/>
        <w:spacing w:val="22"/>
        <w:sz w:val="24"/>
        <w:szCs w:val="24"/>
        <w:rtl/>
      </w:rPr>
      <w:t>31090</w:t>
    </w:r>
    <w:r w:rsidRPr="00CB5563">
      <w:rPr>
        <w:rFonts w:asciiTheme="majorBidi" w:hAnsiTheme="majorBidi" w:cstheme="majorBidi"/>
        <w:sz w:val="24"/>
        <w:szCs w:val="24"/>
        <w:rtl/>
      </w:rPr>
      <w:t xml:space="preserve"> ،   ص.ب  </w:t>
    </w:r>
    <w:r w:rsidRPr="00CB5563">
      <w:rPr>
        <w:rFonts w:asciiTheme="majorBidi" w:hAnsiTheme="majorBidi" w:cstheme="majorBidi"/>
        <w:spacing w:val="28"/>
        <w:sz w:val="24"/>
        <w:szCs w:val="24"/>
        <w:rtl/>
      </w:rPr>
      <w:t>8921</w:t>
    </w:r>
    <w:r w:rsidRPr="00CB5563">
      <w:rPr>
        <w:rFonts w:asciiTheme="majorBidi" w:hAnsiTheme="majorBidi" w:cstheme="majorBidi"/>
        <w:sz w:val="24"/>
        <w:szCs w:val="24"/>
        <w:rtl/>
      </w:rPr>
      <w:t xml:space="preserve">    هــاتــف  </w:t>
    </w:r>
    <w:r w:rsidRPr="00CB5563">
      <w:rPr>
        <w:rFonts w:asciiTheme="majorBidi" w:hAnsiTheme="majorBidi" w:cstheme="majorBidi"/>
        <w:spacing w:val="34"/>
        <w:sz w:val="24"/>
        <w:szCs w:val="24"/>
        <w:rtl/>
      </w:rPr>
      <w:t xml:space="preserve">9501610-04 </w:t>
    </w:r>
    <w:r w:rsidRPr="00CB5563">
      <w:rPr>
        <w:rFonts w:asciiTheme="majorBidi" w:hAnsiTheme="majorBidi" w:cstheme="majorBidi"/>
        <w:sz w:val="24"/>
        <w:szCs w:val="24"/>
        <w:rtl/>
      </w:rPr>
      <w:t xml:space="preserve">     فاكس </w:t>
    </w:r>
    <w:r w:rsidRPr="00CB5563">
      <w:rPr>
        <w:rFonts w:asciiTheme="majorBidi" w:hAnsiTheme="majorBidi" w:cstheme="majorBidi"/>
        <w:spacing w:val="28"/>
        <w:sz w:val="24"/>
        <w:szCs w:val="24"/>
        <w:rtl/>
      </w:rPr>
      <w:t>9503140-04</w:t>
    </w:r>
    <w:r w:rsidRPr="00CB5563">
      <w:rPr>
        <w:rFonts w:asciiTheme="majorBidi" w:hAnsiTheme="majorBidi" w:cstheme="majorBidi"/>
        <w:sz w:val="24"/>
        <w:szCs w:val="24"/>
        <w:rtl/>
      </w:rPr>
      <w:t xml:space="preserve"> </w:t>
    </w:r>
  </w:p>
  <w:p w:rsidR="00CB5563" w:rsidRPr="00CB5563" w:rsidRDefault="00CB5563" w:rsidP="00CB5563">
    <w:pPr>
      <w:pStyle w:val="Footer"/>
      <w:jc w:val="center"/>
      <w:rPr>
        <w:rFonts w:asciiTheme="majorBidi" w:hAnsiTheme="majorBidi" w:cstheme="majorBidi"/>
        <w:spacing w:val="38"/>
        <w:sz w:val="24"/>
        <w:szCs w:val="24"/>
        <w:rtl/>
      </w:rPr>
    </w:pPr>
    <w:r w:rsidRPr="00CB5563">
      <w:rPr>
        <w:rFonts w:asciiTheme="majorBidi" w:hAnsiTheme="majorBidi" w:cstheme="majorBidi"/>
        <w:spacing w:val="38"/>
        <w:sz w:val="24"/>
        <w:szCs w:val="24"/>
        <w:rtl/>
        <w:lang w:bidi="he-IL"/>
      </w:rPr>
      <w:t>חיפה</w:t>
    </w:r>
    <w:r w:rsidRPr="00CB5563">
      <w:rPr>
        <w:rFonts w:asciiTheme="majorBidi" w:hAnsiTheme="majorBidi" w:cstheme="majorBidi"/>
        <w:spacing w:val="38"/>
        <w:sz w:val="24"/>
        <w:szCs w:val="24"/>
        <w:rtl/>
      </w:rPr>
      <w:t xml:space="preserve"> 31090,   </w:t>
    </w:r>
    <w:r w:rsidRPr="00CB5563">
      <w:rPr>
        <w:rFonts w:asciiTheme="majorBidi" w:hAnsiTheme="majorBidi" w:cstheme="majorBidi"/>
        <w:spacing w:val="38"/>
        <w:sz w:val="24"/>
        <w:szCs w:val="24"/>
        <w:rtl/>
        <w:lang w:bidi="he-IL"/>
      </w:rPr>
      <w:t>ת</w:t>
    </w:r>
    <w:r w:rsidRPr="00CB5563">
      <w:rPr>
        <w:rFonts w:asciiTheme="majorBidi" w:hAnsiTheme="majorBidi" w:cstheme="majorBidi"/>
        <w:spacing w:val="38"/>
        <w:sz w:val="24"/>
        <w:szCs w:val="24"/>
        <w:rtl/>
      </w:rPr>
      <w:t>.</w:t>
    </w:r>
    <w:r w:rsidRPr="00CB5563">
      <w:rPr>
        <w:rFonts w:asciiTheme="majorBidi" w:hAnsiTheme="majorBidi" w:cstheme="majorBidi"/>
        <w:spacing w:val="38"/>
        <w:sz w:val="24"/>
        <w:szCs w:val="24"/>
        <w:rtl/>
        <w:lang w:bidi="he-IL"/>
      </w:rPr>
      <w:t>ד</w:t>
    </w:r>
    <w:r w:rsidRPr="00CB5563">
      <w:rPr>
        <w:rFonts w:asciiTheme="majorBidi" w:hAnsiTheme="majorBidi" w:cstheme="majorBidi"/>
        <w:spacing w:val="38"/>
        <w:sz w:val="24"/>
        <w:szCs w:val="24"/>
        <w:rtl/>
      </w:rPr>
      <w:t xml:space="preserve">. 8921  </w:t>
    </w:r>
    <w:r w:rsidRPr="00CB5563">
      <w:rPr>
        <w:rFonts w:asciiTheme="majorBidi" w:hAnsiTheme="majorBidi" w:cstheme="majorBidi"/>
        <w:spacing w:val="38"/>
        <w:sz w:val="24"/>
        <w:szCs w:val="24"/>
        <w:rtl/>
        <w:lang w:bidi="he-IL"/>
      </w:rPr>
      <w:t>טלפון</w:t>
    </w:r>
    <w:r w:rsidRPr="00CB5563">
      <w:rPr>
        <w:rFonts w:asciiTheme="majorBidi" w:hAnsiTheme="majorBidi" w:cstheme="majorBidi"/>
        <w:spacing w:val="38"/>
        <w:sz w:val="24"/>
        <w:szCs w:val="24"/>
        <w:rtl/>
      </w:rPr>
      <w:t xml:space="preserve"> 04-9501610   </w:t>
    </w:r>
    <w:r w:rsidRPr="00CB5563">
      <w:rPr>
        <w:rFonts w:asciiTheme="majorBidi" w:hAnsiTheme="majorBidi" w:cstheme="majorBidi"/>
        <w:spacing w:val="38"/>
        <w:sz w:val="24"/>
        <w:szCs w:val="24"/>
        <w:rtl/>
        <w:lang w:bidi="he-IL"/>
      </w:rPr>
      <w:t>פקס</w:t>
    </w:r>
    <w:r w:rsidRPr="00CB5563">
      <w:rPr>
        <w:rFonts w:asciiTheme="majorBidi" w:hAnsiTheme="majorBidi" w:cstheme="majorBidi"/>
        <w:spacing w:val="38"/>
        <w:sz w:val="24"/>
        <w:szCs w:val="24"/>
        <w:rtl/>
      </w:rPr>
      <w:t xml:space="preserve"> 04-9503140 </w:t>
    </w:r>
  </w:p>
  <w:p w:rsidR="00CB5563" w:rsidRPr="00CB5563" w:rsidRDefault="00CB5563" w:rsidP="00CB5563">
    <w:pPr>
      <w:pStyle w:val="Footer"/>
      <w:jc w:val="center"/>
      <w:rPr>
        <w:rFonts w:asciiTheme="majorBidi" w:hAnsiTheme="majorBidi" w:cstheme="majorBidi"/>
        <w:b/>
        <w:bCs/>
        <w:sz w:val="24"/>
        <w:szCs w:val="24"/>
      </w:rPr>
    </w:pPr>
    <w:r w:rsidRPr="00CB5563">
      <w:rPr>
        <w:rFonts w:asciiTheme="majorBidi" w:hAnsiTheme="majorBidi" w:cstheme="majorBidi"/>
        <w:b/>
        <w:bCs/>
        <w:sz w:val="24"/>
        <w:szCs w:val="24"/>
      </w:rPr>
      <w:t>Email:  adalah@adalah.org            http://www.adalah.org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FDE" w:rsidRDefault="00E06FDE" w:rsidP="00CB5563">
      <w:pPr>
        <w:spacing w:after="0" w:line="240" w:lineRule="auto"/>
      </w:pPr>
      <w:r>
        <w:separator/>
      </w:r>
    </w:p>
  </w:footnote>
  <w:footnote w:type="continuationSeparator" w:id="0">
    <w:p w:rsidR="00E06FDE" w:rsidRDefault="00E06FDE" w:rsidP="00CB5563">
      <w:pPr>
        <w:spacing w:after="0" w:line="240" w:lineRule="auto"/>
      </w:pPr>
      <w:r>
        <w:continuationSeparator/>
      </w:r>
    </w:p>
  </w:footnote>
  <w:footnote w:id="1">
    <w:p w:rsidR="006B0DBC" w:rsidRPr="00B67B2D" w:rsidRDefault="006B0DBC" w:rsidP="00B03E6E">
      <w:pPr>
        <w:pStyle w:val="FootnoteText"/>
        <w:rPr>
          <w:rFonts w:asciiTheme="majorHAnsi" w:hAnsiTheme="majorHAnsi"/>
        </w:rPr>
      </w:pPr>
      <w:r w:rsidRPr="00B67B2D">
        <w:rPr>
          <w:rStyle w:val="FootnoteReference"/>
          <w:rFonts w:asciiTheme="majorHAnsi" w:hAnsiTheme="majorHAnsi"/>
        </w:rPr>
        <w:footnoteRef/>
      </w:r>
      <w:r w:rsidRPr="00B67B2D">
        <w:rPr>
          <w:rFonts w:asciiTheme="majorHAnsi" w:hAnsiTheme="majorHAnsi"/>
        </w:rPr>
        <w:t xml:space="preserve"> See Adalah’s submission to the UPR of November 2012: </w:t>
      </w:r>
      <w:hyperlink r:id="rId1" w:history="1">
        <w:r w:rsidRPr="00B67B2D">
          <w:rPr>
            <w:rStyle w:val="Hyperlink"/>
            <w:rFonts w:asciiTheme="majorHAnsi" w:hAnsiTheme="majorHAnsi"/>
          </w:rPr>
          <w:t>http://adalah.org/Public/files/English/International_Advocacy/UN/2012/UPR-Submission-29-Nov-2012.pdf</w:t>
        </w:r>
      </w:hyperlink>
      <w:r w:rsidR="00B03E6E" w:rsidRPr="00B67B2D">
        <w:rPr>
          <w:rFonts w:asciiTheme="majorHAnsi" w:hAnsiTheme="majorHAnsi"/>
        </w:rPr>
        <w:t xml:space="preserve">; see also Adalah’s Suggested Questions for the UPR of Israel: </w:t>
      </w:r>
      <w:hyperlink r:id="rId2" w:history="1">
        <w:r w:rsidR="00B03E6E" w:rsidRPr="00B67B2D">
          <w:rPr>
            <w:rStyle w:val="Hyperlink"/>
            <w:rFonts w:asciiTheme="majorHAnsi" w:hAnsiTheme="majorHAnsi"/>
          </w:rPr>
          <w:t>http://adalah.org/Public/files/English/International_Advocacy/UN/2012/Adalah-Suggested-Questions-Israel-UPR-2012.pdf</w:t>
        </w:r>
      </w:hyperlink>
      <w:r w:rsidR="00B03E6E" w:rsidRPr="00B67B2D">
        <w:rPr>
          <w:rFonts w:asciiTheme="majorHAnsi" w:hAnsiTheme="majorHAnsi"/>
        </w:rPr>
        <w:t>.</w:t>
      </w:r>
    </w:p>
  </w:footnote>
  <w:footnote w:id="2">
    <w:p w:rsidR="003726D9" w:rsidRPr="00B67B2D" w:rsidRDefault="003726D9" w:rsidP="003726D9">
      <w:pPr>
        <w:pStyle w:val="FootnoteText"/>
        <w:rPr>
          <w:rFonts w:asciiTheme="majorHAnsi" w:hAnsiTheme="majorHAnsi"/>
        </w:rPr>
      </w:pPr>
      <w:r w:rsidRPr="00B67B2D">
        <w:rPr>
          <w:rStyle w:val="FootnoteReference"/>
          <w:rFonts w:asciiTheme="majorHAnsi" w:hAnsiTheme="majorHAnsi"/>
        </w:rPr>
        <w:footnoteRef/>
      </w:r>
      <w:r w:rsidRPr="00B67B2D">
        <w:rPr>
          <w:rFonts w:asciiTheme="majorHAnsi" w:hAnsiTheme="majorHAnsi"/>
        </w:rPr>
        <w:t xml:space="preserve"> See NGO Joint Statement on Israel’s refusal to participate in UPR, 29 January 2013: </w:t>
      </w:r>
      <w:hyperlink r:id="rId3" w:history="1">
        <w:r w:rsidRPr="00B67B2D">
          <w:rPr>
            <w:rStyle w:val="Hyperlink"/>
            <w:rFonts w:asciiTheme="majorHAnsi" w:hAnsiTheme="majorHAnsi"/>
          </w:rPr>
          <w:t>http://www.adalah.org/eng/Articles/1913/NGO-STATEMENT:-Israels-Obstruction-of-UN-Human-Has</w:t>
        </w:r>
      </w:hyperlink>
      <w:r w:rsidRPr="00B67B2D">
        <w:rPr>
          <w:rFonts w:asciiTheme="majorHAnsi" w:hAnsiTheme="majorHAnsi"/>
        </w:rPr>
        <w:t>.</w:t>
      </w:r>
    </w:p>
  </w:footnote>
  <w:footnote w:id="3">
    <w:p w:rsidR="00533578" w:rsidRPr="00B67B2D" w:rsidRDefault="00533578">
      <w:pPr>
        <w:pStyle w:val="FootnoteText"/>
        <w:rPr>
          <w:rFonts w:asciiTheme="majorHAnsi" w:hAnsiTheme="majorHAnsi"/>
        </w:rPr>
      </w:pPr>
      <w:r w:rsidRPr="00B67B2D">
        <w:rPr>
          <w:rStyle w:val="FootnoteReference"/>
          <w:rFonts w:asciiTheme="majorHAnsi" w:hAnsiTheme="majorHAnsi"/>
        </w:rPr>
        <w:footnoteRef/>
      </w:r>
      <w:r w:rsidRPr="00B67B2D">
        <w:rPr>
          <w:rFonts w:asciiTheme="majorHAnsi" w:hAnsiTheme="majorHAnsi"/>
        </w:rPr>
        <w:t xml:space="preserve"> See Adalah’s “Discriminatory Laws Database”, an online collection of</w:t>
      </w:r>
      <w:r w:rsidR="001B5865" w:rsidRPr="00B67B2D">
        <w:rPr>
          <w:rFonts w:asciiTheme="majorHAnsi" w:hAnsiTheme="majorHAnsi"/>
        </w:rPr>
        <w:t xml:space="preserve"> Israel’s</w:t>
      </w:r>
      <w:r w:rsidRPr="00B67B2D">
        <w:rPr>
          <w:rFonts w:asciiTheme="majorHAnsi" w:hAnsiTheme="majorHAnsi"/>
        </w:rPr>
        <w:t xml:space="preserve"> enacted laws and proposed bills that discriminate against Palestinian citizens of Isr</w:t>
      </w:r>
      <w:r w:rsidR="001B5865" w:rsidRPr="00B67B2D">
        <w:rPr>
          <w:rFonts w:asciiTheme="majorHAnsi" w:hAnsiTheme="majorHAnsi"/>
        </w:rPr>
        <w:t xml:space="preserve">ael and Palestinians in the OPT: </w:t>
      </w:r>
      <w:hyperlink r:id="rId4" w:history="1">
        <w:r w:rsidR="001B5865" w:rsidRPr="00B67B2D">
          <w:rPr>
            <w:rStyle w:val="Hyperlink"/>
            <w:rFonts w:asciiTheme="majorHAnsi" w:hAnsiTheme="majorHAnsi"/>
          </w:rPr>
          <w:t>http://adalah.org/eng/Israeli-Discriminatory-Law-Database</w:t>
        </w:r>
      </w:hyperlink>
      <w:r w:rsidR="001B5865" w:rsidRPr="00B67B2D">
        <w:rPr>
          <w:rFonts w:asciiTheme="majorHAnsi" w:hAnsiTheme="majorHAnsi"/>
        </w:rPr>
        <w:t>.</w:t>
      </w:r>
    </w:p>
  </w:footnote>
  <w:footnote w:id="4">
    <w:p w:rsidR="00FF1C5D" w:rsidRPr="00B67B2D" w:rsidRDefault="00FF1C5D" w:rsidP="00F81ACF">
      <w:pPr>
        <w:pStyle w:val="FootnoteText"/>
        <w:rPr>
          <w:rFonts w:asciiTheme="majorHAnsi" w:hAnsiTheme="majorHAnsi"/>
        </w:rPr>
      </w:pPr>
      <w:r w:rsidRPr="00B67B2D">
        <w:rPr>
          <w:rStyle w:val="FootnoteReference"/>
          <w:rFonts w:asciiTheme="majorHAnsi" w:hAnsiTheme="majorHAnsi"/>
        </w:rPr>
        <w:footnoteRef/>
      </w:r>
      <w:r w:rsidRPr="00B67B2D">
        <w:rPr>
          <w:rFonts w:asciiTheme="majorHAnsi" w:hAnsiTheme="majorHAnsi"/>
        </w:rPr>
        <w:t xml:space="preserve"> See a list of these bills here:</w:t>
      </w:r>
      <w:r w:rsidR="00F81ACF" w:rsidRPr="00B67B2D">
        <w:rPr>
          <w:rFonts w:asciiTheme="majorHAnsi" w:hAnsiTheme="majorHAnsi"/>
        </w:rPr>
        <w:t xml:space="preserve"> </w:t>
      </w:r>
      <w:hyperlink r:id="rId5" w:history="1">
        <w:r w:rsidR="00F81ACF" w:rsidRPr="00B67B2D">
          <w:rPr>
            <w:rStyle w:val="Hyperlink"/>
            <w:rFonts w:asciiTheme="majorHAnsi" w:hAnsiTheme="majorHAnsi"/>
          </w:rPr>
          <w:t>http://adalah.org/Public/files/Discriminatory-Laws-Database/Discriminatory-Bills-19th-Knesset-24-06-2013.pdf</w:t>
        </w:r>
      </w:hyperlink>
      <w:r w:rsidR="00F81ACF" w:rsidRPr="00B67B2D">
        <w:rPr>
          <w:rFonts w:asciiTheme="majorHAnsi" w:hAnsiTheme="majorHAnsi"/>
        </w:rPr>
        <w:t>.</w:t>
      </w:r>
    </w:p>
  </w:footnote>
  <w:footnote w:id="5">
    <w:p w:rsidR="00732143" w:rsidRPr="00B67B2D" w:rsidRDefault="00732143" w:rsidP="009D08CC">
      <w:pPr>
        <w:pStyle w:val="FootnoteText"/>
        <w:rPr>
          <w:rFonts w:asciiTheme="majorHAnsi" w:hAnsiTheme="majorHAnsi"/>
        </w:rPr>
      </w:pPr>
      <w:r w:rsidRPr="00B67B2D">
        <w:rPr>
          <w:rStyle w:val="FootnoteReference"/>
          <w:rFonts w:asciiTheme="majorHAnsi" w:hAnsiTheme="majorHAnsi"/>
        </w:rPr>
        <w:footnoteRef/>
      </w:r>
      <w:r w:rsidRPr="00B67B2D">
        <w:rPr>
          <w:rFonts w:asciiTheme="majorHAnsi" w:hAnsiTheme="majorHAnsi"/>
        </w:rPr>
        <w:t xml:space="preserve"> See more information on discriminatory allocation of resources in </w:t>
      </w:r>
      <w:r w:rsidR="009D08CC" w:rsidRPr="00B67B2D">
        <w:rPr>
          <w:rFonts w:asciiTheme="majorHAnsi" w:hAnsiTheme="majorHAnsi"/>
        </w:rPr>
        <w:t xml:space="preserve">Adalah, </w:t>
      </w:r>
      <w:r w:rsidR="009D08CC" w:rsidRPr="00B67B2D">
        <w:rPr>
          <w:rFonts w:asciiTheme="majorHAnsi" w:hAnsiTheme="majorHAnsi"/>
          <w:i/>
          <w:iCs/>
        </w:rPr>
        <w:t>The</w:t>
      </w:r>
      <w:r w:rsidR="009D08CC" w:rsidRPr="00B67B2D">
        <w:rPr>
          <w:rFonts w:asciiTheme="majorHAnsi" w:hAnsiTheme="majorHAnsi"/>
        </w:rPr>
        <w:t xml:space="preserve"> </w:t>
      </w:r>
      <w:r w:rsidR="009D08CC" w:rsidRPr="00B67B2D">
        <w:rPr>
          <w:rFonts w:asciiTheme="majorHAnsi" w:hAnsiTheme="majorHAnsi"/>
          <w:i/>
          <w:iCs/>
        </w:rPr>
        <w:t>Inequality Report</w:t>
      </w:r>
      <w:r w:rsidR="009D08CC" w:rsidRPr="00B67B2D">
        <w:rPr>
          <w:rFonts w:asciiTheme="majorHAnsi" w:hAnsiTheme="majorHAnsi"/>
        </w:rPr>
        <w:t xml:space="preserve">, 2011, p. </w:t>
      </w:r>
      <w:r w:rsidR="002D73A6" w:rsidRPr="00B67B2D">
        <w:rPr>
          <w:rFonts w:asciiTheme="majorHAnsi" w:hAnsiTheme="majorHAnsi"/>
        </w:rPr>
        <w:t>22</w:t>
      </w:r>
      <w:r w:rsidRPr="00B67B2D">
        <w:rPr>
          <w:rFonts w:asciiTheme="majorHAnsi" w:hAnsiTheme="majorHAnsi"/>
        </w:rPr>
        <w:t>:</w:t>
      </w:r>
      <w:r w:rsidR="003D50D1" w:rsidRPr="00B67B2D">
        <w:rPr>
          <w:rFonts w:asciiTheme="majorHAnsi" w:hAnsiTheme="majorHAnsi"/>
        </w:rPr>
        <w:t xml:space="preserve"> </w:t>
      </w:r>
      <w:hyperlink r:id="rId6" w:history="1">
        <w:r w:rsidR="003D50D1" w:rsidRPr="00B67B2D">
          <w:rPr>
            <w:rStyle w:val="Hyperlink"/>
            <w:rFonts w:asciiTheme="majorHAnsi" w:hAnsiTheme="majorHAnsi"/>
          </w:rPr>
          <w:t>http://adalah.org/upfiles/2011/Adalah_The_Inequality_Report_March_2011.pdf</w:t>
        </w:r>
      </w:hyperlink>
      <w:r w:rsidR="008C548B" w:rsidRPr="00B67B2D">
        <w:rPr>
          <w:rFonts w:asciiTheme="majorHAnsi" w:hAnsiTheme="majorHAnsi"/>
        </w:rPr>
        <w:t>.</w:t>
      </w:r>
    </w:p>
  </w:footnote>
  <w:footnote w:id="6">
    <w:p w:rsidR="007123EE" w:rsidRPr="00B67B2D" w:rsidRDefault="007123EE" w:rsidP="009D08CC">
      <w:pPr>
        <w:pStyle w:val="FootnoteText"/>
        <w:rPr>
          <w:rFonts w:asciiTheme="majorHAnsi" w:hAnsiTheme="majorHAnsi"/>
        </w:rPr>
      </w:pPr>
      <w:r w:rsidRPr="00B67B2D">
        <w:rPr>
          <w:rStyle w:val="FootnoteReference"/>
          <w:rFonts w:asciiTheme="majorHAnsi" w:hAnsiTheme="majorHAnsi"/>
        </w:rPr>
        <w:footnoteRef/>
      </w:r>
      <w:r w:rsidRPr="00B67B2D">
        <w:rPr>
          <w:rFonts w:asciiTheme="majorHAnsi" w:hAnsiTheme="majorHAnsi"/>
        </w:rPr>
        <w:t xml:space="preserve"> See Adalah, “Israeli government adds 20 Jewish towns to ‘National Priority Area’ list, 9 are settlements in the Occupied West Bank; Arabs towns in Israel excluded”, 14 August 2013: </w:t>
      </w:r>
      <w:hyperlink r:id="rId7" w:history="1">
        <w:r w:rsidRPr="00B67B2D">
          <w:rPr>
            <w:rStyle w:val="Hyperlink"/>
            <w:rFonts w:asciiTheme="majorHAnsi" w:hAnsiTheme="majorHAnsi"/>
          </w:rPr>
          <w:t>http://www.adalah.org/eng/Articles/2197/Israeli-Government-Adds-20-Jewish-Towns-to-Area%E2%80%9D</w:t>
        </w:r>
      </w:hyperlink>
      <w:r w:rsidRPr="00B67B2D">
        <w:rPr>
          <w:rFonts w:asciiTheme="majorHAnsi" w:hAnsiTheme="majorHAnsi"/>
        </w:rPr>
        <w:t>.</w:t>
      </w:r>
    </w:p>
  </w:footnote>
  <w:footnote w:id="7">
    <w:p w:rsidR="00D84995" w:rsidRPr="00B67B2D" w:rsidRDefault="00D84995">
      <w:pPr>
        <w:pStyle w:val="FootnoteText"/>
        <w:rPr>
          <w:rFonts w:asciiTheme="majorHAnsi" w:hAnsiTheme="majorHAnsi"/>
        </w:rPr>
      </w:pPr>
      <w:r w:rsidRPr="00B67B2D">
        <w:rPr>
          <w:rStyle w:val="FootnoteReference"/>
          <w:rFonts w:asciiTheme="majorHAnsi" w:hAnsiTheme="majorHAnsi"/>
        </w:rPr>
        <w:footnoteRef/>
      </w:r>
      <w:r w:rsidRPr="00B67B2D">
        <w:rPr>
          <w:rFonts w:asciiTheme="majorHAnsi" w:hAnsiTheme="majorHAnsi"/>
        </w:rPr>
        <w:t xml:space="preserve"> See Adalah, “In landmark decision, Supreme Court cancels long standing governmental socio-economic plan as it discriminates against Arab citizens of Israel”, March 2006: </w:t>
      </w:r>
      <w:hyperlink r:id="rId8" w:history="1">
        <w:r w:rsidRPr="00B67B2D">
          <w:rPr>
            <w:rStyle w:val="Hyperlink"/>
            <w:rFonts w:asciiTheme="majorHAnsi" w:hAnsiTheme="majorHAnsi"/>
          </w:rPr>
          <w:t>http://adalah.org/newsletter/eng/mar06/1.php</w:t>
        </w:r>
      </w:hyperlink>
      <w:r w:rsidR="00397E63" w:rsidRPr="00B67B2D">
        <w:rPr>
          <w:rFonts w:asciiTheme="majorHAnsi" w:hAnsiTheme="majorHAnsi"/>
        </w:rPr>
        <w:t>.</w:t>
      </w:r>
    </w:p>
  </w:footnote>
  <w:footnote w:id="8">
    <w:p w:rsidR="00F612D2" w:rsidRPr="00B67B2D" w:rsidRDefault="00F612D2" w:rsidP="009D08CC">
      <w:pPr>
        <w:pStyle w:val="FootnoteText"/>
        <w:rPr>
          <w:rFonts w:asciiTheme="majorHAnsi" w:hAnsiTheme="majorHAnsi"/>
        </w:rPr>
      </w:pPr>
      <w:r w:rsidRPr="00B67B2D">
        <w:rPr>
          <w:rStyle w:val="FootnoteReference"/>
          <w:rFonts w:asciiTheme="majorHAnsi" w:hAnsiTheme="majorHAnsi"/>
        </w:rPr>
        <w:footnoteRef/>
      </w:r>
      <w:r w:rsidRPr="00B67B2D">
        <w:rPr>
          <w:rFonts w:asciiTheme="majorHAnsi" w:hAnsiTheme="majorHAnsi"/>
        </w:rPr>
        <w:t xml:space="preserve"> See Adalah, “‘Military service’ requirement to work at airport – even as baggage handler”, 11 April 2013: </w:t>
      </w:r>
      <w:hyperlink r:id="rId9" w:history="1">
        <w:r w:rsidRPr="00B67B2D">
          <w:rPr>
            <w:rStyle w:val="Hyperlink"/>
            <w:rFonts w:asciiTheme="majorHAnsi" w:hAnsiTheme="majorHAnsi"/>
          </w:rPr>
          <w:t>http://www.adalah.org/eng/Articles/2114/Military-service-requirement-to-work-at-airport-as</w:t>
        </w:r>
      </w:hyperlink>
      <w:r w:rsidRPr="00B67B2D">
        <w:rPr>
          <w:rFonts w:asciiTheme="majorHAnsi" w:hAnsiTheme="majorHAnsi"/>
        </w:rPr>
        <w:t>.</w:t>
      </w:r>
    </w:p>
  </w:footnote>
  <w:footnote w:id="9">
    <w:p w:rsidR="00B32E3E" w:rsidRPr="00B67B2D" w:rsidRDefault="00B32E3E" w:rsidP="009D08CC">
      <w:pPr>
        <w:pStyle w:val="FootnoteText"/>
        <w:rPr>
          <w:rFonts w:asciiTheme="majorHAnsi" w:hAnsiTheme="majorHAnsi"/>
        </w:rPr>
      </w:pPr>
      <w:r w:rsidRPr="00B67B2D">
        <w:rPr>
          <w:rStyle w:val="FootnoteReference"/>
          <w:rFonts w:asciiTheme="majorHAnsi" w:hAnsiTheme="majorHAnsi"/>
        </w:rPr>
        <w:footnoteRef/>
      </w:r>
      <w:r w:rsidRPr="00B67B2D">
        <w:rPr>
          <w:rFonts w:asciiTheme="majorHAnsi" w:hAnsiTheme="majorHAnsi"/>
        </w:rPr>
        <w:t xml:space="preserve"> See Adalah, “Military service requirement for high-tech work in Israel must be lifted for Arab citizens”, 30 April 2013: </w:t>
      </w:r>
      <w:hyperlink r:id="rId10" w:history="1">
        <w:r w:rsidRPr="00B67B2D">
          <w:rPr>
            <w:rStyle w:val="Hyperlink"/>
            <w:rFonts w:asciiTheme="majorHAnsi" w:hAnsiTheme="majorHAnsi"/>
          </w:rPr>
          <w:t>http://www.adalah.org/eng/Articles/2118/Military-service-requirement-for-high-tech-work</w:t>
        </w:r>
      </w:hyperlink>
      <w:r w:rsidRPr="00B67B2D">
        <w:rPr>
          <w:rFonts w:asciiTheme="majorHAnsi" w:hAnsiTheme="majorHAnsi"/>
        </w:rPr>
        <w:t>.</w:t>
      </w:r>
    </w:p>
  </w:footnote>
  <w:footnote w:id="10">
    <w:p w:rsidR="000E78D8" w:rsidRPr="00B67B2D" w:rsidRDefault="000E78D8" w:rsidP="009D08CC">
      <w:pPr>
        <w:pStyle w:val="FootnoteText"/>
        <w:rPr>
          <w:rFonts w:asciiTheme="majorHAnsi" w:hAnsiTheme="majorHAnsi"/>
        </w:rPr>
      </w:pPr>
      <w:r w:rsidRPr="00B67B2D">
        <w:rPr>
          <w:rStyle w:val="FootnoteReference"/>
          <w:rFonts w:asciiTheme="majorHAnsi" w:hAnsiTheme="majorHAnsi"/>
        </w:rPr>
        <w:footnoteRef/>
      </w:r>
      <w:r w:rsidRPr="00B67B2D">
        <w:rPr>
          <w:rFonts w:asciiTheme="majorHAnsi" w:hAnsiTheme="majorHAnsi"/>
        </w:rPr>
        <w:t xml:space="preserve"> See Adalah, “Bill to legalize discrimination based on military service approved by Ministerial Committee on Legislation”, 25 June 2013: </w:t>
      </w:r>
      <w:hyperlink r:id="rId11" w:history="1">
        <w:r w:rsidRPr="00B67B2D">
          <w:rPr>
            <w:rStyle w:val="Hyperlink"/>
            <w:rFonts w:asciiTheme="majorHAnsi" w:hAnsiTheme="majorHAnsi"/>
          </w:rPr>
          <w:t>http://adalah.org/eng/Articles/2174/Bill-to-legalize-discrimination-based-on-military</w:t>
        </w:r>
      </w:hyperlink>
      <w:r w:rsidRPr="00B67B2D">
        <w:rPr>
          <w:rFonts w:asciiTheme="majorHAnsi" w:hAnsiTheme="majorHAnsi"/>
        </w:rPr>
        <w:t>.</w:t>
      </w:r>
    </w:p>
  </w:footnote>
  <w:footnote w:id="11">
    <w:p w:rsidR="0047455B" w:rsidRPr="00B67B2D" w:rsidRDefault="0047455B">
      <w:pPr>
        <w:pStyle w:val="FootnoteText"/>
        <w:rPr>
          <w:rFonts w:asciiTheme="majorHAnsi" w:hAnsiTheme="majorHAnsi"/>
        </w:rPr>
      </w:pPr>
      <w:r w:rsidRPr="00B67B2D">
        <w:rPr>
          <w:rStyle w:val="FootnoteReference"/>
          <w:rFonts w:asciiTheme="majorHAnsi" w:hAnsiTheme="majorHAnsi"/>
        </w:rPr>
        <w:footnoteRef/>
      </w:r>
      <w:r w:rsidRPr="00B67B2D">
        <w:rPr>
          <w:rFonts w:asciiTheme="majorHAnsi" w:hAnsiTheme="majorHAnsi"/>
        </w:rPr>
        <w:t xml:space="preserve"> See </w:t>
      </w:r>
      <w:r w:rsidR="002C4ACF" w:rsidRPr="00B67B2D">
        <w:rPr>
          <w:rFonts w:asciiTheme="majorHAnsi" w:hAnsiTheme="majorHAnsi"/>
        </w:rPr>
        <w:t xml:space="preserve">the Civil Service </w:t>
      </w:r>
      <w:r w:rsidR="009D08CC" w:rsidRPr="00B67B2D">
        <w:rPr>
          <w:rFonts w:asciiTheme="majorHAnsi" w:hAnsiTheme="majorHAnsi"/>
        </w:rPr>
        <w:t xml:space="preserve">Authority’s annual </w:t>
      </w:r>
      <w:r w:rsidR="002C4ACF" w:rsidRPr="00B67B2D">
        <w:rPr>
          <w:rFonts w:asciiTheme="majorHAnsi" w:hAnsiTheme="majorHAnsi"/>
        </w:rPr>
        <w:t>report</w:t>
      </w:r>
      <w:r w:rsidR="009D08CC" w:rsidRPr="00B67B2D">
        <w:rPr>
          <w:rFonts w:asciiTheme="majorHAnsi" w:hAnsiTheme="majorHAnsi"/>
        </w:rPr>
        <w:t>, 2011 (Hebrew)</w:t>
      </w:r>
      <w:r w:rsidRPr="00B67B2D">
        <w:rPr>
          <w:rFonts w:asciiTheme="majorHAnsi" w:hAnsiTheme="majorHAnsi"/>
        </w:rPr>
        <w:t xml:space="preserve">: </w:t>
      </w:r>
      <w:hyperlink r:id="rId12" w:history="1">
        <w:r w:rsidRPr="00B67B2D">
          <w:rPr>
            <w:rStyle w:val="Hyperlink"/>
            <w:rFonts w:asciiTheme="majorHAnsi" w:hAnsiTheme="majorHAnsi"/>
          </w:rPr>
          <w:t>http://www.civil-service.gov.il/NR/rdonlyres/2FCC4CD2-01DD-4FFB-B2B7-CEB995FE0F9F/0/representation2011.pdf</w:t>
        </w:r>
      </w:hyperlink>
      <w:r w:rsidRPr="00B67B2D">
        <w:rPr>
          <w:rFonts w:asciiTheme="majorHAnsi" w:hAnsiTheme="majorHAnsi"/>
        </w:rPr>
        <w:t>.</w:t>
      </w:r>
    </w:p>
  </w:footnote>
  <w:footnote w:id="12">
    <w:p w:rsidR="002C4ACF" w:rsidRPr="00B67B2D" w:rsidRDefault="002C4ACF" w:rsidP="009D08CC">
      <w:pPr>
        <w:pStyle w:val="FootnoteText"/>
        <w:rPr>
          <w:rFonts w:asciiTheme="majorHAnsi" w:hAnsiTheme="majorHAnsi"/>
        </w:rPr>
      </w:pPr>
      <w:r w:rsidRPr="00B67B2D">
        <w:rPr>
          <w:rStyle w:val="FootnoteReference"/>
          <w:rFonts w:asciiTheme="majorHAnsi" w:hAnsiTheme="majorHAnsi"/>
        </w:rPr>
        <w:footnoteRef/>
      </w:r>
      <w:r w:rsidRPr="00B67B2D">
        <w:rPr>
          <w:rFonts w:asciiTheme="majorHAnsi" w:hAnsiTheme="majorHAnsi"/>
        </w:rPr>
        <w:t xml:space="preserve"> See Adalah</w:t>
      </w:r>
      <w:r w:rsidR="009D08CC" w:rsidRPr="00B67B2D">
        <w:rPr>
          <w:rFonts w:asciiTheme="majorHAnsi" w:hAnsiTheme="majorHAnsi"/>
        </w:rPr>
        <w:t>’s</w:t>
      </w:r>
      <w:r w:rsidRPr="00B67B2D">
        <w:rPr>
          <w:rFonts w:asciiTheme="majorHAnsi" w:hAnsiTheme="majorHAnsi"/>
        </w:rPr>
        <w:t xml:space="preserve"> position paper, “Ensuring Appropriate Representation of Arab Women in the Civil Service in Israel”, March 2013: </w:t>
      </w:r>
      <w:hyperlink r:id="rId13" w:history="1">
        <w:r w:rsidRPr="00B67B2D">
          <w:rPr>
            <w:rStyle w:val="Hyperlink"/>
            <w:rFonts w:asciiTheme="majorHAnsi" w:hAnsiTheme="majorHAnsi"/>
          </w:rPr>
          <w:t>http://adalah.org/Public/files/English/Newsletter/102-March2013/Sawsan-Zaher-Arab-Women-Civil-Service-03-13.pdf</w:t>
        </w:r>
      </w:hyperlink>
      <w:r w:rsidRPr="00B67B2D">
        <w:rPr>
          <w:rFonts w:asciiTheme="majorHAnsi" w:hAnsiTheme="majorHAnsi"/>
        </w:rPr>
        <w:t>.</w:t>
      </w:r>
    </w:p>
  </w:footnote>
  <w:footnote w:id="13">
    <w:p w:rsidR="001E52D2" w:rsidRPr="00B67B2D" w:rsidRDefault="001E52D2" w:rsidP="009D08CC">
      <w:pPr>
        <w:pStyle w:val="FootnoteText"/>
        <w:rPr>
          <w:rFonts w:asciiTheme="majorHAnsi" w:hAnsiTheme="majorHAnsi"/>
        </w:rPr>
      </w:pPr>
      <w:r w:rsidRPr="00B67B2D">
        <w:rPr>
          <w:rStyle w:val="FootnoteReference"/>
          <w:rFonts w:asciiTheme="majorHAnsi" w:hAnsiTheme="majorHAnsi"/>
        </w:rPr>
        <w:footnoteRef/>
      </w:r>
      <w:r w:rsidRPr="00B67B2D">
        <w:rPr>
          <w:rFonts w:asciiTheme="majorHAnsi" w:hAnsiTheme="majorHAnsi"/>
        </w:rPr>
        <w:t xml:space="preserve"> See Adalah, “Adalah to Finance Ministry: Reduction in child allowances disproportionately affects Arab families”, 9 May 2013: </w:t>
      </w:r>
      <w:hyperlink r:id="rId14" w:history="1">
        <w:r w:rsidRPr="00B67B2D">
          <w:rPr>
            <w:rStyle w:val="Hyperlink"/>
            <w:rFonts w:asciiTheme="majorHAnsi" w:hAnsiTheme="majorHAnsi"/>
          </w:rPr>
          <w:t>http://adalah.org/eng/Articles/2129/Adalah-to-Finance-Ministry:-Reduction-in-child</w:t>
        </w:r>
      </w:hyperlink>
      <w:r w:rsidRPr="00B67B2D">
        <w:rPr>
          <w:rFonts w:asciiTheme="majorHAnsi" w:hAnsiTheme="majorHAnsi"/>
        </w:rPr>
        <w:t>.</w:t>
      </w:r>
    </w:p>
  </w:footnote>
  <w:footnote w:id="14">
    <w:p w:rsidR="001E52D2" w:rsidRPr="00B67B2D" w:rsidRDefault="001E52D2" w:rsidP="006B7D7F">
      <w:pPr>
        <w:pStyle w:val="FootnoteText"/>
        <w:rPr>
          <w:rFonts w:asciiTheme="majorHAnsi" w:hAnsiTheme="majorHAnsi"/>
        </w:rPr>
      </w:pPr>
      <w:r w:rsidRPr="00B67B2D">
        <w:rPr>
          <w:rStyle w:val="FootnoteReference"/>
          <w:rFonts w:asciiTheme="majorHAnsi" w:hAnsiTheme="majorHAnsi"/>
        </w:rPr>
        <w:footnoteRef/>
      </w:r>
      <w:r w:rsidRPr="00B67B2D">
        <w:rPr>
          <w:rFonts w:asciiTheme="majorHAnsi" w:hAnsiTheme="majorHAnsi"/>
        </w:rPr>
        <w:t xml:space="preserve"> See Adalah</w:t>
      </w:r>
      <w:r w:rsidR="006B7D7F" w:rsidRPr="00B67B2D">
        <w:rPr>
          <w:rFonts w:asciiTheme="majorHAnsi" w:hAnsiTheme="majorHAnsi"/>
        </w:rPr>
        <w:t>,</w:t>
      </w:r>
      <w:r w:rsidRPr="00B67B2D">
        <w:rPr>
          <w:rFonts w:asciiTheme="majorHAnsi" w:hAnsiTheme="majorHAnsi"/>
        </w:rPr>
        <w:t xml:space="preserve"> </w:t>
      </w:r>
      <w:r w:rsidR="006B7D7F" w:rsidRPr="00B67B2D">
        <w:rPr>
          <w:rFonts w:asciiTheme="majorHAnsi" w:hAnsiTheme="majorHAnsi"/>
          <w:i/>
          <w:iCs/>
        </w:rPr>
        <w:t>The</w:t>
      </w:r>
      <w:r w:rsidR="006B7D7F" w:rsidRPr="00B67B2D">
        <w:rPr>
          <w:rFonts w:asciiTheme="majorHAnsi" w:hAnsiTheme="majorHAnsi"/>
        </w:rPr>
        <w:t xml:space="preserve"> </w:t>
      </w:r>
      <w:r w:rsidRPr="00B67B2D">
        <w:rPr>
          <w:rFonts w:asciiTheme="majorHAnsi" w:hAnsiTheme="majorHAnsi"/>
          <w:i/>
          <w:iCs/>
        </w:rPr>
        <w:t>Inequality Report</w:t>
      </w:r>
      <w:r w:rsidR="006B7D7F" w:rsidRPr="00B67B2D">
        <w:rPr>
          <w:rFonts w:asciiTheme="majorHAnsi" w:hAnsiTheme="majorHAnsi"/>
        </w:rPr>
        <w:t xml:space="preserve">, </w:t>
      </w:r>
      <w:r w:rsidRPr="00B67B2D">
        <w:rPr>
          <w:rFonts w:asciiTheme="majorHAnsi" w:hAnsiTheme="majorHAnsi"/>
        </w:rPr>
        <w:t>2011, p</w:t>
      </w:r>
      <w:r w:rsidR="006B7D7F" w:rsidRPr="00B67B2D">
        <w:rPr>
          <w:rFonts w:asciiTheme="majorHAnsi" w:hAnsiTheme="majorHAnsi"/>
        </w:rPr>
        <w:t xml:space="preserve">. </w:t>
      </w:r>
      <w:r w:rsidRPr="00B67B2D">
        <w:rPr>
          <w:rFonts w:asciiTheme="majorHAnsi" w:hAnsiTheme="majorHAnsi"/>
        </w:rPr>
        <w:t xml:space="preserve">19: </w:t>
      </w:r>
      <w:hyperlink r:id="rId15" w:history="1">
        <w:r w:rsidRPr="00B67B2D">
          <w:rPr>
            <w:rStyle w:val="Hyperlink"/>
            <w:rFonts w:asciiTheme="majorHAnsi" w:hAnsiTheme="majorHAnsi"/>
          </w:rPr>
          <w:t>http://adalah.org/upfiles/2011/Adalah_The_Inequality_Report_March_2011.pdf</w:t>
        </w:r>
      </w:hyperlink>
      <w:r w:rsidRPr="00B67B2D">
        <w:rPr>
          <w:rFonts w:asciiTheme="majorHAnsi" w:hAnsiTheme="majorHAnsi"/>
        </w:rPr>
        <w:t>.</w:t>
      </w:r>
    </w:p>
  </w:footnote>
  <w:footnote w:id="15">
    <w:p w:rsidR="00180DE4" w:rsidRPr="00B67B2D" w:rsidRDefault="00180DE4" w:rsidP="00180DE4">
      <w:pPr>
        <w:pStyle w:val="FootnoteText"/>
        <w:rPr>
          <w:rFonts w:asciiTheme="majorHAnsi" w:hAnsiTheme="majorHAnsi"/>
        </w:rPr>
      </w:pPr>
      <w:r w:rsidRPr="00B67B2D">
        <w:rPr>
          <w:rStyle w:val="FootnoteReference"/>
          <w:rFonts w:asciiTheme="majorHAnsi" w:hAnsiTheme="majorHAnsi"/>
        </w:rPr>
        <w:footnoteRef/>
      </w:r>
      <w:r w:rsidRPr="00B67B2D">
        <w:rPr>
          <w:rFonts w:asciiTheme="majorHAnsi" w:hAnsiTheme="majorHAnsi"/>
        </w:rPr>
        <w:t xml:space="preserve"> A petition to cancel the law was dismissed by the Supreme Court in June 2013; see Adalah, “Petition against state benefits cuts for unvaccinated children dismissed by Supreme Court”, 9 June 2013: </w:t>
      </w:r>
      <w:hyperlink r:id="rId16" w:history="1">
        <w:r w:rsidRPr="00B67B2D">
          <w:rPr>
            <w:rStyle w:val="Hyperlink"/>
            <w:rFonts w:asciiTheme="majorHAnsi" w:hAnsiTheme="majorHAnsi"/>
          </w:rPr>
          <w:t>http://adalah.org/eng/Articles/2145/Petition-against-state-benefits-cuts-for-children-</w:t>
        </w:r>
      </w:hyperlink>
      <w:r w:rsidRPr="00B67B2D">
        <w:rPr>
          <w:rFonts w:asciiTheme="majorHAnsi" w:hAnsiTheme="majorHAnsi"/>
        </w:rPr>
        <w:t>.</w:t>
      </w:r>
    </w:p>
  </w:footnote>
  <w:footnote w:id="16">
    <w:p w:rsidR="00B90F07" w:rsidRPr="00B67B2D" w:rsidRDefault="00B90F07" w:rsidP="009D08CC">
      <w:pPr>
        <w:pStyle w:val="FootnoteText"/>
        <w:rPr>
          <w:rFonts w:asciiTheme="majorHAnsi" w:hAnsiTheme="majorHAnsi"/>
        </w:rPr>
      </w:pPr>
      <w:r w:rsidRPr="00B67B2D">
        <w:rPr>
          <w:rStyle w:val="FootnoteReference"/>
          <w:rFonts w:asciiTheme="majorHAnsi" w:hAnsiTheme="majorHAnsi"/>
        </w:rPr>
        <w:footnoteRef/>
      </w:r>
      <w:r w:rsidRPr="00B67B2D">
        <w:rPr>
          <w:rFonts w:asciiTheme="majorHAnsi" w:hAnsiTheme="majorHAnsi"/>
        </w:rPr>
        <w:t xml:space="preserve"> See Adalah, “Bedouin in the Naqab reject Prawer Plan and propose Alternative Plan”, 18 July 2013: </w:t>
      </w:r>
      <w:hyperlink r:id="rId17" w:history="1">
        <w:r w:rsidRPr="00B67B2D">
          <w:rPr>
            <w:rStyle w:val="Hyperlink"/>
            <w:rFonts w:asciiTheme="majorHAnsi" w:hAnsiTheme="majorHAnsi"/>
          </w:rPr>
          <w:t>http://adalah.org/eng/Articles/2188/Bedouin-in-the-Naqab-Reject-Prawer-and-Propose-Plan</w:t>
        </w:r>
      </w:hyperlink>
      <w:r w:rsidRPr="00B67B2D">
        <w:rPr>
          <w:rFonts w:asciiTheme="majorHAnsi" w:hAnsiTheme="majorHAnsi"/>
        </w:rPr>
        <w:t>.</w:t>
      </w:r>
    </w:p>
  </w:footnote>
  <w:footnote w:id="17">
    <w:p w:rsidR="00F95BFE" w:rsidRPr="00B67B2D" w:rsidRDefault="00F95BFE" w:rsidP="009D08CC">
      <w:pPr>
        <w:pStyle w:val="FootnoteText"/>
        <w:rPr>
          <w:rFonts w:asciiTheme="majorHAnsi" w:hAnsiTheme="majorHAnsi"/>
        </w:rPr>
      </w:pPr>
      <w:r w:rsidRPr="00B67B2D">
        <w:rPr>
          <w:rStyle w:val="FootnoteReference"/>
          <w:rFonts w:asciiTheme="majorHAnsi" w:hAnsiTheme="majorHAnsi"/>
        </w:rPr>
        <w:footnoteRef/>
      </w:r>
      <w:r w:rsidRPr="00B67B2D">
        <w:rPr>
          <w:rFonts w:asciiTheme="majorHAnsi" w:hAnsiTheme="majorHAnsi"/>
        </w:rPr>
        <w:t xml:space="preserve"> See Adalah, “Two years since Prawer…</w:t>
      </w:r>
      <w:r w:rsidR="009D08CC" w:rsidRPr="00B67B2D">
        <w:rPr>
          <w:rFonts w:asciiTheme="majorHAnsi" w:hAnsiTheme="majorHAnsi"/>
        </w:rPr>
        <w:t xml:space="preserve"> </w:t>
      </w:r>
      <w:r w:rsidRPr="00B67B2D">
        <w:rPr>
          <w:rFonts w:asciiTheme="majorHAnsi" w:hAnsiTheme="majorHAnsi"/>
        </w:rPr>
        <w:t xml:space="preserve">What’s next?” 11 September 2013: </w:t>
      </w:r>
      <w:hyperlink r:id="rId18" w:history="1">
        <w:r w:rsidRPr="00B67B2D">
          <w:rPr>
            <w:rStyle w:val="Hyperlink"/>
            <w:rFonts w:asciiTheme="majorHAnsi" w:hAnsiTheme="majorHAnsi"/>
          </w:rPr>
          <w:t>http://www.adalah.org/eng/Articles/2204/Two-years-since-Prawer...Whats-next-An-Article-by</w:t>
        </w:r>
      </w:hyperlink>
      <w:r w:rsidRPr="00B67B2D">
        <w:rPr>
          <w:rFonts w:asciiTheme="majorHAnsi" w:hAnsiTheme="majorHAnsi"/>
        </w:rPr>
        <w:t>.</w:t>
      </w:r>
    </w:p>
  </w:footnote>
  <w:footnote w:id="18">
    <w:p w:rsidR="0019607A" w:rsidRPr="00B67B2D" w:rsidRDefault="0019607A" w:rsidP="009D08CC">
      <w:pPr>
        <w:pStyle w:val="FootnoteText"/>
        <w:rPr>
          <w:rFonts w:asciiTheme="majorHAnsi" w:hAnsiTheme="majorHAnsi"/>
        </w:rPr>
      </w:pPr>
      <w:r w:rsidRPr="00B67B2D">
        <w:rPr>
          <w:rStyle w:val="FootnoteReference"/>
          <w:rFonts w:asciiTheme="majorHAnsi" w:hAnsiTheme="majorHAnsi"/>
        </w:rPr>
        <w:footnoteRef/>
      </w:r>
      <w:r w:rsidRPr="00B67B2D">
        <w:rPr>
          <w:rFonts w:asciiTheme="majorHAnsi" w:hAnsiTheme="majorHAnsi"/>
        </w:rPr>
        <w:t xml:space="preserve"> See Human Rights Watch, “Israel: Excessive Force Against Protesters”, 18 July 2013: </w:t>
      </w:r>
      <w:hyperlink r:id="rId19" w:history="1">
        <w:r w:rsidRPr="00B67B2D">
          <w:rPr>
            <w:rStyle w:val="Hyperlink"/>
            <w:rFonts w:asciiTheme="majorHAnsi" w:hAnsiTheme="majorHAnsi"/>
          </w:rPr>
          <w:t>http://www.hrw.org/news/2013/07/18/israel-excessive-force-against-protesters</w:t>
        </w:r>
      </w:hyperlink>
      <w:r w:rsidR="007B5636" w:rsidRPr="00B67B2D">
        <w:rPr>
          <w:rFonts w:asciiTheme="majorHAnsi" w:hAnsiTheme="majorHAnsi"/>
        </w:rPr>
        <w:t xml:space="preserve">; Adalah press release </w:t>
      </w:r>
      <w:r w:rsidRPr="00B67B2D">
        <w:rPr>
          <w:rFonts w:asciiTheme="majorHAnsi" w:hAnsiTheme="majorHAnsi"/>
        </w:rPr>
        <w:t xml:space="preserve">on 1 August 2013: </w:t>
      </w:r>
      <w:hyperlink r:id="rId20" w:history="1">
        <w:r w:rsidRPr="00B67B2D">
          <w:rPr>
            <w:rStyle w:val="Hyperlink"/>
            <w:rFonts w:asciiTheme="majorHAnsi" w:hAnsiTheme="majorHAnsi"/>
          </w:rPr>
          <w:t>http://www.adalah.org/eng/Articles/2196/All-Demonstrators-Detained-at-anti-Prawer-in</w:t>
        </w:r>
      </w:hyperlink>
      <w:r w:rsidRPr="00B67B2D">
        <w:rPr>
          <w:rFonts w:asciiTheme="majorHAnsi" w:hAnsiTheme="majorHAnsi"/>
        </w:rPr>
        <w:t>.</w:t>
      </w:r>
    </w:p>
  </w:footnote>
  <w:footnote w:id="19">
    <w:p w:rsidR="007C4556" w:rsidRPr="00B67B2D" w:rsidRDefault="007C4556" w:rsidP="009D08CC">
      <w:pPr>
        <w:pStyle w:val="FootnoteText"/>
        <w:rPr>
          <w:rFonts w:asciiTheme="majorHAnsi" w:hAnsiTheme="majorHAnsi"/>
        </w:rPr>
      </w:pPr>
      <w:r w:rsidRPr="00B67B2D">
        <w:rPr>
          <w:rStyle w:val="FootnoteReference"/>
          <w:rFonts w:asciiTheme="majorHAnsi" w:hAnsiTheme="majorHAnsi"/>
        </w:rPr>
        <w:footnoteRef/>
      </w:r>
      <w:r w:rsidRPr="00B67B2D">
        <w:rPr>
          <w:rFonts w:asciiTheme="majorHAnsi" w:hAnsiTheme="majorHAnsi"/>
        </w:rPr>
        <w:t xml:space="preserve"> See Adalah position paper, “The Prawer-Begin Bill and the Forced Displacement of the Bedouin”, May 2013: </w:t>
      </w:r>
      <w:hyperlink r:id="rId21" w:history="1">
        <w:r w:rsidRPr="00B67B2D">
          <w:rPr>
            <w:rStyle w:val="Hyperlink"/>
            <w:rFonts w:asciiTheme="majorHAnsi" w:hAnsiTheme="majorHAnsi"/>
          </w:rPr>
          <w:t>http://adalah.org/Public/files/English/Publications/Articles/2013/Prawer-Begin-Plan-Background-Adalah.pdf</w:t>
        </w:r>
      </w:hyperlink>
      <w:r w:rsidRPr="00B67B2D">
        <w:rPr>
          <w:rFonts w:asciiTheme="majorHAnsi" w:hAnsiTheme="majorHAnsi"/>
        </w:rPr>
        <w:t>.</w:t>
      </w:r>
    </w:p>
  </w:footnote>
  <w:footnote w:id="20">
    <w:p w:rsidR="00474EAD" w:rsidRPr="00B67B2D" w:rsidRDefault="00474EAD" w:rsidP="009D08CC">
      <w:pPr>
        <w:pStyle w:val="FootnoteText"/>
        <w:rPr>
          <w:rFonts w:asciiTheme="majorHAnsi" w:hAnsiTheme="majorHAnsi"/>
        </w:rPr>
      </w:pPr>
      <w:r w:rsidRPr="00B67B2D">
        <w:rPr>
          <w:rStyle w:val="FootnoteReference"/>
          <w:rFonts w:asciiTheme="majorHAnsi" w:hAnsiTheme="majorHAnsi"/>
        </w:rPr>
        <w:footnoteRef/>
      </w:r>
      <w:r w:rsidRPr="00B67B2D">
        <w:rPr>
          <w:rFonts w:asciiTheme="majorHAnsi" w:hAnsiTheme="majorHAnsi"/>
        </w:rPr>
        <w:t xml:space="preserve"> See Adalah, “Knesset approves forced displacement of Arab Bedouin”, 25 June 2013: </w:t>
      </w:r>
      <w:hyperlink r:id="rId22" w:history="1">
        <w:r w:rsidRPr="00B67B2D">
          <w:rPr>
            <w:rStyle w:val="Hyperlink"/>
            <w:rFonts w:asciiTheme="majorHAnsi" w:hAnsiTheme="majorHAnsi"/>
          </w:rPr>
          <w:t>http://adalah.org/eng/Articles/2176/Knesset-approves-forced-displacement-of-Arab</w:t>
        </w:r>
      </w:hyperlink>
      <w:r w:rsidRPr="00B67B2D">
        <w:rPr>
          <w:rFonts w:asciiTheme="majorHAnsi" w:hAnsiTheme="maj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63" w:rsidRDefault="00CB5563" w:rsidP="00EA58DD">
    <w:pPr>
      <w:pStyle w:val="Header"/>
      <w:jc w:val="center"/>
    </w:pPr>
    <w:r>
      <w:rPr>
        <w:noProof/>
        <w:rtl/>
      </w:rPr>
      <w:drawing>
        <wp:inline distT="0" distB="0" distL="0" distR="0" wp14:anchorId="5300D17D" wp14:editId="617178CE">
          <wp:extent cx="5705475" cy="709772"/>
          <wp:effectExtent l="0" t="0" r="0" b="0"/>
          <wp:docPr id="2" name="Picture 2" descr="letterhead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542" cy="71761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DE"/>
    <w:rsid w:val="00002EB2"/>
    <w:rsid w:val="00003CC6"/>
    <w:rsid w:val="00020E79"/>
    <w:rsid w:val="00022E59"/>
    <w:rsid w:val="0002709A"/>
    <w:rsid w:val="00030A65"/>
    <w:rsid w:val="0003350D"/>
    <w:rsid w:val="00035153"/>
    <w:rsid w:val="000351D8"/>
    <w:rsid w:val="000431E5"/>
    <w:rsid w:val="00046A06"/>
    <w:rsid w:val="00057A41"/>
    <w:rsid w:val="00060015"/>
    <w:rsid w:val="00064D34"/>
    <w:rsid w:val="00066948"/>
    <w:rsid w:val="0007215B"/>
    <w:rsid w:val="00075C1C"/>
    <w:rsid w:val="000817A6"/>
    <w:rsid w:val="000848DB"/>
    <w:rsid w:val="00085BD7"/>
    <w:rsid w:val="000A67A1"/>
    <w:rsid w:val="000A72F4"/>
    <w:rsid w:val="000B3736"/>
    <w:rsid w:val="000C16C1"/>
    <w:rsid w:val="000C27CB"/>
    <w:rsid w:val="000C68A3"/>
    <w:rsid w:val="000D1A7A"/>
    <w:rsid w:val="000D6D91"/>
    <w:rsid w:val="000E3AA6"/>
    <w:rsid w:val="000E78D8"/>
    <w:rsid w:val="000F4461"/>
    <w:rsid w:val="00101F63"/>
    <w:rsid w:val="0010268B"/>
    <w:rsid w:val="00103976"/>
    <w:rsid w:val="00106681"/>
    <w:rsid w:val="00112207"/>
    <w:rsid w:val="00115AD5"/>
    <w:rsid w:val="00127AD7"/>
    <w:rsid w:val="00130E23"/>
    <w:rsid w:val="00130FA7"/>
    <w:rsid w:val="0013428F"/>
    <w:rsid w:val="0014290E"/>
    <w:rsid w:val="00144FE4"/>
    <w:rsid w:val="00145E92"/>
    <w:rsid w:val="0014664B"/>
    <w:rsid w:val="00150128"/>
    <w:rsid w:val="00156505"/>
    <w:rsid w:val="001716A4"/>
    <w:rsid w:val="00172ABA"/>
    <w:rsid w:val="001754E4"/>
    <w:rsid w:val="00180DE4"/>
    <w:rsid w:val="00190A2B"/>
    <w:rsid w:val="0019607A"/>
    <w:rsid w:val="0019722F"/>
    <w:rsid w:val="001B0FE5"/>
    <w:rsid w:val="001B5865"/>
    <w:rsid w:val="001B5D37"/>
    <w:rsid w:val="001C3DEA"/>
    <w:rsid w:val="001C7A93"/>
    <w:rsid w:val="001C7D24"/>
    <w:rsid w:val="001D419A"/>
    <w:rsid w:val="001E52D2"/>
    <w:rsid w:val="001E70CC"/>
    <w:rsid w:val="001F7B7B"/>
    <w:rsid w:val="0020064A"/>
    <w:rsid w:val="00200651"/>
    <w:rsid w:val="00217E66"/>
    <w:rsid w:val="00222437"/>
    <w:rsid w:val="00241976"/>
    <w:rsid w:val="002441D0"/>
    <w:rsid w:val="00246331"/>
    <w:rsid w:val="002500FA"/>
    <w:rsid w:val="0025500C"/>
    <w:rsid w:val="00267788"/>
    <w:rsid w:val="00271566"/>
    <w:rsid w:val="00276A73"/>
    <w:rsid w:val="002847A6"/>
    <w:rsid w:val="00287948"/>
    <w:rsid w:val="0029274B"/>
    <w:rsid w:val="00294A29"/>
    <w:rsid w:val="002A393A"/>
    <w:rsid w:val="002A5098"/>
    <w:rsid w:val="002A590B"/>
    <w:rsid w:val="002C4ACF"/>
    <w:rsid w:val="002D1B6F"/>
    <w:rsid w:val="002D32CA"/>
    <w:rsid w:val="002D44D8"/>
    <w:rsid w:val="002D52C5"/>
    <w:rsid w:val="002D73A6"/>
    <w:rsid w:val="002D7A3E"/>
    <w:rsid w:val="002E219F"/>
    <w:rsid w:val="002F26A3"/>
    <w:rsid w:val="002F5976"/>
    <w:rsid w:val="00303729"/>
    <w:rsid w:val="00304283"/>
    <w:rsid w:val="00312FEC"/>
    <w:rsid w:val="003467BB"/>
    <w:rsid w:val="003471EB"/>
    <w:rsid w:val="00353449"/>
    <w:rsid w:val="003635EC"/>
    <w:rsid w:val="00363628"/>
    <w:rsid w:val="00366AE8"/>
    <w:rsid w:val="003717D8"/>
    <w:rsid w:val="003726D9"/>
    <w:rsid w:val="00383C43"/>
    <w:rsid w:val="00387B7E"/>
    <w:rsid w:val="0039187F"/>
    <w:rsid w:val="00391A35"/>
    <w:rsid w:val="0039231A"/>
    <w:rsid w:val="00397E63"/>
    <w:rsid w:val="003A462D"/>
    <w:rsid w:val="003B0F73"/>
    <w:rsid w:val="003B3C5C"/>
    <w:rsid w:val="003B79B9"/>
    <w:rsid w:val="003C1FDE"/>
    <w:rsid w:val="003C5687"/>
    <w:rsid w:val="003D1618"/>
    <w:rsid w:val="003D49A8"/>
    <w:rsid w:val="003D50D1"/>
    <w:rsid w:val="003E22F5"/>
    <w:rsid w:val="003F086A"/>
    <w:rsid w:val="0040733A"/>
    <w:rsid w:val="00410AB4"/>
    <w:rsid w:val="00410BC7"/>
    <w:rsid w:val="00410F7A"/>
    <w:rsid w:val="004128D0"/>
    <w:rsid w:val="00420BF1"/>
    <w:rsid w:val="0042317D"/>
    <w:rsid w:val="00423EA5"/>
    <w:rsid w:val="00430029"/>
    <w:rsid w:val="004300C6"/>
    <w:rsid w:val="0043171B"/>
    <w:rsid w:val="0043670B"/>
    <w:rsid w:val="00437414"/>
    <w:rsid w:val="00451CDE"/>
    <w:rsid w:val="00465BD1"/>
    <w:rsid w:val="0047455B"/>
    <w:rsid w:val="00474EAD"/>
    <w:rsid w:val="00475581"/>
    <w:rsid w:val="00480A94"/>
    <w:rsid w:val="004826A7"/>
    <w:rsid w:val="004941AE"/>
    <w:rsid w:val="004A5FD8"/>
    <w:rsid w:val="004B2218"/>
    <w:rsid w:val="004B4530"/>
    <w:rsid w:val="004B4B57"/>
    <w:rsid w:val="004C2504"/>
    <w:rsid w:val="004C302E"/>
    <w:rsid w:val="004C44EC"/>
    <w:rsid w:val="004C7756"/>
    <w:rsid w:val="004D06AB"/>
    <w:rsid w:val="004D6E8C"/>
    <w:rsid w:val="004E1C45"/>
    <w:rsid w:val="004E7AF6"/>
    <w:rsid w:val="004F20CF"/>
    <w:rsid w:val="004F70B8"/>
    <w:rsid w:val="004F7314"/>
    <w:rsid w:val="00512295"/>
    <w:rsid w:val="00514632"/>
    <w:rsid w:val="005248F7"/>
    <w:rsid w:val="00531230"/>
    <w:rsid w:val="00533578"/>
    <w:rsid w:val="00534D20"/>
    <w:rsid w:val="00537FDA"/>
    <w:rsid w:val="0054057B"/>
    <w:rsid w:val="00556996"/>
    <w:rsid w:val="00557998"/>
    <w:rsid w:val="005652AD"/>
    <w:rsid w:val="00570E92"/>
    <w:rsid w:val="005722A3"/>
    <w:rsid w:val="005733F4"/>
    <w:rsid w:val="00576FB4"/>
    <w:rsid w:val="00585C8F"/>
    <w:rsid w:val="00592E45"/>
    <w:rsid w:val="00597004"/>
    <w:rsid w:val="005A446F"/>
    <w:rsid w:val="005A5747"/>
    <w:rsid w:val="005C07EB"/>
    <w:rsid w:val="005D2087"/>
    <w:rsid w:val="005E30A1"/>
    <w:rsid w:val="005E39D9"/>
    <w:rsid w:val="005E58BE"/>
    <w:rsid w:val="005F2E42"/>
    <w:rsid w:val="005F322B"/>
    <w:rsid w:val="005F6AFE"/>
    <w:rsid w:val="006031C0"/>
    <w:rsid w:val="0060380D"/>
    <w:rsid w:val="006104D8"/>
    <w:rsid w:val="006220C4"/>
    <w:rsid w:val="00627978"/>
    <w:rsid w:val="006317D2"/>
    <w:rsid w:val="006342BA"/>
    <w:rsid w:val="006352BD"/>
    <w:rsid w:val="006370D4"/>
    <w:rsid w:val="006455A5"/>
    <w:rsid w:val="00646756"/>
    <w:rsid w:val="00652A23"/>
    <w:rsid w:val="00663385"/>
    <w:rsid w:val="006637FF"/>
    <w:rsid w:val="00691039"/>
    <w:rsid w:val="00691C23"/>
    <w:rsid w:val="00696AD3"/>
    <w:rsid w:val="006B0DBC"/>
    <w:rsid w:val="006B374B"/>
    <w:rsid w:val="006B7D7F"/>
    <w:rsid w:val="006C0054"/>
    <w:rsid w:val="006D1A99"/>
    <w:rsid w:val="006D6EB8"/>
    <w:rsid w:val="006E04B8"/>
    <w:rsid w:val="006E39E3"/>
    <w:rsid w:val="006E6EAE"/>
    <w:rsid w:val="006F4053"/>
    <w:rsid w:val="00703662"/>
    <w:rsid w:val="007104DC"/>
    <w:rsid w:val="00711210"/>
    <w:rsid w:val="00711F1F"/>
    <w:rsid w:val="007123EE"/>
    <w:rsid w:val="00713EE7"/>
    <w:rsid w:val="007219C1"/>
    <w:rsid w:val="00721BF2"/>
    <w:rsid w:val="00730ADC"/>
    <w:rsid w:val="00730C2B"/>
    <w:rsid w:val="00732143"/>
    <w:rsid w:val="00732E29"/>
    <w:rsid w:val="0073497E"/>
    <w:rsid w:val="007415C0"/>
    <w:rsid w:val="0075322C"/>
    <w:rsid w:val="00754AAC"/>
    <w:rsid w:val="00770C80"/>
    <w:rsid w:val="007719E8"/>
    <w:rsid w:val="00772209"/>
    <w:rsid w:val="0077297E"/>
    <w:rsid w:val="00775151"/>
    <w:rsid w:val="00775FCB"/>
    <w:rsid w:val="00776CFD"/>
    <w:rsid w:val="00777E6D"/>
    <w:rsid w:val="007907AE"/>
    <w:rsid w:val="007913F5"/>
    <w:rsid w:val="007955E9"/>
    <w:rsid w:val="007A1021"/>
    <w:rsid w:val="007B5636"/>
    <w:rsid w:val="007C41EB"/>
    <w:rsid w:val="007C4556"/>
    <w:rsid w:val="007D408B"/>
    <w:rsid w:val="007E2A13"/>
    <w:rsid w:val="007E370B"/>
    <w:rsid w:val="007E4A70"/>
    <w:rsid w:val="00802E37"/>
    <w:rsid w:val="00805CAD"/>
    <w:rsid w:val="00824FFC"/>
    <w:rsid w:val="00826FCC"/>
    <w:rsid w:val="008274C3"/>
    <w:rsid w:val="008278A4"/>
    <w:rsid w:val="00834869"/>
    <w:rsid w:val="00843024"/>
    <w:rsid w:val="00843397"/>
    <w:rsid w:val="008450A8"/>
    <w:rsid w:val="0085218D"/>
    <w:rsid w:val="00855643"/>
    <w:rsid w:val="0086274A"/>
    <w:rsid w:val="008655C8"/>
    <w:rsid w:val="008919F0"/>
    <w:rsid w:val="008A707F"/>
    <w:rsid w:val="008B41E4"/>
    <w:rsid w:val="008C17AC"/>
    <w:rsid w:val="008C548B"/>
    <w:rsid w:val="008C75F6"/>
    <w:rsid w:val="008E1C6E"/>
    <w:rsid w:val="008E5B28"/>
    <w:rsid w:val="008F153D"/>
    <w:rsid w:val="008F4093"/>
    <w:rsid w:val="00901336"/>
    <w:rsid w:val="0090551A"/>
    <w:rsid w:val="009120E1"/>
    <w:rsid w:val="00912CC8"/>
    <w:rsid w:val="00916E3D"/>
    <w:rsid w:val="00922101"/>
    <w:rsid w:val="00930839"/>
    <w:rsid w:val="009321C4"/>
    <w:rsid w:val="00935861"/>
    <w:rsid w:val="009516B6"/>
    <w:rsid w:val="00952305"/>
    <w:rsid w:val="00952A50"/>
    <w:rsid w:val="00955A8C"/>
    <w:rsid w:val="00956559"/>
    <w:rsid w:val="00957159"/>
    <w:rsid w:val="00957B3F"/>
    <w:rsid w:val="00961CF4"/>
    <w:rsid w:val="009638A8"/>
    <w:rsid w:val="00964574"/>
    <w:rsid w:val="00971B82"/>
    <w:rsid w:val="00971F3C"/>
    <w:rsid w:val="00977126"/>
    <w:rsid w:val="009945D2"/>
    <w:rsid w:val="009952C5"/>
    <w:rsid w:val="009A2199"/>
    <w:rsid w:val="009B3F90"/>
    <w:rsid w:val="009B726D"/>
    <w:rsid w:val="009C16DF"/>
    <w:rsid w:val="009D08CC"/>
    <w:rsid w:val="009D265A"/>
    <w:rsid w:val="009D7E86"/>
    <w:rsid w:val="009E3CA5"/>
    <w:rsid w:val="009E50AF"/>
    <w:rsid w:val="00A0073D"/>
    <w:rsid w:val="00A047FA"/>
    <w:rsid w:val="00A056ED"/>
    <w:rsid w:val="00A10202"/>
    <w:rsid w:val="00A32548"/>
    <w:rsid w:val="00A64585"/>
    <w:rsid w:val="00A74B18"/>
    <w:rsid w:val="00A838D5"/>
    <w:rsid w:val="00A96B90"/>
    <w:rsid w:val="00AA1E96"/>
    <w:rsid w:val="00AA3E84"/>
    <w:rsid w:val="00AA5A26"/>
    <w:rsid w:val="00AA7633"/>
    <w:rsid w:val="00AC21ED"/>
    <w:rsid w:val="00AC4737"/>
    <w:rsid w:val="00AC5568"/>
    <w:rsid w:val="00AD308E"/>
    <w:rsid w:val="00AD3549"/>
    <w:rsid w:val="00AF3BA8"/>
    <w:rsid w:val="00B020F5"/>
    <w:rsid w:val="00B03E6E"/>
    <w:rsid w:val="00B042A0"/>
    <w:rsid w:val="00B04727"/>
    <w:rsid w:val="00B13B7C"/>
    <w:rsid w:val="00B20799"/>
    <w:rsid w:val="00B316A5"/>
    <w:rsid w:val="00B32E3E"/>
    <w:rsid w:val="00B43F56"/>
    <w:rsid w:val="00B606E4"/>
    <w:rsid w:val="00B610B0"/>
    <w:rsid w:val="00B67B2D"/>
    <w:rsid w:val="00B709D5"/>
    <w:rsid w:val="00B737F2"/>
    <w:rsid w:val="00B762D6"/>
    <w:rsid w:val="00B90F07"/>
    <w:rsid w:val="00B9442B"/>
    <w:rsid w:val="00B953DD"/>
    <w:rsid w:val="00BA7E59"/>
    <w:rsid w:val="00BB1B3F"/>
    <w:rsid w:val="00BB2FE5"/>
    <w:rsid w:val="00BB4245"/>
    <w:rsid w:val="00BB452D"/>
    <w:rsid w:val="00BC23DD"/>
    <w:rsid w:val="00BC7BBF"/>
    <w:rsid w:val="00BD5306"/>
    <w:rsid w:val="00BD59E4"/>
    <w:rsid w:val="00BF1443"/>
    <w:rsid w:val="00C0103D"/>
    <w:rsid w:val="00C02AC5"/>
    <w:rsid w:val="00C02D6E"/>
    <w:rsid w:val="00C1115C"/>
    <w:rsid w:val="00C1570C"/>
    <w:rsid w:val="00C45258"/>
    <w:rsid w:val="00C54C2B"/>
    <w:rsid w:val="00C57CCF"/>
    <w:rsid w:val="00C64868"/>
    <w:rsid w:val="00C669E2"/>
    <w:rsid w:val="00C713E9"/>
    <w:rsid w:val="00C7166E"/>
    <w:rsid w:val="00C734F0"/>
    <w:rsid w:val="00C83ABA"/>
    <w:rsid w:val="00C84342"/>
    <w:rsid w:val="00C856A7"/>
    <w:rsid w:val="00CA48E1"/>
    <w:rsid w:val="00CB0F9C"/>
    <w:rsid w:val="00CB3540"/>
    <w:rsid w:val="00CB5563"/>
    <w:rsid w:val="00CC0898"/>
    <w:rsid w:val="00D07DA0"/>
    <w:rsid w:val="00D11BA0"/>
    <w:rsid w:val="00D14F3A"/>
    <w:rsid w:val="00D21BFF"/>
    <w:rsid w:val="00D2292A"/>
    <w:rsid w:val="00D231F6"/>
    <w:rsid w:val="00D408EA"/>
    <w:rsid w:val="00D51606"/>
    <w:rsid w:val="00D54859"/>
    <w:rsid w:val="00D6261E"/>
    <w:rsid w:val="00D62DAB"/>
    <w:rsid w:val="00D70DC7"/>
    <w:rsid w:val="00D71D27"/>
    <w:rsid w:val="00D72B0B"/>
    <w:rsid w:val="00D77A7F"/>
    <w:rsid w:val="00D8312B"/>
    <w:rsid w:val="00D84995"/>
    <w:rsid w:val="00D96591"/>
    <w:rsid w:val="00DA77A0"/>
    <w:rsid w:val="00DD07BB"/>
    <w:rsid w:val="00DD29A8"/>
    <w:rsid w:val="00DD3B1C"/>
    <w:rsid w:val="00DE682B"/>
    <w:rsid w:val="00DF0D5D"/>
    <w:rsid w:val="00DF2D12"/>
    <w:rsid w:val="00E06FDE"/>
    <w:rsid w:val="00E07F72"/>
    <w:rsid w:val="00E1073E"/>
    <w:rsid w:val="00E114FC"/>
    <w:rsid w:val="00E22E46"/>
    <w:rsid w:val="00E273C8"/>
    <w:rsid w:val="00E47938"/>
    <w:rsid w:val="00E55F4E"/>
    <w:rsid w:val="00E71AC8"/>
    <w:rsid w:val="00E71C09"/>
    <w:rsid w:val="00E83B8E"/>
    <w:rsid w:val="00E87BB6"/>
    <w:rsid w:val="00EA2AAA"/>
    <w:rsid w:val="00EA58DD"/>
    <w:rsid w:val="00EB1C84"/>
    <w:rsid w:val="00EB5A02"/>
    <w:rsid w:val="00EC158B"/>
    <w:rsid w:val="00EC71F8"/>
    <w:rsid w:val="00EE37D9"/>
    <w:rsid w:val="00EE43F3"/>
    <w:rsid w:val="00EF1F34"/>
    <w:rsid w:val="00F012AB"/>
    <w:rsid w:val="00F02CBE"/>
    <w:rsid w:val="00F217F9"/>
    <w:rsid w:val="00F3034C"/>
    <w:rsid w:val="00F32AD2"/>
    <w:rsid w:val="00F453E3"/>
    <w:rsid w:val="00F478E3"/>
    <w:rsid w:val="00F60CDA"/>
    <w:rsid w:val="00F612D2"/>
    <w:rsid w:val="00F65026"/>
    <w:rsid w:val="00F77F88"/>
    <w:rsid w:val="00F80CC3"/>
    <w:rsid w:val="00F81ACF"/>
    <w:rsid w:val="00F8298F"/>
    <w:rsid w:val="00F82D12"/>
    <w:rsid w:val="00F84EE3"/>
    <w:rsid w:val="00F9121E"/>
    <w:rsid w:val="00F95BFE"/>
    <w:rsid w:val="00F9718A"/>
    <w:rsid w:val="00F977AC"/>
    <w:rsid w:val="00FB1876"/>
    <w:rsid w:val="00FC085B"/>
    <w:rsid w:val="00FC2474"/>
    <w:rsid w:val="00FD2656"/>
    <w:rsid w:val="00FD5CCA"/>
    <w:rsid w:val="00FD60F0"/>
    <w:rsid w:val="00FD673D"/>
    <w:rsid w:val="00FD7D16"/>
    <w:rsid w:val="00FE4BC8"/>
    <w:rsid w:val="00FE5D19"/>
    <w:rsid w:val="00FF1C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5861"/>
  </w:style>
  <w:style w:type="paragraph" w:styleId="ListParagraph">
    <w:name w:val="List Paragraph"/>
    <w:basedOn w:val="Normal"/>
    <w:uiPriority w:val="34"/>
    <w:qFormat/>
    <w:rsid w:val="00DE682B"/>
    <w:pPr>
      <w:ind w:left="720"/>
      <w:contextualSpacing/>
    </w:pPr>
  </w:style>
  <w:style w:type="character" w:styleId="Hyperlink">
    <w:name w:val="Hyperlink"/>
    <w:basedOn w:val="DefaultParagraphFont"/>
    <w:uiPriority w:val="99"/>
    <w:unhideWhenUsed/>
    <w:rsid w:val="00353449"/>
    <w:rPr>
      <w:color w:val="0000FF" w:themeColor="hyperlink"/>
      <w:u w:val="single"/>
    </w:rPr>
  </w:style>
  <w:style w:type="paragraph" w:styleId="Header">
    <w:name w:val="header"/>
    <w:basedOn w:val="Normal"/>
    <w:link w:val="HeaderChar"/>
    <w:uiPriority w:val="99"/>
    <w:unhideWhenUsed/>
    <w:rsid w:val="00CB5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563"/>
  </w:style>
  <w:style w:type="paragraph" w:styleId="Footer">
    <w:name w:val="footer"/>
    <w:basedOn w:val="Normal"/>
    <w:link w:val="FooterChar"/>
    <w:uiPriority w:val="99"/>
    <w:unhideWhenUsed/>
    <w:rsid w:val="00CB5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563"/>
  </w:style>
  <w:style w:type="paragraph" w:styleId="BalloonText">
    <w:name w:val="Balloon Text"/>
    <w:basedOn w:val="Normal"/>
    <w:link w:val="BalloonTextChar"/>
    <w:uiPriority w:val="99"/>
    <w:semiHidden/>
    <w:unhideWhenUsed/>
    <w:rsid w:val="00CB5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563"/>
    <w:rPr>
      <w:rFonts w:ascii="Tahoma" w:hAnsi="Tahoma" w:cs="Tahoma"/>
      <w:sz w:val="16"/>
      <w:szCs w:val="16"/>
    </w:rPr>
  </w:style>
  <w:style w:type="paragraph" w:styleId="FootnoteText">
    <w:name w:val="footnote text"/>
    <w:aliases w:val="Footnote Text Char Char Char Char Char,Footnote Text Char Char Char Char,Footnote reference,FA Fu, Char,Char,Sharp - Footnote Text,Footnote Text - Sharp,Sharp - Footnote Text1 Char,Footnote Text Char Char Char,Note de bas de page Car,5_G"/>
    <w:basedOn w:val="Normal"/>
    <w:link w:val="FootnoteTextChar"/>
    <w:unhideWhenUsed/>
    <w:rsid w:val="00533578"/>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 Char Char,Char Char,Sharp - Footnote Text Char,Footnote Text - Sharp Char,Sharp - Footnote Text1 Char Char"/>
    <w:basedOn w:val="DefaultParagraphFont"/>
    <w:link w:val="FootnoteText"/>
    <w:rsid w:val="00533578"/>
    <w:rPr>
      <w:sz w:val="20"/>
      <w:szCs w:val="20"/>
    </w:rPr>
  </w:style>
  <w:style w:type="character" w:styleId="FootnoteReference">
    <w:name w:val="footnote reference"/>
    <w:aliases w:val="4_G"/>
    <w:basedOn w:val="DefaultParagraphFont"/>
    <w:unhideWhenUsed/>
    <w:rsid w:val="00533578"/>
    <w:rPr>
      <w:vertAlign w:val="superscript"/>
    </w:rPr>
  </w:style>
  <w:style w:type="character" w:customStyle="1" w:styleId="hps">
    <w:name w:val="hps"/>
    <w:basedOn w:val="DefaultParagraphFont"/>
    <w:rsid w:val="00E71C09"/>
  </w:style>
  <w:style w:type="character" w:styleId="CommentReference">
    <w:name w:val="annotation reference"/>
    <w:basedOn w:val="DefaultParagraphFont"/>
    <w:uiPriority w:val="99"/>
    <w:semiHidden/>
    <w:unhideWhenUsed/>
    <w:rsid w:val="00075C1C"/>
    <w:rPr>
      <w:sz w:val="16"/>
      <w:szCs w:val="16"/>
    </w:rPr>
  </w:style>
  <w:style w:type="paragraph" w:styleId="CommentText">
    <w:name w:val="annotation text"/>
    <w:basedOn w:val="Normal"/>
    <w:link w:val="CommentTextChar"/>
    <w:uiPriority w:val="99"/>
    <w:semiHidden/>
    <w:unhideWhenUsed/>
    <w:rsid w:val="00075C1C"/>
    <w:pPr>
      <w:spacing w:line="240" w:lineRule="auto"/>
    </w:pPr>
    <w:rPr>
      <w:sz w:val="20"/>
      <w:szCs w:val="20"/>
    </w:rPr>
  </w:style>
  <w:style w:type="character" w:customStyle="1" w:styleId="CommentTextChar">
    <w:name w:val="Comment Text Char"/>
    <w:basedOn w:val="DefaultParagraphFont"/>
    <w:link w:val="CommentText"/>
    <w:uiPriority w:val="99"/>
    <w:semiHidden/>
    <w:rsid w:val="00075C1C"/>
    <w:rPr>
      <w:sz w:val="20"/>
      <w:szCs w:val="20"/>
    </w:rPr>
  </w:style>
  <w:style w:type="paragraph" w:styleId="CommentSubject">
    <w:name w:val="annotation subject"/>
    <w:basedOn w:val="CommentText"/>
    <w:next w:val="CommentText"/>
    <w:link w:val="CommentSubjectChar"/>
    <w:uiPriority w:val="99"/>
    <w:semiHidden/>
    <w:unhideWhenUsed/>
    <w:rsid w:val="00075C1C"/>
    <w:rPr>
      <w:b/>
      <w:bCs/>
    </w:rPr>
  </w:style>
  <w:style w:type="character" w:customStyle="1" w:styleId="CommentSubjectChar">
    <w:name w:val="Comment Subject Char"/>
    <w:basedOn w:val="CommentTextChar"/>
    <w:link w:val="CommentSubject"/>
    <w:uiPriority w:val="99"/>
    <w:semiHidden/>
    <w:rsid w:val="00075C1C"/>
    <w:rPr>
      <w:b/>
      <w:bCs/>
      <w:sz w:val="20"/>
      <w:szCs w:val="20"/>
    </w:rPr>
  </w:style>
  <w:style w:type="character" w:styleId="FollowedHyperlink">
    <w:name w:val="FollowedHyperlink"/>
    <w:basedOn w:val="DefaultParagraphFont"/>
    <w:uiPriority w:val="99"/>
    <w:semiHidden/>
    <w:unhideWhenUsed/>
    <w:rsid w:val="006B0D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5861"/>
  </w:style>
  <w:style w:type="paragraph" w:styleId="ListParagraph">
    <w:name w:val="List Paragraph"/>
    <w:basedOn w:val="Normal"/>
    <w:uiPriority w:val="34"/>
    <w:qFormat/>
    <w:rsid w:val="00DE682B"/>
    <w:pPr>
      <w:ind w:left="720"/>
      <w:contextualSpacing/>
    </w:pPr>
  </w:style>
  <w:style w:type="character" w:styleId="Hyperlink">
    <w:name w:val="Hyperlink"/>
    <w:basedOn w:val="DefaultParagraphFont"/>
    <w:uiPriority w:val="99"/>
    <w:unhideWhenUsed/>
    <w:rsid w:val="00353449"/>
    <w:rPr>
      <w:color w:val="0000FF" w:themeColor="hyperlink"/>
      <w:u w:val="single"/>
    </w:rPr>
  </w:style>
  <w:style w:type="paragraph" w:styleId="Header">
    <w:name w:val="header"/>
    <w:basedOn w:val="Normal"/>
    <w:link w:val="HeaderChar"/>
    <w:uiPriority w:val="99"/>
    <w:unhideWhenUsed/>
    <w:rsid w:val="00CB5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563"/>
  </w:style>
  <w:style w:type="paragraph" w:styleId="Footer">
    <w:name w:val="footer"/>
    <w:basedOn w:val="Normal"/>
    <w:link w:val="FooterChar"/>
    <w:uiPriority w:val="99"/>
    <w:unhideWhenUsed/>
    <w:rsid w:val="00CB5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563"/>
  </w:style>
  <w:style w:type="paragraph" w:styleId="BalloonText">
    <w:name w:val="Balloon Text"/>
    <w:basedOn w:val="Normal"/>
    <w:link w:val="BalloonTextChar"/>
    <w:uiPriority w:val="99"/>
    <w:semiHidden/>
    <w:unhideWhenUsed/>
    <w:rsid w:val="00CB5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563"/>
    <w:rPr>
      <w:rFonts w:ascii="Tahoma" w:hAnsi="Tahoma" w:cs="Tahoma"/>
      <w:sz w:val="16"/>
      <w:szCs w:val="16"/>
    </w:rPr>
  </w:style>
  <w:style w:type="paragraph" w:styleId="FootnoteText">
    <w:name w:val="footnote text"/>
    <w:aliases w:val="Footnote Text Char Char Char Char Char,Footnote Text Char Char Char Char,Footnote reference,FA Fu, Char,Char,Sharp - Footnote Text,Footnote Text - Sharp,Sharp - Footnote Text1 Char,Footnote Text Char Char Char,Note de bas de page Car,5_G"/>
    <w:basedOn w:val="Normal"/>
    <w:link w:val="FootnoteTextChar"/>
    <w:unhideWhenUsed/>
    <w:rsid w:val="00533578"/>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 Char Char,Char Char,Sharp - Footnote Text Char,Footnote Text - Sharp Char,Sharp - Footnote Text1 Char Char"/>
    <w:basedOn w:val="DefaultParagraphFont"/>
    <w:link w:val="FootnoteText"/>
    <w:rsid w:val="00533578"/>
    <w:rPr>
      <w:sz w:val="20"/>
      <w:szCs w:val="20"/>
    </w:rPr>
  </w:style>
  <w:style w:type="character" w:styleId="FootnoteReference">
    <w:name w:val="footnote reference"/>
    <w:aliases w:val="4_G"/>
    <w:basedOn w:val="DefaultParagraphFont"/>
    <w:unhideWhenUsed/>
    <w:rsid w:val="00533578"/>
    <w:rPr>
      <w:vertAlign w:val="superscript"/>
    </w:rPr>
  </w:style>
  <w:style w:type="character" w:customStyle="1" w:styleId="hps">
    <w:name w:val="hps"/>
    <w:basedOn w:val="DefaultParagraphFont"/>
    <w:rsid w:val="00E71C09"/>
  </w:style>
  <w:style w:type="character" w:styleId="CommentReference">
    <w:name w:val="annotation reference"/>
    <w:basedOn w:val="DefaultParagraphFont"/>
    <w:uiPriority w:val="99"/>
    <w:semiHidden/>
    <w:unhideWhenUsed/>
    <w:rsid w:val="00075C1C"/>
    <w:rPr>
      <w:sz w:val="16"/>
      <w:szCs w:val="16"/>
    </w:rPr>
  </w:style>
  <w:style w:type="paragraph" w:styleId="CommentText">
    <w:name w:val="annotation text"/>
    <w:basedOn w:val="Normal"/>
    <w:link w:val="CommentTextChar"/>
    <w:uiPriority w:val="99"/>
    <w:semiHidden/>
    <w:unhideWhenUsed/>
    <w:rsid w:val="00075C1C"/>
    <w:pPr>
      <w:spacing w:line="240" w:lineRule="auto"/>
    </w:pPr>
    <w:rPr>
      <w:sz w:val="20"/>
      <w:szCs w:val="20"/>
    </w:rPr>
  </w:style>
  <w:style w:type="character" w:customStyle="1" w:styleId="CommentTextChar">
    <w:name w:val="Comment Text Char"/>
    <w:basedOn w:val="DefaultParagraphFont"/>
    <w:link w:val="CommentText"/>
    <w:uiPriority w:val="99"/>
    <w:semiHidden/>
    <w:rsid w:val="00075C1C"/>
    <w:rPr>
      <w:sz w:val="20"/>
      <w:szCs w:val="20"/>
    </w:rPr>
  </w:style>
  <w:style w:type="paragraph" w:styleId="CommentSubject">
    <w:name w:val="annotation subject"/>
    <w:basedOn w:val="CommentText"/>
    <w:next w:val="CommentText"/>
    <w:link w:val="CommentSubjectChar"/>
    <w:uiPriority w:val="99"/>
    <w:semiHidden/>
    <w:unhideWhenUsed/>
    <w:rsid w:val="00075C1C"/>
    <w:rPr>
      <w:b/>
      <w:bCs/>
    </w:rPr>
  </w:style>
  <w:style w:type="character" w:customStyle="1" w:styleId="CommentSubjectChar">
    <w:name w:val="Comment Subject Char"/>
    <w:basedOn w:val="CommentTextChar"/>
    <w:link w:val="CommentSubject"/>
    <w:uiPriority w:val="99"/>
    <w:semiHidden/>
    <w:rsid w:val="00075C1C"/>
    <w:rPr>
      <w:b/>
      <w:bCs/>
      <w:sz w:val="20"/>
      <w:szCs w:val="20"/>
    </w:rPr>
  </w:style>
  <w:style w:type="character" w:styleId="FollowedHyperlink">
    <w:name w:val="FollowedHyperlink"/>
    <w:basedOn w:val="DefaultParagraphFont"/>
    <w:uiPriority w:val="99"/>
    <w:semiHidden/>
    <w:unhideWhenUsed/>
    <w:rsid w:val="006B0D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88059">
      <w:bodyDiv w:val="1"/>
      <w:marLeft w:val="0"/>
      <w:marRight w:val="0"/>
      <w:marTop w:val="0"/>
      <w:marBottom w:val="0"/>
      <w:divBdr>
        <w:top w:val="none" w:sz="0" w:space="0" w:color="auto"/>
        <w:left w:val="none" w:sz="0" w:space="0" w:color="auto"/>
        <w:bottom w:val="none" w:sz="0" w:space="0" w:color="auto"/>
        <w:right w:val="none" w:sz="0" w:space="0" w:color="auto"/>
      </w:divBdr>
    </w:div>
    <w:div w:id="505675801">
      <w:bodyDiv w:val="1"/>
      <w:marLeft w:val="0"/>
      <w:marRight w:val="0"/>
      <w:marTop w:val="0"/>
      <w:marBottom w:val="0"/>
      <w:divBdr>
        <w:top w:val="none" w:sz="0" w:space="0" w:color="auto"/>
        <w:left w:val="none" w:sz="0" w:space="0" w:color="auto"/>
        <w:bottom w:val="none" w:sz="0" w:space="0" w:color="auto"/>
        <w:right w:val="none" w:sz="0" w:space="0" w:color="auto"/>
      </w:divBdr>
    </w:div>
    <w:div w:id="721708679">
      <w:bodyDiv w:val="1"/>
      <w:marLeft w:val="0"/>
      <w:marRight w:val="0"/>
      <w:marTop w:val="0"/>
      <w:marBottom w:val="0"/>
      <w:divBdr>
        <w:top w:val="none" w:sz="0" w:space="0" w:color="auto"/>
        <w:left w:val="none" w:sz="0" w:space="0" w:color="auto"/>
        <w:bottom w:val="none" w:sz="0" w:space="0" w:color="auto"/>
        <w:right w:val="none" w:sz="0" w:space="0" w:color="auto"/>
      </w:divBdr>
      <w:divsChild>
        <w:div w:id="523520454">
          <w:marLeft w:val="0"/>
          <w:marRight w:val="0"/>
          <w:marTop w:val="0"/>
          <w:marBottom w:val="0"/>
          <w:divBdr>
            <w:top w:val="none" w:sz="0" w:space="0" w:color="auto"/>
            <w:left w:val="none" w:sz="0" w:space="0" w:color="auto"/>
            <w:bottom w:val="none" w:sz="0" w:space="0" w:color="auto"/>
            <w:right w:val="none" w:sz="0" w:space="0" w:color="auto"/>
          </w:divBdr>
        </w:div>
        <w:div w:id="707028131">
          <w:marLeft w:val="0"/>
          <w:marRight w:val="0"/>
          <w:marTop w:val="0"/>
          <w:marBottom w:val="0"/>
          <w:divBdr>
            <w:top w:val="none" w:sz="0" w:space="0" w:color="auto"/>
            <w:left w:val="none" w:sz="0" w:space="0" w:color="auto"/>
            <w:bottom w:val="none" w:sz="0" w:space="0" w:color="auto"/>
            <w:right w:val="none" w:sz="0" w:space="0" w:color="auto"/>
          </w:divBdr>
        </w:div>
        <w:div w:id="879245063">
          <w:marLeft w:val="0"/>
          <w:marRight w:val="0"/>
          <w:marTop w:val="0"/>
          <w:marBottom w:val="0"/>
          <w:divBdr>
            <w:top w:val="none" w:sz="0" w:space="0" w:color="auto"/>
            <w:left w:val="none" w:sz="0" w:space="0" w:color="auto"/>
            <w:bottom w:val="none" w:sz="0" w:space="0" w:color="auto"/>
            <w:right w:val="none" w:sz="0" w:space="0" w:color="auto"/>
          </w:divBdr>
        </w:div>
        <w:div w:id="972636771">
          <w:marLeft w:val="0"/>
          <w:marRight w:val="0"/>
          <w:marTop w:val="0"/>
          <w:marBottom w:val="0"/>
          <w:divBdr>
            <w:top w:val="none" w:sz="0" w:space="0" w:color="auto"/>
            <w:left w:val="none" w:sz="0" w:space="0" w:color="auto"/>
            <w:bottom w:val="none" w:sz="0" w:space="0" w:color="auto"/>
            <w:right w:val="none" w:sz="0" w:space="0" w:color="auto"/>
          </w:divBdr>
        </w:div>
        <w:div w:id="989560710">
          <w:marLeft w:val="0"/>
          <w:marRight w:val="0"/>
          <w:marTop w:val="0"/>
          <w:marBottom w:val="0"/>
          <w:divBdr>
            <w:top w:val="none" w:sz="0" w:space="0" w:color="auto"/>
            <w:left w:val="none" w:sz="0" w:space="0" w:color="auto"/>
            <w:bottom w:val="none" w:sz="0" w:space="0" w:color="auto"/>
            <w:right w:val="none" w:sz="0" w:space="0" w:color="auto"/>
          </w:divBdr>
        </w:div>
        <w:div w:id="1162162216">
          <w:marLeft w:val="0"/>
          <w:marRight w:val="0"/>
          <w:marTop w:val="0"/>
          <w:marBottom w:val="0"/>
          <w:divBdr>
            <w:top w:val="none" w:sz="0" w:space="0" w:color="auto"/>
            <w:left w:val="none" w:sz="0" w:space="0" w:color="auto"/>
            <w:bottom w:val="none" w:sz="0" w:space="0" w:color="auto"/>
            <w:right w:val="none" w:sz="0" w:space="0" w:color="auto"/>
          </w:divBdr>
        </w:div>
        <w:div w:id="1310940846">
          <w:marLeft w:val="0"/>
          <w:marRight w:val="0"/>
          <w:marTop w:val="0"/>
          <w:marBottom w:val="0"/>
          <w:divBdr>
            <w:top w:val="none" w:sz="0" w:space="0" w:color="auto"/>
            <w:left w:val="none" w:sz="0" w:space="0" w:color="auto"/>
            <w:bottom w:val="none" w:sz="0" w:space="0" w:color="auto"/>
            <w:right w:val="none" w:sz="0" w:space="0" w:color="auto"/>
          </w:divBdr>
        </w:div>
        <w:div w:id="1455489153">
          <w:marLeft w:val="0"/>
          <w:marRight w:val="0"/>
          <w:marTop w:val="0"/>
          <w:marBottom w:val="0"/>
          <w:divBdr>
            <w:top w:val="none" w:sz="0" w:space="0" w:color="auto"/>
            <w:left w:val="none" w:sz="0" w:space="0" w:color="auto"/>
            <w:bottom w:val="none" w:sz="0" w:space="0" w:color="auto"/>
            <w:right w:val="none" w:sz="0" w:space="0" w:color="auto"/>
          </w:divBdr>
        </w:div>
        <w:div w:id="1553543570">
          <w:marLeft w:val="0"/>
          <w:marRight w:val="0"/>
          <w:marTop w:val="0"/>
          <w:marBottom w:val="0"/>
          <w:divBdr>
            <w:top w:val="none" w:sz="0" w:space="0" w:color="auto"/>
            <w:left w:val="none" w:sz="0" w:space="0" w:color="auto"/>
            <w:bottom w:val="none" w:sz="0" w:space="0" w:color="auto"/>
            <w:right w:val="none" w:sz="0" w:space="0" w:color="auto"/>
          </w:divBdr>
        </w:div>
        <w:div w:id="1641425187">
          <w:marLeft w:val="0"/>
          <w:marRight w:val="0"/>
          <w:marTop w:val="0"/>
          <w:marBottom w:val="0"/>
          <w:divBdr>
            <w:top w:val="none" w:sz="0" w:space="0" w:color="auto"/>
            <w:left w:val="none" w:sz="0" w:space="0" w:color="auto"/>
            <w:bottom w:val="none" w:sz="0" w:space="0" w:color="auto"/>
            <w:right w:val="none" w:sz="0" w:space="0" w:color="auto"/>
          </w:divBdr>
        </w:div>
        <w:div w:id="1788310435">
          <w:marLeft w:val="0"/>
          <w:marRight w:val="0"/>
          <w:marTop w:val="0"/>
          <w:marBottom w:val="0"/>
          <w:divBdr>
            <w:top w:val="none" w:sz="0" w:space="0" w:color="auto"/>
            <w:left w:val="none" w:sz="0" w:space="0" w:color="auto"/>
            <w:bottom w:val="none" w:sz="0" w:space="0" w:color="auto"/>
            <w:right w:val="none" w:sz="0" w:space="0" w:color="auto"/>
          </w:divBdr>
        </w:div>
        <w:div w:id="1882134338">
          <w:marLeft w:val="0"/>
          <w:marRight w:val="0"/>
          <w:marTop w:val="0"/>
          <w:marBottom w:val="0"/>
          <w:divBdr>
            <w:top w:val="none" w:sz="0" w:space="0" w:color="auto"/>
            <w:left w:val="none" w:sz="0" w:space="0" w:color="auto"/>
            <w:bottom w:val="none" w:sz="0" w:space="0" w:color="auto"/>
            <w:right w:val="none" w:sz="0" w:space="0" w:color="auto"/>
          </w:divBdr>
        </w:div>
        <w:div w:id="1983920882">
          <w:marLeft w:val="0"/>
          <w:marRight w:val="0"/>
          <w:marTop w:val="0"/>
          <w:marBottom w:val="0"/>
          <w:divBdr>
            <w:top w:val="none" w:sz="0" w:space="0" w:color="auto"/>
            <w:left w:val="none" w:sz="0" w:space="0" w:color="auto"/>
            <w:bottom w:val="none" w:sz="0" w:space="0" w:color="auto"/>
            <w:right w:val="none" w:sz="0" w:space="0" w:color="auto"/>
          </w:divBdr>
        </w:div>
        <w:div w:id="2128963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adalah.org/newsletter/eng/mar06/1.php" TargetMode="External"/><Relationship Id="rId13" Type="http://schemas.openxmlformats.org/officeDocument/2006/relationships/hyperlink" Target="http://adalah.org/Public/files/English/Newsletter/102-March2013/Sawsan-Zaher-Arab-Women-Civil-Service-03-13.pdf" TargetMode="External"/><Relationship Id="rId18" Type="http://schemas.openxmlformats.org/officeDocument/2006/relationships/hyperlink" Target="http://www.adalah.org/eng/Articles/2204/Two-years-since-Prawer...Whats-next-An-Article-by" TargetMode="External"/><Relationship Id="rId3" Type="http://schemas.openxmlformats.org/officeDocument/2006/relationships/hyperlink" Target="http://www.adalah.org/eng/Articles/1913/NGO-STATEMENT:-Israels-Obstruction-of-UN-Human-Has" TargetMode="External"/><Relationship Id="rId21" Type="http://schemas.openxmlformats.org/officeDocument/2006/relationships/hyperlink" Target="http://adalah.org/Public/files/English/Publications/Articles/2013/Prawer-Begin-Plan-Background-Adalah.pdf" TargetMode="External"/><Relationship Id="rId7" Type="http://schemas.openxmlformats.org/officeDocument/2006/relationships/hyperlink" Target="http://www.adalah.org/eng/Articles/2197/Israeli-Government-Adds-20-Jewish-Towns-to-Area%E2%80%9D" TargetMode="External"/><Relationship Id="rId12" Type="http://schemas.openxmlformats.org/officeDocument/2006/relationships/hyperlink" Target="http://www.civil-service.gov.il/NR/rdonlyres/2FCC4CD2-01DD-4FFB-B2B7-CEB995FE0F9F/0/representation2011.pdf" TargetMode="External"/><Relationship Id="rId17" Type="http://schemas.openxmlformats.org/officeDocument/2006/relationships/hyperlink" Target="http://adalah.org/eng/Articles/2188/Bedouin-in-the-Naqab-Reject-Prawer-and-Propose-Plan" TargetMode="External"/><Relationship Id="rId2" Type="http://schemas.openxmlformats.org/officeDocument/2006/relationships/hyperlink" Target="http://adalah.org/Public/files/English/International_Advocacy/UN/2012/Adalah-Suggested-Questions-Israel-UPR-2012.pdf" TargetMode="External"/><Relationship Id="rId16" Type="http://schemas.openxmlformats.org/officeDocument/2006/relationships/hyperlink" Target="http://adalah.org/eng/Articles/2145/Petition-against-state-benefits-cuts-for-children-" TargetMode="External"/><Relationship Id="rId20" Type="http://schemas.openxmlformats.org/officeDocument/2006/relationships/hyperlink" Target="http://www.adalah.org/eng/Articles/2196/All-Demonstrators-Detained-at-anti-Prawer-in" TargetMode="External"/><Relationship Id="rId1" Type="http://schemas.openxmlformats.org/officeDocument/2006/relationships/hyperlink" Target="http://adalah.org/Public/files/English/International_Advocacy/UN/2012/UPR-Submission-29-Nov-2012.pdf" TargetMode="External"/><Relationship Id="rId6" Type="http://schemas.openxmlformats.org/officeDocument/2006/relationships/hyperlink" Target="http://adalah.org/upfiles/2011/Adalah_The_Inequality_Report_March_2011.pdf" TargetMode="External"/><Relationship Id="rId11" Type="http://schemas.openxmlformats.org/officeDocument/2006/relationships/hyperlink" Target="http://adalah.org/eng/Articles/2174/Bill-to-legalize-discrimination-based-on-military" TargetMode="External"/><Relationship Id="rId5" Type="http://schemas.openxmlformats.org/officeDocument/2006/relationships/hyperlink" Target="http://adalah.org/Public/files/Discriminatory-Laws-Database/Discriminatory-Bills-19th-Knesset-24-06-2013.pdf" TargetMode="External"/><Relationship Id="rId15" Type="http://schemas.openxmlformats.org/officeDocument/2006/relationships/hyperlink" Target="http://adalah.org/upfiles/2011/Adalah_The_Inequality_Report_March_2011.pdf" TargetMode="External"/><Relationship Id="rId10" Type="http://schemas.openxmlformats.org/officeDocument/2006/relationships/hyperlink" Target="http://www.adalah.org/eng/Articles/2118/Military-service-requirement-for-high-tech-work" TargetMode="External"/><Relationship Id="rId19" Type="http://schemas.openxmlformats.org/officeDocument/2006/relationships/hyperlink" Target="http://www.hrw.org/news/2013/07/18/israel-excessive-force-against-protesters" TargetMode="External"/><Relationship Id="rId4" Type="http://schemas.openxmlformats.org/officeDocument/2006/relationships/hyperlink" Target="http://adalah.org/eng/Israeli-Discriminatory-Law-Database" TargetMode="External"/><Relationship Id="rId9" Type="http://schemas.openxmlformats.org/officeDocument/2006/relationships/hyperlink" Target="http://www.adalah.org/eng/Articles/2114/Military-service-requirement-to-work-at-airport-as" TargetMode="External"/><Relationship Id="rId14" Type="http://schemas.openxmlformats.org/officeDocument/2006/relationships/hyperlink" Target="http://adalah.org/eng/Articles/2129/Adalah-to-Finance-Ministry:-Reduction-in-child" TargetMode="External"/><Relationship Id="rId22" Type="http://schemas.openxmlformats.org/officeDocument/2006/relationships/hyperlink" Target="http://adalah.org/eng/Articles/2176/Knesset-approves-forced-displacement-of-Ar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913875-F3B2-4A75-8690-9ADF527BE966}"/>
</file>

<file path=customXml/itemProps2.xml><?xml version="1.0" encoding="utf-8"?>
<ds:datastoreItem xmlns:ds="http://schemas.openxmlformats.org/officeDocument/2006/customXml" ds:itemID="{856A5E1D-7F3B-49FE-8024-2326AB75A080}"/>
</file>

<file path=customXml/itemProps3.xml><?xml version="1.0" encoding="utf-8"?>
<ds:datastoreItem xmlns:ds="http://schemas.openxmlformats.org/officeDocument/2006/customXml" ds:itemID="{BDF04B42-117B-45C1-9E1A-A650B522ABB6}"/>
</file>

<file path=customXml/itemProps4.xml><?xml version="1.0" encoding="utf-8"?>
<ds:datastoreItem xmlns:ds="http://schemas.openxmlformats.org/officeDocument/2006/customXml" ds:itemID="{DF45A7A7-635E-4F3A-B115-AD85C115DC37}"/>
</file>

<file path=docProps/app.xml><?xml version="1.0" encoding="utf-8"?>
<Properties xmlns="http://schemas.openxmlformats.org/officeDocument/2006/extended-properties" xmlns:vt="http://schemas.openxmlformats.org/officeDocument/2006/docPropsVTypes">
  <Template>Normal</Template>
  <TotalTime>5</TotalTime>
  <Pages>6</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Fuad</dc:creator>
  <cp:lastModifiedBy>Amjad Iraqi</cp:lastModifiedBy>
  <cp:revision>6</cp:revision>
  <cp:lastPrinted>2013-09-30T09:28:00Z</cp:lastPrinted>
  <dcterms:created xsi:type="dcterms:W3CDTF">2013-09-30T09:27:00Z</dcterms:created>
  <dcterms:modified xsi:type="dcterms:W3CDTF">2013-09-30T09:31:00Z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1287900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