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1BE7D" w14:textId="44EE6848" w:rsidR="00DF4F8B" w:rsidRPr="008E55F6" w:rsidRDefault="00DF4F8B" w:rsidP="00347268">
      <w:pPr>
        <w:widowControl w:val="0"/>
        <w:pBdr>
          <w:top w:val="nil"/>
          <w:left w:val="nil"/>
          <w:bottom w:val="nil"/>
          <w:right w:val="nil"/>
          <w:between w:val="nil"/>
        </w:pBdr>
        <w:tabs>
          <w:tab w:val="left" w:pos="360"/>
        </w:tabs>
        <w:spacing w:after="120" w:line="300" w:lineRule="auto"/>
        <w:jc w:val="both"/>
        <w:rPr>
          <w:rFonts w:asciiTheme="majorHAnsi" w:hAnsiTheme="majorHAnsi" w:cstheme="majorHAnsi"/>
        </w:rPr>
      </w:pPr>
    </w:p>
    <w:p w14:paraId="09236CAC" w14:textId="369D4E60" w:rsidR="00DF4F8B" w:rsidRDefault="00DF4F8B" w:rsidP="00347268">
      <w:pPr>
        <w:widowControl w:val="0"/>
        <w:pBdr>
          <w:top w:val="nil"/>
          <w:left w:val="nil"/>
          <w:bottom w:val="nil"/>
          <w:right w:val="nil"/>
          <w:between w:val="nil"/>
        </w:pBdr>
        <w:tabs>
          <w:tab w:val="left" w:pos="360"/>
        </w:tabs>
        <w:spacing w:after="120" w:line="300" w:lineRule="auto"/>
        <w:jc w:val="center"/>
        <w:rPr>
          <w:rFonts w:asciiTheme="majorHAnsi" w:hAnsiTheme="majorHAnsi" w:cstheme="majorHAnsi"/>
        </w:rPr>
      </w:pPr>
    </w:p>
    <w:p w14:paraId="4BD49663" w14:textId="77777777" w:rsidR="00663A6A" w:rsidRPr="008E55F6" w:rsidRDefault="00663A6A" w:rsidP="00347268">
      <w:pPr>
        <w:widowControl w:val="0"/>
        <w:pBdr>
          <w:top w:val="nil"/>
          <w:left w:val="nil"/>
          <w:bottom w:val="nil"/>
          <w:right w:val="nil"/>
          <w:between w:val="nil"/>
        </w:pBdr>
        <w:tabs>
          <w:tab w:val="left" w:pos="360"/>
        </w:tabs>
        <w:spacing w:after="120" w:line="300" w:lineRule="auto"/>
        <w:jc w:val="center"/>
        <w:rPr>
          <w:rFonts w:asciiTheme="majorHAnsi" w:hAnsiTheme="majorHAnsi" w:cstheme="majorHAnsi"/>
        </w:rPr>
      </w:pPr>
    </w:p>
    <w:p w14:paraId="7B301497" w14:textId="77777777" w:rsidR="002002D9" w:rsidRPr="008E55F6" w:rsidRDefault="002002D9" w:rsidP="00347268">
      <w:pPr>
        <w:widowControl w:val="0"/>
        <w:pBdr>
          <w:top w:val="nil"/>
          <w:left w:val="nil"/>
          <w:bottom w:val="nil"/>
          <w:right w:val="nil"/>
          <w:between w:val="nil"/>
        </w:pBdr>
        <w:tabs>
          <w:tab w:val="left" w:pos="360"/>
        </w:tabs>
        <w:spacing w:after="120" w:line="300" w:lineRule="auto"/>
        <w:jc w:val="center"/>
        <w:rPr>
          <w:rFonts w:asciiTheme="majorHAnsi" w:hAnsiTheme="majorHAnsi" w:cstheme="majorHAnsi"/>
        </w:rPr>
      </w:pPr>
    </w:p>
    <w:p w14:paraId="4B3BF3B6" w14:textId="0E969A24" w:rsidR="00DF4F8B" w:rsidRDefault="00176C0D" w:rsidP="00347268">
      <w:pPr>
        <w:tabs>
          <w:tab w:val="left" w:pos="360"/>
        </w:tabs>
        <w:spacing w:after="120" w:line="300" w:lineRule="auto"/>
        <w:jc w:val="center"/>
        <w:rPr>
          <w:rFonts w:asciiTheme="majorHAnsi" w:hAnsiTheme="majorHAnsi" w:cstheme="majorHAnsi"/>
          <w:sz w:val="36"/>
          <w:szCs w:val="36"/>
        </w:rPr>
      </w:pPr>
      <w:r w:rsidRPr="008E55F6">
        <w:rPr>
          <w:rFonts w:asciiTheme="majorHAnsi" w:hAnsiTheme="majorHAnsi" w:cstheme="majorHAnsi"/>
          <w:sz w:val="36"/>
          <w:szCs w:val="36"/>
        </w:rPr>
        <w:t xml:space="preserve">Submission to </w:t>
      </w:r>
      <w:r w:rsidR="00F44C7F" w:rsidRPr="008E55F6">
        <w:rPr>
          <w:rFonts w:asciiTheme="majorHAnsi" w:hAnsiTheme="majorHAnsi" w:cstheme="majorHAnsi"/>
          <w:sz w:val="36"/>
          <w:szCs w:val="36"/>
        </w:rPr>
        <w:t xml:space="preserve">the </w:t>
      </w:r>
      <w:r w:rsidRPr="008E55F6">
        <w:rPr>
          <w:rFonts w:asciiTheme="majorHAnsi" w:hAnsiTheme="majorHAnsi" w:cstheme="majorHAnsi"/>
          <w:sz w:val="36"/>
          <w:szCs w:val="36"/>
        </w:rPr>
        <w:t xml:space="preserve">United Nations </w:t>
      </w:r>
      <w:r w:rsidR="0070557C" w:rsidRPr="0070557C">
        <w:rPr>
          <w:rFonts w:asciiTheme="majorHAnsi" w:hAnsiTheme="majorHAnsi" w:cstheme="majorHAnsi"/>
          <w:sz w:val="36"/>
          <w:szCs w:val="36"/>
        </w:rPr>
        <w:t>OFFICE OF THE HIGH COMMISSIONER FOR HUMAN RIGHTS</w:t>
      </w:r>
    </w:p>
    <w:p w14:paraId="42A3FF51" w14:textId="77777777" w:rsidR="0070557C" w:rsidRPr="008E55F6" w:rsidRDefault="0070557C" w:rsidP="00347268">
      <w:pPr>
        <w:tabs>
          <w:tab w:val="left" w:pos="360"/>
        </w:tabs>
        <w:spacing w:after="120" w:line="300" w:lineRule="auto"/>
        <w:jc w:val="center"/>
        <w:rPr>
          <w:rFonts w:asciiTheme="majorHAnsi" w:hAnsiTheme="majorHAnsi" w:cstheme="majorHAnsi"/>
          <w:b/>
          <w:bCs/>
          <w:sz w:val="48"/>
          <w:szCs w:val="48"/>
        </w:rPr>
      </w:pPr>
    </w:p>
    <w:p w14:paraId="0B1A565C" w14:textId="3191308C" w:rsidR="003F7E6F" w:rsidRDefault="003F7E6F" w:rsidP="00347268">
      <w:pPr>
        <w:pBdr>
          <w:bottom w:val="single" w:sz="4" w:space="1" w:color="auto"/>
        </w:pBdr>
        <w:tabs>
          <w:tab w:val="left" w:pos="360"/>
        </w:tabs>
        <w:spacing w:after="120" w:line="300" w:lineRule="auto"/>
        <w:jc w:val="center"/>
        <w:rPr>
          <w:rFonts w:asciiTheme="majorHAnsi" w:hAnsiTheme="majorHAnsi" w:cstheme="majorHAnsi"/>
          <w:b/>
          <w:bCs/>
          <w:sz w:val="32"/>
          <w:szCs w:val="32"/>
        </w:rPr>
      </w:pPr>
      <w:r w:rsidRPr="008E55F6">
        <w:rPr>
          <w:rFonts w:asciiTheme="majorHAnsi" w:hAnsiTheme="majorHAnsi" w:cstheme="majorHAnsi"/>
          <w:b/>
          <w:bCs/>
          <w:sz w:val="32"/>
          <w:szCs w:val="32"/>
        </w:rPr>
        <w:t xml:space="preserve">CALL FOR INPUT | </w:t>
      </w:r>
      <w:r w:rsidR="00347268" w:rsidRPr="00347268">
        <w:rPr>
          <w:rFonts w:asciiTheme="majorHAnsi" w:hAnsiTheme="majorHAnsi" w:cstheme="majorHAnsi"/>
          <w:b/>
          <w:bCs/>
          <w:sz w:val="32"/>
          <w:szCs w:val="32"/>
        </w:rPr>
        <w:t>SPECIAL PROCEDURES</w:t>
      </w:r>
    </w:p>
    <w:p w14:paraId="2A003FE8" w14:textId="77B02028" w:rsidR="00347268" w:rsidRDefault="00347268" w:rsidP="00347268">
      <w:pPr>
        <w:pBdr>
          <w:bottom w:val="single" w:sz="4" w:space="1" w:color="auto"/>
        </w:pBdr>
        <w:tabs>
          <w:tab w:val="left" w:pos="360"/>
        </w:tabs>
        <w:spacing w:after="120" w:line="300" w:lineRule="auto"/>
        <w:jc w:val="center"/>
        <w:rPr>
          <w:rFonts w:asciiTheme="majorHAnsi" w:hAnsiTheme="majorHAnsi" w:cstheme="majorHAnsi"/>
          <w:b/>
          <w:bCs/>
          <w:sz w:val="32"/>
          <w:szCs w:val="32"/>
        </w:rPr>
      </w:pPr>
      <w:r w:rsidRPr="00347268">
        <w:rPr>
          <w:rFonts w:asciiTheme="majorHAnsi" w:hAnsiTheme="majorHAnsi" w:cstheme="majorHAnsi"/>
          <w:b/>
          <w:bCs/>
          <w:sz w:val="32"/>
          <w:szCs w:val="32"/>
        </w:rPr>
        <w:t>ISSUED BY</w:t>
      </w:r>
      <w:r>
        <w:rPr>
          <w:rFonts w:asciiTheme="majorHAnsi" w:hAnsiTheme="majorHAnsi" w:cstheme="majorHAnsi"/>
          <w:b/>
          <w:bCs/>
          <w:sz w:val="32"/>
          <w:szCs w:val="32"/>
        </w:rPr>
        <w:t xml:space="preserve"> </w:t>
      </w:r>
      <w:r w:rsidRPr="00347268">
        <w:rPr>
          <w:rFonts w:asciiTheme="majorHAnsi" w:hAnsiTheme="majorHAnsi" w:cstheme="majorHAnsi"/>
          <w:b/>
          <w:bCs/>
          <w:sz w:val="32"/>
          <w:szCs w:val="32"/>
        </w:rPr>
        <w:t>Special Procedures</w:t>
      </w:r>
    </w:p>
    <w:p w14:paraId="411C5923" w14:textId="77777777" w:rsidR="00347268" w:rsidRDefault="00347268" w:rsidP="00347268">
      <w:pPr>
        <w:pBdr>
          <w:bottom w:val="single" w:sz="4" w:space="1" w:color="auto"/>
        </w:pBdr>
        <w:tabs>
          <w:tab w:val="left" w:pos="360"/>
        </w:tabs>
        <w:spacing w:after="120" w:line="300" w:lineRule="auto"/>
        <w:jc w:val="center"/>
        <w:rPr>
          <w:rFonts w:asciiTheme="majorHAnsi" w:hAnsiTheme="majorHAnsi" w:cstheme="majorHAnsi"/>
          <w:b/>
          <w:bCs/>
          <w:sz w:val="32"/>
          <w:szCs w:val="32"/>
        </w:rPr>
      </w:pPr>
    </w:p>
    <w:p w14:paraId="1CFA282D" w14:textId="281CC1B8" w:rsidR="00503B9B" w:rsidRPr="00503B9B" w:rsidRDefault="00503B9B" w:rsidP="00347268">
      <w:pPr>
        <w:pBdr>
          <w:bottom w:val="single" w:sz="4" w:space="1" w:color="auto"/>
        </w:pBdr>
        <w:tabs>
          <w:tab w:val="left" w:pos="360"/>
        </w:tabs>
        <w:spacing w:after="120" w:line="300" w:lineRule="auto"/>
        <w:jc w:val="center"/>
        <w:rPr>
          <w:rFonts w:asciiTheme="majorHAnsi" w:hAnsiTheme="majorHAnsi" w:cstheme="majorHAnsi"/>
          <w:b/>
          <w:bCs/>
          <w:sz w:val="32"/>
          <w:szCs w:val="32"/>
          <w:lang w:val="en-AE"/>
        </w:rPr>
      </w:pPr>
      <w:r w:rsidRPr="00503B9B">
        <w:rPr>
          <w:rFonts w:asciiTheme="majorHAnsi" w:hAnsiTheme="majorHAnsi" w:cstheme="majorHAnsi"/>
          <w:b/>
          <w:bCs/>
          <w:sz w:val="32"/>
          <w:szCs w:val="32"/>
          <w:lang w:val="en-AE"/>
        </w:rPr>
        <w:t>Follow-up to the Working Group on discrimination against women and girls’ country visits to Kyrgyzstan, Romania, Greece, Poland, Honduras, Chad, Samoa, Kuwait and Hungary</w:t>
      </w:r>
    </w:p>
    <w:p w14:paraId="1D5BA729" w14:textId="77777777" w:rsidR="00DF4F8B" w:rsidRPr="008E55F6" w:rsidRDefault="00DF4F8B" w:rsidP="00347268">
      <w:pPr>
        <w:tabs>
          <w:tab w:val="left" w:pos="360"/>
        </w:tabs>
        <w:spacing w:after="120" w:line="300" w:lineRule="auto"/>
        <w:jc w:val="center"/>
        <w:rPr>
          <w:rFonts w:asciiTheme="majorHAnsi" w:hAnsiTheme="majorHAnsi" w:cstheme="majorHAnsi"/>
          <w:b/>
          <w:bCs/>
          <w:sz w:val="40"/>
          <w:szCs w:val="40"/>
        </w:rPr>
      </w:pPr>
      <w:r w:rsidRPr="008E55F6">
        <w:rPr>
          <w:rFonts w:asciiTheme="majorHAnsi" w:hAnsiTheme="majorHAnsi" w:cstheme="majorHAnsi"/>
          <w:b/>
          <w:bCs/>
          <w:sz w:val="40"/>
          <w:szCs w:val="40"/>
        </w:rPr>
        <w:t>Submitting Organization: BROKEN CHALK</w:t>
      </w:r>
    </w:p>
    <w:p w14:paraId="60288D42" w14:textId="77777777" w:rsidR="00DF4F8B" w:rsidRPr="008E55F6" w:rsidRDefault="00DF4F8B" w:rsidP="00347268">
      <w:pPr>
        <w:tabs>
          <w:tab w:val="left" w:pos="360"/>
        </w:tabs>
        <w:spacing w:after="120" w:line="300" w:lineRule="auto"/>
        <w:jc w:val="center"/>
        <w:rPr>
          <w:rFonts w:asciiTheme="majorHAnsi" w:hAnsiTheme="majorHAnsi" w:cstheme="majorHAnsi"/>
          <w:b/>
          <w:sz w:val="28"/>
          <w:szCs w:val="28"/>
        </w:rPr>
      </w:pPr>
    </w:p>
    <w:p w14:paraId="0EC0141E" w14:textId="7E8AA22B" w:rsidR="00DF4F8B" w:rsidRDefault="00DF4F8B" w:rsidP="00347268">
      <w:pPr>
        <w:tabs>
          <w:tab w:val="left" w:pos="360"/>
        </w:tabs>
        <w:spacing w:after="120" w:line="300" w:lineRule="auto"/>
        <w:jc w:val="center"/>
        <w:rPr>
          <w:rFonts w:asciiTheme="majorHAnsi" w:hAnsiTheme="majorHAnsi" w:cstheme="majorHAnsi"/>
          <w:b/>
          <w:sz w:val="28"/>
          <w:szCs w:val="28"/>
        </w:rPr>
      </w:pPr>
    </w:p>
    <w:p w14:paraId="277C42E9" w14:textId="77777777" w:rsidR="00663A6A" w:rsidRPr="008E55F6" w:rsidRDefault="00663A6A" w:rsidP="00347268">
      <w:pPr>
        <w:tabs>
          <w:tab w:val="left" w:pos="360"/>
        </w:tabs>
        <w:spacing w:after="120" w:line="300" w:lineRule="auto"/>
        <w:jc w:val="center"/>
        <w:rPr>
          <w:rFonts w:asciiTheme="majorHAnsi" w:hAnsiTheme="majorHAnsi" w:cstheme="majorHAnsi"/>
          <w:b/>
          <w:sz w:val="28"/>
          <w:szCs w:val="28"/>
        </w:rPr>
      </w:pPr>
    </w:p>
    <w:p w14:paraId="79D06F07" w14:textId="0C8C2D8A" w:rsidR="00DF4F8B" w:rsidRPr="008E55F6" w:rsidRDefault="00B427A6" w:rsidP="00347268">
      <w:pPr>
        <w:tabs>
          <w:tab w:val="left" w:pos="360"/>
        </w:tabs>
        <w:spacing w:after="0" w:line="240" w:lineRule="auto"/>
        <w:jc w:val="center"/>
        <w:rPr>
          <w:rFonts w:asciiTheme="majorHAnsi" w:hAnsiTheme="majorHAnsi" w:cstheme="majorHAnsi"/>
          <w:b/>
          <w:sz w:val="28"/>
          <w:szCs w:val="28"/>
        </w:rPr>
      </w:pPr>
      <w:r>
        <w:rPr>
          <w:rFonts w:asciiTheme="majorHAnsi" w:hAnsiTheme="majorHAnsi" w:cstheme="majorHAnsi"/>
          <w:b/>
          <w:sz w:val="28"/>
          <w:szCs w:val="28"/>
        </w:rPr>
        <w:t>January</w:t>
      </w:r>
      <w:r w:rsidR="00DF4F8B" w:rsidRPr="008E55F6">
        <w:rPr>
          <w:rFonts w:asciiTheme="majorHAnsi" w:hAnsiTheme="majorHAnsi" w:cstheme="majorHAnsi"/>
          <w:b/>
          <w:sz w:val="28"/>
          <w:szCs w:val="28"/>
        </w:rPr>
        <w:t xml:space="preserve"> 202</w:t>
      </w:r>
      <w:r>
        <w:rPr>
          <w:rFonts w:asciiTheme="majorHAnsi" w:hAnsiTheme="majorHAnsi" w:cstheme="majorHAnsi"/>
          <w:b/>
          <w:sz w:val="28"/>
          <w:szCs w:val="28"/>
        </w:rPr>
        <w:t>4</w:t>
      </w:r>
    </w:p>
    <w:p w14:paraId="0B502661" w14:textId="1DF94D84" w:rsidR="00176C0D" w:rsidRPr="00925CD2" w:rsidRDefault="00DF4F8B" w:rsidP="00347268">
      <w:pPr>
        <w:tabs>
          <w:tab w:val="left" w:pos="360"/>
        </w:tabs>
        <w:spacing w:after="0" w:line="240" w:lineRule="auto"/>
        <w:jc w:val="center"/>
        <w:rPr>
          <w:rFonts w:asciiTheme="majorHAnsi" w:hAnsiTheme="majorHAnsi" w:cstheme="majorHAnsi"/>
          <w:b/>
          <w:sz w:val="28"/>
          <w:szCs w:val="28"/>
          <w:lang w:val="it-IT"/>
        </w:rPr>
      </w:pPr>
      <w:r w:rsidRPr="00925CD2">
        <w:rPr>
          <w:rFonts w:asciiTheme="majorHAnsi" w:hAnsiTheme="majorHAnsi" w:cstheme="majorHAnsi"/>
          <w:b/>
          <w:sz w:val="28"/>
          <w:szCs w:val="28"/>
          <w:lang w:val="it-IT"/>
        </w:rPr>
        <w:t>By</w:t>
      </w:r>
    </w:p>
    <w:p w14:paraId="4F06F19D" w14:textId="435C2951" w:rsidR="008F4531" w:rsidRDefault="00503B9B" w:rsidP="00347268">
      <w:pPr>
        <w:tabs>
          <w:tab w:val="left" w:pos="360"/>
        </w:tabs>
        <w:spacing w:after="0" w:line="240" w:lineRule="auto"/>
        <w:jc w:val="center"/>
        <w:rPr>
          <w:rFonts w:asciiTheme="majorHAnsi" w:hAnsiTheme="majorHAnsi" w:cstheme="majorHAnsi"/>
          <w:b/>
          <w:sz w:val="28"/>
          <w:szCs w:val="28"/>
        </w:rPr>
      </w:pPr>
      <w:r>
        <w:rPr>
          <w:rFonts w:asciiTheme="majorHAnsi" w:hAnsiTheme="majorHAnsi" w:cstheme="majorHAnsi"/>
          <w:b/>
          <w:sz w:val="28"/>
          <w:szCs w:val="28"/>
        </w:rPr>
        <w:t xml:space="preserve">Ariel </w:t>
      </w:r>
      <w:proofErr w:type="spellStart"/>
      <w:r>
        <w:rPr>
          <w:rFonts w:asciiTheme="majorHAnsi" w:hAnsiTheme="majorHAnsi" w:cstheme="majorHAnsi"/>
          <w:b/>
          <w:sz w:val="28"/>
          <w:szCs w:val="28"/>
        </w:rPr>
        <w:t>Ozdemir</w:t>
      </w:r>
      <w:proofErr w:type="spellEnd"/>
    </w:p>
    <w:p w14:paraId="7FB74AE1" w14:textId="4EA83134" w:rsidR="00503B9B" w:rsidRDefault="00503B9B" w:rsidP="00347268">
      <w:pPr>
        <w:tabs>
          <w:tab w:val="left" w:pos="360"/>
        </w:tabs>
        <w:spacing w:after="0" w:line="240" w:lineRule="auto"/>
        <w:jc w:val="center"/>
        <w:rPr>
          <w:rFonts w:asciiTheme="majorHAnsi" w:hAnsiTheme="majorHAnsi" w:cstheme="majorHAnsi"/>
          <w:b/>
          <w:sz w:val="28"/>
          <w:szCs w:val="28"/>
        </w:rPr>
      </w:pPr>
      <w:r>
        <w:rPr>
          <w:rFonts w:asciiTheme="majorHAnsi" w:hAnsiTheme="majorHAnsi" w:cstheme="majorHAnsi"/>
          <w:b/>
          <w:sz w:val="28"/>
          <w:szCs w:val="28"/>
        </w:rPr>
        <w:t xml:space="preserve">Luna </w:t>
      </w:r>
      <w:proofErr w:type="spellStart"/>
      <w:r>
        <w:rPr>
          <w:rFonts w:asciiTheme="majorHAnsi" w:hAnsiTheme="majorHAnsi" w:cstheme="majorHAnsi"/>
          <w:b/>
          <w:sz w:val="28"/>
          <w:szCs w:val="28"/>
        </w:rPr>
        <w:t>Plet</w:t>
      </w:r>
      <w:proofErr w:type="spellEnd"/>
    </w:p>
    <w:p w14:paraId="47E91DC0" w14:textId="0A7506E2" w:rsidR="00503B9B" w:rsidRDefault="00503B9B" w:rsidP="00347268">
      <w:pPr>
        <w:tabs>
          <w:tab w:val="left" w:pos="360"/>
        </w:tabs>
        <w:spacing w:after="0" w:line="240" w:lineRule="auto"/>
        <w:jc w:val="center"/>
        <w:rPr>
          <w:rFonts w:asciiTheme="majorHAnsi" w:hAnsiTheme="majorHAnsi" w:cstheme="majorHAnsi"/>
          <w:b/>
          <w:sz w:val="28"/>
          <w:szCs w:val="28"/>
          <w:lang w:val="it-IT"/>
        </w:rPr>
      </w:pPr>
      <w:proofErr w:type="spellStart"/>
      <w:r>
        <w:rPr>
          <w:rFonts w:asciiTheme="majorHAnsi" w:hAnsiTheme="majorHAnsi" w:cstheme="majorHAnsi"/>
          <w:b/>
          <w:sz w:val="28"/>
          <w:szCs w:val="28"/>
        </w:rPr>
        <w:t>Olimpia</w:t>
      </w:r>
      <w:proofErr w:type="spellEnd"/>
      <w:r>
        <w:rPr>
          <w:rFonts w:asciiTheme="majorHAnsi" w:hAnsiTheme="majorHAnsi" w:cstheme="majorHAnsi"/>
          <w:b/>
          <w:sz w:val="28"/>
          <w:szCs w:val="28"/>
        </w:rPr>
        <w:t xml:space="preserve"> </w:t>
      </w:r>
      <w:proofErr w:type="spellStart"/>
      <w:r>
        <w:rPr>
          <w:rFonts w:asciiTheme="majorHAnsi" w:hAnsiTheme="majorHAnsi" w:cstheme="majorHAnsi"/>
          <w:b/>
          <w:sz w:val="28"/>
          <w:szCs w:val="28"/>
        </w:rPr>
        <w:t>Guidi</w:t>
      </w:r>
      <w:proofErr w:type="spellEnd"/>
    </w:p>
    <w:p w14:paraId="70305527" w14:textId="78AFD20E" w:rsidR="00347268" w:rsidRDefault="00347268" w:rsidP="00347268">
      <w:pPr>
        <w:tabs>
          <w:tab w:val="left" w:pos="360"/>
        </w:tabs>
        <w:spacing w:after="120" w:line="300" w:lineRule="auto"/>
        <w:jc w:val="center"/>
        <w:rPr>
          <w:rFonts w:asciiTheme="majorHAnsi" w:hAnsiTheme="majorHAnsi" w:cstheme="majorHAnsi"/>
          <w:sz w:val="24"/>
          <w:szCs w:val="24"/>
        </w:rPr>
      </w:pPr>
    </w:p>
    <w:p w14:paraId="0C1A49AB" w14:textId="77777777" w:rsidR="00347268" w:rsidRDefault="00347268" w:rsidP="00347268">
      <w:pPr>
        <w:tabs>
          <w:tab w:val="left" w:pos="360"/>
        </w:tabs>
        <w:spacing w:after="120" w:line="300" w:lineRule="auto"/>
        <w:jc w:val="center"/>
        <w:rPr>
          <w:rFonts w:asciiTheme="majorHAnsi" w:hAnsiTheme="majorHAnsi" w:cstheme="majorHAnsi"/>
          <w:sz w:val="24"/>
          <w:szCs w:val="24"/>
        </w:rPr>
      </w:pPr>
    </w:p>
    <w:p w14:paraId="01252F28" w14:textId="77777777" w:rsidR="00347268" w:rsidRDefault="00347268" w:rsidP="00347268">
      <w:pPr>
        <w:tabs>
          <w:tab w:val="left" w:pos="360"/>
        </w:tabs>
        <w:spacing w:after="120" w:line="300" w:lineRule="auto"/>
        <w:jc w:val="center"/>
        <w:rPr>
          <w:rFonts w:asciiTheme="majorHAnsi" w:hAnsiTheme="majorHAnsi" w:cstheme="majorHAnsi"/>
          <w:sz w:val="24"/>
          <w:szCs w:val="24"/>
        </w:rPr>
      </w:pPr>
      <w:r>
        <w:rPr>
          <w:rFonts w:asciiTheme="majorHAnsi" w:hAnsiTheme="majorHAnsi" w:cstheme="majorHAnsi"/>
          <w:sz w:val="24"/>
          <w:szCs w:val="24"/>
        </w:rPr>
        <w:br w:type="page"/>
      </w:r>
    </w:p>
    <w:p w14:paraId="51EB760E" w14:textId="6893976D" w:rsidR="00663A6A" w:rsidRPr="00663A6A" w:rsidRDefault="00663A6A" w:rsidP="00347268">
      <w:pPr>
        <w:tabs>
          <w:tab w:val="left" w:pos="360"/>
        </w:tabs>
        <w:spacing w:after="120" w:line="300" w:lineRule="auto"/>
        <w:jc w:val="center"/>
        <w:rPr>
          <w:rFonts w:asciiTheme="majorHAnsi" w:hAnsiTheme="majorHAnsi" w:cstheme="majorHAnsi"/>
          <w:sz w:val="24"/>
          <w:szCs w:val="24"/>
        </w:rPr>
      </w:pPr>
      <w:r w:rsidRPr="00663A6A">
        <w:rPr>
          <w:rFonts w:asciiTheme="majorHAnsi" w:hAnsiTheme="majorHAnsi" w:cstheme="majorHAnsi"/>
          <w:sz w:val="24"/>
          <w:szCs w:val="24"/>
        </w:rPr>
        <w:lastRenderedPageBreak/>
        <w:t xml:space="preserve">Submission to the United Nations </w:t>
      </w:r>
      <w:r w:rsidR="001309EF" w:rsidRPr="001309EF">
        <w:rPr>
          <w:rFonts w:asciiTheme="majorHAnsi" w:hAnsiTheme="majorHAnsi" w:cstheme="majorHAnsi"/>
          <w:sz w:val="24"/>
          <w:szCs w:val="24"/>
        </w:rPr>
        <w:t>OFFICE OF THE HIGH COMMISSIONER FOR HUMAN RIGHTS</w:t>
      </w:r>
    </w:p>
    <w:p w14:paraId="654CB3F7" w14:textId="77777777" w:rsidR="00347268" w:rsidRPr="00663A6A" w:rsidRDefault="00347268" w:rsidP="00347268">
      <w:pPr>
        <w:pBdr>
          <w:bottom w:val="single" w:sz="4" w:space="1" w:color="auto"/>
        </w:pBdr>
        <w:tabs>
          <w:tab w:val="left" w:pos="360"/>
        </w:tabs>
        <w:spacing w:after="120" w:line="300" w:lineRule="auto"/>
        <w:jc w:val="center"/>
        <w:rPr>
          <w:rFonts w:asciiTheme="majorHAnsi" w:hAnsiTheme="majorHAnsi" w:cstheme="majorHAnsi"/>
          <w:bCs/>
          <w:sz w:val="24"/>
          <w:szCs w:val="24"/>
        </w:rPr>
      </w:pPr>
    </w:p>
    <w:p w14:paraId="59096B75" w14:textId="1BAA47DF" w:rsidR="00663A6A" w:rsidRDefault="00663A6A" w:rsidP="00347268">
      <w:pPr>
        <w:pBdr>
          <w:bottom w:val="single" w:sz="4" w:space="1" w:color="auto"/>
        </w:pBdr>
        <w:tabs>
          <w:tab w:val="left" w:pos="360"/>
        </w:tabs>
        <w:spacing w:after="120" w:line="300" w:lineRule="auto"/>
        <w:jc w:val="center"/>
        <w:rPr>
          <w:rFonts w:asciiTheme="majorHAnsi" w:hAnsiTheme="majorHAnsi" w:cstheme="majorHAnsi"/>
          <w:bCs/>
          <w:sz w:val="24"/>
          <w:szCs w:val="24"/>
        </w:rPr>
      </w:pPr>
      <w:r w:rsidRPr="00663A6A">
        <w:rPr>
          <w:rFonts w:asciiTheme="majorHAnsi" w:hAnsiTheme="majorHAnsi" w:cstheme="majorHAnsi"/>
          <w:bCs/>
          <w:sz w:val="24"/>
          <w:szCs w:val="24"/>
        </w:rPr>
        <w:t xml:space="preserve">CALL FOR INPUT | </w:t>
      </w:r>
      <w:r w:rsidR="001309EF" w:rsidRPr="001309EF">
        <w:rPr>
          <w:rFonts w:asciiTheme="majorHAnsi" w:hAnsiTheme="majorHAnsi" w:cstheme="majorHAnsi"/>
          <w:bCs/>
          <w:sz w:val="24"/>
          <w:szCs w:val="24"/>
        </w:rPr>
        <w:t>OFFICE OF THE HIGH COMMISSIONER FOR HUMAN RIGHTS</w:t>
      </w:r>
    </w:p>
    <w:p w14:paraId="6E93F9E5" w14:textId="40337645" w:rsidR="00347268" w:rsidRDefault="00347268" w:rsidP="00347268">
      <w:pPr>
        <w:pBdr>
          <w:bottom w:val="single" w:sz="4" w:space="1" w:color="auto"/>
        </w:pBdr>
        <w:tabs>
          <w:tab w:val="left" w:pos="360"/>
        </w:tabs>
        <w:spacing w:after="120" w:line="300" w:lineRule="auto"/>
        <w:jc w:val="center"/>
        <w:rPr>
          <w:rFonts w:asciiTheme="majorHAnsi" w:hAnsiTheme="majorHAnsi" w:cstheme="majorHAnsi"/>
          <w:bCs/>
          <w:sz w:val="24"/>
          <w:szCs w:val="24"/>
        </w:rPr>
      </w:pPr>
      <w:r w:rsidRPr="00347268">
        <w:rPr>
          <w:rFonts w:asciiTheme="majorHAnsi" w:hAnsiTheme="majorHAnsi" w:cstheme="majorHAnsi"/>
          <w:bCs/>
          <w:sz w:val="24"/>
          <w:szCs w:val="24"/>
        </w:rPr>
        <w:t>ISSUED BY Special Procedures</w:t>
      </w:r>
    </w:p>
    <w:p w14:paraId="6F8173AF" w14:textId="77777777" w:rsidR="00347268" w:rsidRPr="00663A6A" w:rsidRDefault="00347268" w:rsidP="00347268">
      <w:pPr>
        <w:pBdr>
          <w:bottom w:val="single" w:sz="4" w:space="1" w:color="auto"/>
        </w:pBdr>
        <w:tabs>
          <w:tab w:val="left" w:pos="360"/>
        </w:tabs>
        <w:spacing w:after="120" w:line="300" w:lineRule="auto"/>
        <w:jc w:val="center"/>
        <w:rPr>
          <w:rFonts w:asciiTheme="majorHAnsi" w:hAnsiTheme="majorHAnsi" w:cstheme="majorHAnsi"/>
          <w:bCs/>
          <w:sz w:val="24"/>
          <w:szCs w:val="24"/>
        </w:rPr>
      </w:pPr>
    </w:p>
    <w:p w14:paraId="596C5CC4" w14:textId="5B378A7E" w:rsidR="00663A6A" w:rsidRPr="00503B9B" w:rsidRDefault="00503B9B" w:rsidP="00347268">
      <w:pPr>
        <w:pBdr>
          <w:bottom w:val="single" w:sz="4" w:space="1" w:color="auto"/>
        </w:pBdr>
        <w:tabs>
          <w:tab w:val="left" w:pos="360"/>
        </w:tabs>
        <w:spacing w:after="120" w:line="300" w:lineRule="auto"/>
        <w:jc w:val="center"/>
        <w:rPr>
          <w:rFonts w:cstheme="majorHAnsi"/>
          <w:sz w:val="24"/>
          <w:szCs w:val="24"/>
          <w:lang w:val="en-AE"/>
        </w:rPr>
      </w:pPr>
      <w:r w:rsidRPr="00503B9B">
        <w:rPr>
          <w:rFonts w:cstheme="majorHAnsi"/>
          <w:sz w:val="24"/>
          <w:szCs w:val="24"/>
          <w:lang w:val="en-AE"/>
        </w:rPr>
        <w:t>Follow-up to the Working Group on discrimination against women and girls’ country visits to Kyrgyzstan, Romania, Greece, Poland, Honduras, Chad, Samoa, Kuwait and Hungary.</w:t>
      </w:r>
    </w:p>
    <w:p w14:paraId="2D2FAF4F" w14:textId="77777777" w:rsidR="00663A6A" w:rsidRPr="00663A6A" w:rsidRDefault="00663A6A" w:rsidP="00347268">
      <w:pPr>
        <w:tabs>
          <w:tab w:val="left" w:pos="360"/>
        </w:tabs>
        <w:spacing w:after="120" w:line="300" w:lineRule="auto"/>
        <w:jc w:val="center"/>
        <w:rPr>
          <w:rFonts w:asciiTheme="majorHAnsi" w:hAnsiTheme="majorHAnsi" w:cstheme="majorHAnsi"/>
          <w:bCs/>
          <w:sz w:val="24"/>
          <w:szCs w:val="24"/>
        </w:rPr>
      </w:pPr>
      <w:r w:rsidRPr="00663A6A">
        <w:rPr>
          <w:rFonts w:asciiTheme="majorHAnsi" w:hAnsiTheme="majorHAnsi" w:cstheme="majorHAnsi"/>
          <w:bCs/>
          <w:sz w:val="24"/>
          <w:szCs w:val="24"/>
        </w:rPr>
        <w:t>Submitting Organization: BROKEN CHALK</w:t>
      </w:r>
    </w:p>
    <w:p w14:paraId="40F3F898" w14:textId="77777777" w:rsidR="00663A6A" w:rsidRPr="00663A6A" w:rsidRDefault="00663A6A" w:rsidP="00347268">
      <w:pPr>
        <w:tabs>
          <w:tab w:val="left" w:pos="360"/>
        </w:tabs>
        <w:spacing w:after="120" w:line="300" w:lineRule="auto"/>
        <w:jc w:val="center"/>
        <w:rPr>
          <w:rFonts w:asciiTheme="majorHAnsi" w:hAnsiTheme="majorHAnsi" w:cstheme="majorHAnsi"/>
          <w:sz w:val="24"/>
          <w:szCs w:val="24"/>
        </w:rPr>
      </w:pPr>
    </w:p>
    <w:p w14:paraId="6A94BB3A" w14:textId="6C2C7C7B" w:rsidR="00663A6A" w:rsidRPr="00663A6A" w:rsidRDefault="00C40278" w:rsidP="00347268">
      <w:pPr>
        <w:tabs>
          <w:tab w:val="left" w:pos="360"/>
        </w:tabs>
        <w:spacing w:after="0" w:line="240" w:lineRule="auto"/>
        <w:jc w:val="center"/>
        <w:rPr>
          <w:rFonts w:asciiTheme="majorHAnsi" w:hAnsiTheme="majorHAnsi" w:cstheme="majorHAnsi"/>
          <w:sz w:val="24"/>
          <w:szCs w:val="24"/>
        </w:rPr>
      </w:pPr>
      <w:r>
        <w:rPr>
          <w:rFonts w:asciiTheme="majorHAnsi" w:hAnsiTheme="majorHAnsi" w:cstheme="majorHAnsi"/>
          <w:sz w:val="24"/>
          <w:szCs w:val="24"/>
        </w:rPr>
        <w:t>January</w:t>
      </w:r>
      <w:r w:rsidR="00663A6A" w:rsidRPr="00663A6A">
        <w:rPr>
          <w:rFonts w:asciiTheme="majorHAnsi" w:hAnsiTheme="majorHAnsi" w:cstheme="majorHAnsi"/>
          <w:sz w:val="24"/>
          <w:szCs w:val="24"/>
        </w:rPr>
        <w:t xml:space="preserve"> 202</w:t>
      </w:r>
      <w:r>
        <w:rPr>
          <w:rFonts w:asciiTheme="majorHAnsi" w:hAnsiTheme="majorHAnsi" w:cstheme="majorHAnsi"/>
          <w:sz w:val="24"/>
          <w:szCs w:val="24"/>
        </w:rPr>
        <w:t>4</w:t>
      </w:r>
    </w:p>
    <w:p w14:paraId="66DFA25E" w14:textId="77777777" w:rsidR="00663A6A" w:rsidRDefault="00663A6A" w:rsidP="00347268">
      <w:pPr>
        <w:tabs>
          <w:tab w:val="left" w:pos="360"/>
        </w:tabs>
        <w:spacing w:after="0" w:line="240" w:lineRule="auto"/>
        <w:jc w:val="center"/>
        <w:rPr>
          <w:rFonts w:asciiTheme="majorHAnsi" w:hAnsiTheme="majorHAnsi" w:cstheme="majorHAnsi"/>
          <w:sz w:val="24"/>
          <w:szCs w:val="24"/>
          <w:lang w:val="it-IT"/>
        </w:rPr>
      </w:pPr>
      <w:r w:rsidRPr="00663A6A">
        <w:rPr>
          <w:rFonts w:asciiTheme="majorHAnsi" w:hAnsiTheme="majorHAnsi" w:cstheme="majorHAnsi"/>
          <w:sz w:val="24"/>
          <w:szCs w:val="24"/>
          <w:lang w:val="it-IT"/>
        </w:rPr>
        <w:t>By</w:t>
      </w:r>
    </w:p>
    <w:p w14:paraId="04AD1506" w14:textId="5DEEF359" w:rsidR="00503B9B" w:rsidRDefault="00503B9B" w:rsidP="00347268">
      <w:pPr>
        <w:tabs>
          <w:tab w:val="left" w:pos="360"/>
        </w:tabs>
        <w:spacing w:after="0" w:line="240" w:lineRule="auto"/>
        <w:jc w:val="center"/>
        <w:rPr>
          <w:rFonts w:asciiTheme="majorHAnsi" w:hAnsiTheme="majorHAnsi" w:cstheme="majorHAnsi"/>
          <w:bCs/>
          <w:sz w:val="24"/>
          <w:szCs w:val="24"/>
        </w:rPr>
      </w:pPr>
      <w:r>
        <w:rPr>
          <w:rFonts w:asciiTheme="majorHAnsi" w:hAnsiTheme="majorHAnsi" w:cstheme="majorHAnsi"/>
          <w:bCs/>
          <w:sz w:val="24"/>
          <w:szCs w:val="24"/>
        </w:rPr>
        <w:t xml:space="preserve">Ariel </w:t>
      </w:r>
      <w:proofErr w:type="spellStart"/>
      <w:r>
        <w:rPr>
          <w:rFonts w:asciiTheme="majorHAnsi" w:hAnsiTheme="majorHAnsi" w:cstheme="majorHAnsi"/>
          <w:bCs/>
          <w:sz w:val="24"/>
          <w:szCs w:val="24"/>
        </w:rPr>
        <w:t>Ozdemir</w:t>
      </w:r>
      <w:proofErr w:type="spellEnd"/>
    </w:p>
    <w:p w14:paraId="0C5E840D" w14:textId="2DEE2FEB" w:rsidR="008F4531" w:rsidRPr="008F4531" w:rsidRDefault="00503B9B" w:rsidP="00347268">
      <w:pPr>
        <w:tabs>
          <w:tab w:val="left" w:pos="360"/>
        </w:tabs>
        <w:spacing w:after="0" w:line="240" w:lineRule="auto"/>
        <w:jc w:val="center"/>
        <w:rPr>
          <w:rFonts w:asciiTheme="majorHAnsi" w:hAnsiTheme="majorHAnsi" w:cstheme="majorHAnsi"/>
          <w:bCs/>
          <w:sz w:val="24"/>
          <w:szCs w:val="24"/>
          <w:lang w:val="it-IT"/>
        </w:rPr>
      </w:pPr>
      <w:r>
        <w:rPr>
          <w:rFonts w:asciiTheme="majorHAnsi" w:hAnsiTheme="majorHAnsi" w:cstheme="majorHAnsi"/>
          <w:bCs/>
          <w:sz w:val="24"/>
          <w:szCs w:val="24"/>
        </w:rPr>
        <w:t xml:space="preserve">Luna </w:t>
      </w:r>
      <w:proofErr w:type="spellStart"/>
      <w:r>
        <w:rPr>
          <w:rFonts w:asciiTheme="majorHAnsi" w:hAnsiTheme="majorHAnsi" w:cstheme="majorHAnsi"/>
          <w:bCs/>
          <w:sz w:val="24"/>
          <w:szCs w:val="24"/>
        </w:rPr>
        <w:t>Plet</w:t>
      </w:r>
      <w:proofErr w:type="spellEnd"/>
      <w:r w:rsidR="008F4531" w:rsidRPr="008F4531">
        <w:rPr>
          <w:rFonts w:asciiTheme="majorHAnsi" w:hAnsiTheme="majorHAnsi" w:cstheme="majorHAnsi"/>
          <w:bCs/>
          <w:sz w:val="24"/>
          <w:szCs w:val="24"/>
        </w:rPr>
        <w:br/>
      </w:r>
      <w:proofErr w:type="spellStart"/>
      <w:r w:rsidR="008F4531" w:rsidRPr="008F4531">
        <w:rPr>
          <w:rFonts w:asciiTheme="majorHAnsi" w:hAnsiTheme="majorHAnsi" w:cstheme="majorHAnsi"/>
          <w:bCs/>
          <w:sz w:val="24"/>
          <w:szCs w:val="24"/>
        </w:rPr>
        <w:t>Olimpia</w:t>
      </w:r>
      <w:proofErr w:type="spellEnd"/>
      <w:r w:rsidR="008F4531" w:rsidRPr="008F4531">
        <w:rPr>
          <w:rFonts w:asciiTheme="majorHAnsi" w:hAnsiTheme="majorHAnsi" w:cstheme="majorHAnsi"/>
          <w:bCs/>
          <w:sz w:val="24"/>
          <w:szCs w:val="24"/>
        </w:rPr>
        <w:t xml:space="preserve"> </w:t>
      </w:r>
      <w:proofErr w:type="spellStart"/>
      <w:r w:rsidR="008F4531" w:rsidRPr="008F4531">
        <w:rPr>
          <w:rFonts w:asciiTheme="majorHAnsi" w:hAnsiTheme="majorHAnsi" w:cstheme="majorHAnsi"/>
          <w:bCs/>
          <w:sz w:val="24"/>
          <w:szCs w:val="24"/>
        </w:rPr>
        <w:t>Guidi</w:t>
      </w:r>
      <w:proofErr w:type="spellEnd"/>
    </w:p>
    <w:p w14:paraId="0B3D900F" w14:textId="77777777" w:rsidR="00663A6A" w:rsidRPr="00B80625" w:rsidRDefault="00663A6A" w:rsidP="00347268">
      <w:pPr>
        <w:tabs>
          <w:tab w:val="left" w:pos="360"/>
        </w:tabs>
        <w:spacing w:after="120" w:line="300" w:lineRule="auto"/>
        <w:jc w:val="both"/>
        <w:rPr>
          <w:rFonts w:asciiTheme="majorHAnsi" w:hAnsiTheme="majorHAnsi" w:cstheme="majorHAnsi"/>
        </w:rPr>
      </w:pPr>
    </w:p>
    <w:p w14:paraId="6B42E5CF" w14:textId="77777777" w:rsidR="00B80625" w:rsidRPr="00B80625" w:rsidRDefault="00B80625" w:rsidP="00347268">
      <w:pPr>
        <w:tabs>
          <w:tab w:val="left" w:pos="360"/>
        </w:tabs>
        <w:spacing w:after="120" w:line="300" w:lineRule="auto"/>
        <w:jc w:val="both"/>
        <w:rPr>
          <w:rFonts w:asciiTheme="majorHAnsi" w:hAnsiTheme="majorHAnsi" w:cstheme="majorHAnsi"/>
        </w:rPr>
      </w:pPr>
      <w:r w:rsidRPr="00B80625">
        <w:rPr>
          <w:rFonts w:asciiTheme="majorHAnsi" w:hAnsiTheme="majorHAnsi" w:cstheme="majorHAnsi"/>
          <w:b/>
        </w:rPr>
        <w:t>Broken Chalk</w:t>
      </w:r>
      <w:r w:rsidRPr="00B80625">
        <w:rPr>
          <w:rFonts w:asciiTheme="majorHAnsi" w:hAnsiTheme="majorHAnsi" w:cstheme="majorHAnsi"/>
        </w:rPr>
        <w:t xml:space="preserve"> is an Amsterdam-based non-governmental organisation (NGO) committed to addressing human rights violations in the education sector. It was established in October 2020. A multinational team of dedicated human rights advocates collaborates extensively on researching violations in every corner of the world.</w:t>
      </w:r>
    </w:p>
    <w:p w14:paraId="00771822" w14:textId="77777777" w:rsidR="00B80625" w:rsidRPr="00B80625" w:rsidRDefault="00B80625" w:rsidP="00347268">
      <w:pPr>
        <w:tabs>
          <w:tab w:val="left" w:pos="360"/>
        </w:tabs>
        <w:spacing w:after="120" w:line="300" w:lineRule="auto"/>
        <w:jc w:val="both"/>
        <w:rPr>
          <w:rFonts w:asciiTheme="majorHAnsi" w:hAnsiTheme="majorHAnsi" w:cstheme="majorHAnsi"/>
        </w:rPr>
      </w:pPr>
    </w:p>
    <w:p w14:paraId="73E59369" w14:textId="77777777" w:rsidR="00B80625" w:rsidRPr="00B80625" w:rsidRDefault="00B80625" w:rsidP="00347268">
      <w:pPr>
        <w:tabs>
          <w:tab w:val="left" w:pos="360"/>
        </w:tabs>
        <w:spacing w:after="120" w:line="300" w:lineRule="auto"/>
        <w:jc w:val="both"/>
        <w:rPr>
          <w:rFonts w:asciiTheme="majorHAnsi" w:hAnsiTheme="majorHAnsi" w:cstheme="majorHAnsi"/>
        </w:rPr>
      </w:pPr>
      <w:r w:rsidRPr="00B80625">
        <w:rPr>
          <w:rFonts w:asciiTheme="majorHAnsi" w:hAnsiTheme="majorHAnsi" w:cstheme="majorHAnsi"/>
        </w:rPr>
        <w:t>The organisation's primary activities include removing obstacles to education, promoting peace and tranquillity in society through intercultural tolerance, preventing radicalism and polarisation, and eliminating educational opportunity gaps across different demographics.</w:t>
      </w:r>
    </w:p>
    <w:p w14:paraId="495512CA" w14:textId="77777777" w:rsidR="00B80625" w:rsidRPr="00B80625" w:rsidRDefault="00B80625" w:rsidP="00347268">
      <w:pPr>
        <w:tabs>
          <w:tab w:val="left" w:pos="360"/>
        </w:tabs>
        <w:spacing w:after="120" w:line="300" w:lineRule="auto"/>
        <w:jc w:val="both"/>
        <w:rPr>
          <w:rFonts w:asciiTheme="majorHAnsi" w:hAnsiTheme="majorHAnsi" w:cstheme="majorHAnsi"/>
        </w:rPr>
      </w:pPr>
    </w:p>
    <w:p w14:paraId="4BDB75D8" w14:textId="20C38119" w:rsidR="0070588B" w:rsidRDefault="00B80625" w:rsidP="00347268">
      <w:pPr>
        <w:tabs>
          <w:tab w:val="left" w:pos="360"/>
        </w:tabs>
        <w:spacing w:after="120" w:line="300" w:lineRule="auto"/>
        <w:jc w:val="both"/>
        <w:rPr>
          <w:rFonts w:asciiTheme="majorHAnsi" w:hAnsiTheme="majorHAnsi" w:cstheme="majorHAnsi"/>
        </w:rPr>
      </w:pPr>
      <w:r w:rsidRPr="00B80625">
        <w:rPr>
          <w:rFonts w:asciiTheme="majorHAnsi" w:hAnsiTheme="majorHAnsi" w:cstheme="majorHAnsi"/>
        </w:rPr>
        <w:t>Broken Chalk works hard in advocacy and lobbying on behalf of these educational victims, engaging with international organisations to prompt action. Additionally, the volunteers and interns working remotely worldwide at Broken Chalk prepare comprehensive reports for international organisations, stakeholders, and governments, highlighting human rights violations in education. These reports aim to draw attention to the often-overlooked aspects of human rights violations, providing stakeholders with a complete understanding and calling for the international community to act in cases where conflict halts access to education and endangers civilians’ lives. This approach ensures that awareness is raised and necessary actions are taken to address these violations. Broken Chalk is genuinely international, achieving a local and global perspective in its work.</w:t>
      </w:r>
    </w:p>
    <w:p w14:paraId="0A3D2AB0" w14:textId="77777777" w:rsidR="00347268" w:rsidRDefault="00B80625" w:rsidP="00347268">
      <w:pPr>
        <w:pStyle w:val="TBal"/>
        <w:spacing w:before="0" w:after="120" w:line="300" w:lineRule="auto"/>
        <w:rPr>
          <w:rFonts w:cstheme="majorHAnsi"/>
        </w:rPr>
      </w:pPr>
      <w:r>
        <w:rPr>
          <w:rFonts w:cstheme="majorHAnsi"/>
        </w:rPr>
        <w:br w:type="page"/>
      </w:r>
    </w:p>
    <w:sdt>
      <w:sdtPr>
        <w:id w:val="125431620"/>
        <w:docPartObj>
          <w:docPartGallery w:val="Table of Contents"/>
          <w:docPartUnique/>
        </w:docPartObj>
      </w:sdtPr>
      <w:sdtEndPr>
        <w:rPr>
          <w:b/>
          <w:bCs/>
          <w:noProof/>
        </w:rPr>
      </w:sdtEndPr>
      <w:sdtContent>
        <w:p w14:paraId="12830F09" w14:textId="3A7A8B42" w:rsidR="007010B4" w:rsidRPr="00347268" w:rsidRDefault="007010B4" w:rsidP="00347268">
          <w:pPr>
            <w:tabs>
              <w:tab w:val="left" w:pos="360"/>
            </w:tabs>
            <w:spacing w:after="120" w:line="300" w:lineRule="auto"/>
            <w:jc w:val="both"/>
            <w:rPr>
              <w:b/>
              <w:sz w:val="44"/>
              <w:szCs w:val="44"/>
            </w:rPr>
          </w:pPr>
          <w:r w:rsidRPr="00347268">
            <w:rPr>
              <w:b/>
              <w:sz w:val="44"/>
              <w:szCs w:val="44"/>
            </w:rPr>
            <w:t>Table of Contents</w:t>
          </w:r>
        </w:p>
        <w:p w14:paraId="574AFF43" w14:textId="62B6CF8F" w:rsidR="00347268" w:rsidRPr="00347268" w:rsidRDefault="007010B4">
          <w:pPr>
            <w:pStyle w:val="T1"/>
            <w:tabs>
              <w:tab w:val="right" w:leader="dot" w:pos="9074"/>
            </w:tabs>
            <w:rPr>
              <w:rFonts w:eastAsiaTheme="minorEastAsia" w:cstheme="minorBidi"/>
              <w:b w:val="0"/>
              <w:bCs w:val="0"/>
              <w:i w:val="0"/>
              <w:iCs w:val="0"/>
              <w:noProof/>
              <w:sz w:val="28"/>
              <w:szCs w:val="28"/>
              <w:lang w:eastAsia="en-GB"/>
            </w:rPr>
          </w:pPr>
          <w:r w:rsidRPr="00347268">
            <w:rPr>
              <w:b w:val="0"/>
              <w:bCs w:val="0"/>
              <w:i w:val="0"/>
              <w:sz w:val="28"/>
              <w:szCs w:val="28"/>
            </w:rPr>
            <w:fldChar w:fldCharType="begin"/>
          </w:r>
          <w:r w:rsidRPr="00347268">
            <w:rPr>
              <w:i w:val="0"/>
              <w:sz w:val="28"/>
              <w:szCs w:val="28"/>
            </w:rPr>
            <w:instrText xml:space="preserve"> TOC \o "1-3" \h \z \u </w:instrText>
          </w:r>
          <w:r w:rsidRPr="00347268">
            <w:rPr>
              <w:b w:val="0"/>
              <w:bCs w:val="0"/>
              <w:i w:val="0"/>
              <w:sz w:val="28"/>
              <w:szCs w:val="28"/>
            </w:rPr>
            <w:fldChar w:fldCharType="separate"/>
          </w:r>
          <w:hyperlink w:anchor="_Toc157634167" w:history="1">
            <w:r w:rsidR="00347268" w:rsidRPr="00347268">
              <w:rPr>
                <w:rStyle w:val="Kpr"/>
                <w:rFonts w:eastAsia="Calibri"/>
                <w:i w:val="0"/>
                <w:noProof/>
                <w:sz w:val="28"/>
                <w:szCs w:val="28"/>
              </w:rPr>
              <w:t>Education</w:t>
            </w:r>
            <w:r w:rsidR="00347268" w:rsidRPr="00347268">
              <w:rPr>
                <w:i w:val="0"/>
                <w:noProof/>
                <w:webHidden/>
                <w:sz w:val="28"/>
                <w:szCs w:val="28"/>
              </w:rPr>
              <w:tab/>
            </w:r>
            <w:r w:rsidR="00347268" w:rsidRPr="00347268">
              <w:rPr>
                <w:i w:val="0"/>
                <w:noProof/>
                <w:webHidden/>
                <w:sz w:val="28"/>
                <w:szCs w:val="28"/>
              </w:rPr>
              <w:fldChar w:fldCharType="begin"/>
            </w:r>
            <w:r w:rsidR="00347268" w:rsidRPr="00347268">
              <w:rPr>
                <w:i w:val="0"/>
                <w:noProof/>
                <w:webHidden/>
                <w:sz w:val="28"/>
                <w:szCs w:val="28"/>
              </w:rPr>
              <w:instrText xml:space="preserve"> PAGEREF _Toc157634167 \h </w:instrText>
            </w:r>
            <w:r w:rsidR="00347268" w:rsidRPr="00347268">
              <w:rPr>
                <w:i w:val="0"/>
                <w:noProof/>
                <w:webHidden/>
                <w:sz w:val="28"/>
                <w:szCs w:val="28"/>
              </w:rPr>
            </w:r>
            <w:r w:rsidR="00347268" w:rsidRPr="00347268">
              <w:rPr>
                <w:i w:val="0"/>
                <w:noProof/>
                <w:webHidden/>
                <w:sz w:val="28"/>
                <w:szCs w:val="28"/>
              </w:rPr>
              <w:fldChar w:fldCharType="separate"/>
            </w:r>
            <w:r w:rsidR="00290BC9">
              <w:rPr>
                <w:i w:val="0"/>
                <w:noProof/>
                <w:webHidden/>
                <w:sz w:val="28"/>
                <w:szCs w:val="28"/>
              </w:rPr>
              <w:t>4</w:t>
            </w:r>
            <w:r w:rsidR="00347268" w:rsidRPr="00347268">
              <w:rPr>
                <w:i w:val="0"/>
                <w:noProof/>
                <w:webHidden/>
                <w:sz w:val="28"/>
                <w:szCs w:val="28"/>
              </w:rPr>
              <w:fldChar w:fldCharType="end"/>
            </w:r>
          </w:hyperlink>
        </w:p>
        <w:p w14:paraId="732F8F91" w14:textId="6B495793" w:rsidR="00347268" w:rsidRPr="00347268" w:rsidRDefault="00347268">
          <w:pPr>
            <w:pStyle w:val="T2"/>
            <w:rPr>
              <w:rFonts w:eastAsiaTheme="minorEastAsia" w:cstheme="minorBidi"/>
              <w:b w:val="0"/>
              <w:bCs w:val="0"/>
              <w:iCs w:val="0"/>
              <w:color w:val="auto"/>
              <w:sz w:val="28"/>
              <w:szCs w:val="28"/>
              <w:lang w:eastAsia="en-GB"/>
            </w:rPr>
          </w:pPr>
          <w:hyperlink w:anchor="_Toc157634168" w:history="1">
            <w:r w:rsidRPr="00347268">
              <w:rPr>
                <w:rStyle w:val="Kpr"/>
                <w:sz w:val="28"/>
                <w:szCs w:val="28"/>
              </w:rPr>
              <w:t>Restricted Access to Education in La Esperanza</w:t>
            </w:r>
            <w:r w:rsidRPr="00347268">
              <w:rPr>
                <w:webHidden/>
                <w:sz w:val="28"/>
                <w:szCs w:val="28"/>
              </w:rPr>
              <w:tab/>
            </w:r>
            <w:r w:rsidRPr="00347268">
              <w:rPr>
                <w:webHidden/>
                <w:sz w:val="28"/>
                <w:szCs w:val="28"/>
              </w:rPr>
              <w:fldChar w:fldCharType="begin"/>
            </w:r>
            <w:r w:rsidRPr="00347268">
              <w:rPr>
                <w:webHidden/>
                <w:sz w:val="28"/>
                <w:szCs w:val="28"/>
              </w:rPr>
              <w:instrText xml:space="preserve"> PAGEREF _Toc157634168 \h </w:instrText>
            </w:r>
            <w:r w:rsidRPr="00347268">
              <w:rPr>
                <w:webHidden/>
                <w:sz w:val="28"/>
                <w:szCs w:val="28"/>
              </w:rPr>
            </w:r>
            <w:r w:rsidRPr="00347268">
              <w:rPr>
                <w:webHidden/>
                <w:sz w:val="28"/>
                <w:szCs w:val="28"/>
              </w:rPr>
              <w:fldChar w:fldCharType="separate"/>
            </w:r>
            <w:r w:rsidR="00290BC9">
              <w:rPr>
                <w:webHidden/>
                <w:sz w:val="28"/>
                <w:szCs w:val="28"/>
              </w:rPr>
              <w:t>4</w:t>
            </w:r>
            <w:r w:rsidRPr="00347268">
              <w:rPr>
                <w:webHidden/>
                <w:sz w:val="28"/>
                <w:szCs w:val="28"/>
              </w:rPr>
              <w:fldChar w:fldCharType="end"/>
            </w:r>
          </w:hyperlink>
        </w:p>
        <w:p w14:paraId="02A3B2E7" w14:textId="7416ED4B" w:rsidR="00347268" w:rsidRPr="00347268" w:rsidRDefault="00347268">
          <w:pPr>
            <w:pStyle w:val="T2"/>
            <w:rPr>
              <w:rFonts w:eastAsiaTheme="minorEastAsia" w:cstheme="minorBidi"/>
              <w:b w:val="0"/>
              <w:bCs w:val="0"/>
              <w:iCs w:val="0"/>
              <w:color w:val="auto"/>
              <w:sz w:val="28"/>
              <w:szCs w:val="28"/>
              <w:lang w:eastAsia="en-GB"/>
            </w:rPr>
          </w:pPr>
          <w:hyperlink w:anchor="_Toc157634169" w:history="1">
            <w:r w:rsidRPr="00347268">
              <w:rPr>
                <w:rStyle w:val="Kpr"/>
                <w:sz w:val="28"/>
                <w:szCs w:val="28"/>
              </w:rPr>
              <w:t>Gender-Sensitive Education in El Progreso</w:t>
            </w:r>
            <w:r w:rsidRPr="00347268">
              <w:rPr>
                <w:webHidden/>
                <w:sz w:val="28"/>
                <w:szCs w:val="28"/>
              </w:rPr>
              <w:tab/>
            </w:r>
            <w:r w:rsidRPr="00347268">
              <w:rPr>
                <w:webHidden/>
                <w:sz w:val="28"/>
                <w:szCs w:val="28"/>
              </w:rPr>
              <w:fldChar w:fldCharType="begin"/>
            </w:r>
            <w:r w:rsidRPr="00347268">
              <w:rPr>
                <w:webHidden/>
                <w:sz w:val="28"/>
                <w:szCs w:val="28"/>
              </w:rPr>
              <w:instrText xml:space="preserve"> PAGEREF _Toc157634169 \h </w:instrText>
            </w:r>
            <w:r w:rsidRPr="00347268">
              <w:rPr>
                <w:webHidden/>
                <w:sz w:val="28"/>
                <w:szCs w:val="28"/>
              </w:rPr>
            </w:r>
            <w:r w:rsidRPr="00347268">
              <w:rPr>
                <w:webHidden/>
                <w:sz w:val="28"/>
                <w:szCs w:val="28"/>
              </w:rPr>
              <w:fldChar w:fldCharType="separate"/>
            </w:r>
            <w:r w:rsidR="00290BC9">
              <w:rPr>
                <w:webHidden/>
                <w:sz w:val="28"/>
                <w:szCs w:val="28"/>
              </w:rPr>
              <w:t>5</w:t>
            </w:r>
            <w:r w:rsidRPr="00347268">
              <w:rPr>
                <w:webHidden/>
                <w:sz w:val="28"/>
                <w:szCs w:val="28"/>
              </w:rPr>
              <w:fldChar w:fldCharType="end"/>
            </w:r>
          </w:hyperlink>
        </w:p>
        <w:p w14:paraId="5D12F9E5" w14:textId="73073F1B" w:rsidR="00347268" w:rsidRPr="00347268" w:rsidRDefault="00347268">
          <w:pPr>
            <w:pStyle w:val="T2"/>
            <w:rPr>
              <w:rFonts w:eastAsiaTheme="minorEastAsia" w:cstheme="minorBidi"/>
              <w:b w:val="0"/>
              <w:bCs w:val="0"/>
              <w:iCs w:val="0"/>
              <w:color w:val="auto"/>
              <w:sz w:val="28"/>
              <w:szCs w:val="28"/>
              <w:lang w:eastAsia="en-GB"/>
            </w:rPr>
          </w:pPr>
          <w:hyperlink w:anchor="_Toc157634170" w:history="1">
            <w:r w:rsidRPr="00347268">
              <w:rPr>
                <w:rStyle w:val="Kpr"/>
                <w:sz w:val="28"/>
                <w:szCs w:val="28"/>
              </w:rPr>
              <w:t>Revamping the curriculum to address violence</w:t>
            </w:r>
            <w:r w:rsidRPr="00347268">
              <w:rPr>
                <w:webHidden/>
                <w:sz w:val="28"/>
                <w:szCs w:val="28"/>
              </w:rPr>
              <w:tab/>
            </w:r>
            <w:r w:rsidRPr="00347268">
              <w:rPr>
                <w:webHidden/>
                <w:sz w:val="28"/>
                <w:szCs w:val="28"/>
              </w:rPr>
              <w:fldChar w:fldCharType="begin"/>
            </w:r>
            <w:r w:rsidRPr="00347268">
              <w:rPr>
                <w:webHidden/>
                <w:sz w:val="28"/>
                <w:szCs w:val="28"/>
              </w:rPr>
              <w:instrText xml:space="preserve"> PAGEREF _Toc157634170 \h </w:instrText>
            </w:r>
            <w:r w:rsidRPr="00347268">
              <w:rPr>
                <w:webHidden/>
                <w:sz w:val="28"/>
                <w:szCs w:val="28"/>
              </w:rPr>
            </w:r>
            <w:r w:rsidRPr="00347268">
              <w:rPr>
                <w:webHidden/>
                <w:sz w:val="28"/>
                <w:szCs w:val="28"/>
              </w:rPr>
              <w:fldChar w:fldCharType="separate"/>
            </w:r>
            <w:r w:rsidR="00290BC9">
              <w:rPr>
                <w:webHidden/>
                <w:sz w:val="28"/>
                <w:szCs w:val="28"/>
              </w:rPr>
              <w:t>6</w:t>
            </w:r>
            <w:r w:rsidRPr="00347268">
              <w:rPr>
                <w:webHidden/>
                <w:sz w:val="28"/>
                <w:szCs w:val="28"/>
              </w:rPr>
              <w:fldChar w:fldCharType="end"/>
            </w:r>
          </w:hyperlink>
        </w:p>
        <w:p w14:paraId="3C09A5F4" w14:textId="2268415B" w:rsidR="00347268" w:rsidRPr="00347268" w:rsidRDefault="00347268">
          <w:pPr>
            <w:pStyle w:val="T1"/>
            <w:tabs>
              <w:tab w:val="right" w:leader="dot" w:pos="9074"/>
            </w:tabs>
            <w:rPr>
              <w:rFonts w:eastAsiaTheme="minorEastAsia" w:cstheme="minorBidi"/>
              <w:b w:val="0"/>
              <w:bCs w:val="0"/>
              <w:i w:val="0"/>
              <w:iCs w:val="0"/>
              <w:noProof/>
              <w:sz w:val="28"/>
              <w:szCs w:val="28"/>
              <w:lang w:eastAsia="en-GB"/>
            </w:rPr>
          </w:pPr>
          <w:hyperlink w:anchor="_Toc157634171" w:history="1">
            <w:r w:rsidRPr="00347268">
              <w:rPr>
                <w:rStyle w:val="Kpr"/>
                <w:rFonts w:eastAsia="Calibri"/>
                <w:i w:val="0"/>
                <w:noProof/>
                <w:sz w:val="28"/>
                <w:szCs w:val="28"/>
              </w:rPr>
              <w:t>Gender Realities of Migration in La Esperanza</w:t>
            </w:r>
            <w:r w:rsidRPr="00347268">
              <w:rPr>
                <w:i w:val="0"/>
                <w:noProof/>
                <w:webHidden/>
                <w:sz w:val="28"/>
                <w:szCs w:val="28"/>
              </w:rPr>
              <w:tab/>
            </w:r>
            <w:r w:rsidRPr="00347268">
              <w:rPr>
                <w:i w:val="0"/>
                <w:noProof/>
                <w:webHidden/>
                <w:sz w:val="28"/>
                <w:szCs w:val="28"/>
              </w:rPr>
              <w:fldChar w:fldCharType="begin"/>
            </w:r>
            <w:r w:rsidRPr="00347268">
              <w:rPr>
                <w:i w:val="0"/>
                <w:noProof/>
                <w:webHidden/>
                <w:sz w:val="28"/>
                <w:szCs w:val="28"/>
              </w:rPr>
              <w:instrText xml:space="preserve"> PAGEREF _Toc157634171 \h </w:instrText>
            </w:r>
            <w:r w:rsidRPr="00347268">
              <w:rPr>
                <w:i w:val="0"/>
                <w:noProof/>
                <w:webHidden/>
                <w:sz w:val="28"/>
                <w:szCs w:val="28"/>
              </w:rPr>
            </w:r>
            <w:r w:rsidRPr="00347268">
              <w:rPr>
                <w:i w:val="0"/>
                <w:noProof/>
                <w:webHidden/>
                <w:sz w:val="28"/>
                <w:szCs w:val="28"/>
              </w:rPr>
              <w:fldChar w:fldCharType="separate"/>
            </w:r>
            <w:r w:rsidR="00290BC9">
              <w:rPr>
                <w:i w:val="0"/>
                <w:noProof/>
                <w:webHidden/>
                <w:sz w:val="28"/>
                <w:szCs w:val="28"/>
              </w:rPr>
              <w:t>8</w:t>
            </w:r>
            <w:r w:rsidRPr="00347268">
              <w:rPr>
                <w:i w:val="0"/>
                <w:noProof/>
                <w:webHidden/>
                <w:sz w:val="28"/>
                <w:szCs w:val="28"/>
              </w:rPr>
              <w:fldChar w:fldCharType="end"/>
            </w:r>
          </w:hyperlink>
        </w:p>
        <w:p w14:paraId="5930515D" w14:textId="586E1382" w:rsidR="00347268" w:rsidRPr="00347268" w:rsidRDefault="00347268">
          <w:pPr>
            <w:pStyle w:val="T2"/>
            <w:rPr>
              <w:rFonts w:eastAsiaTheme="minorEastAsia" w:cstheme="minorBidi"/>
              <w:b w:val="0"/>
              <w:bCs w:val="0"/>
              <w:iCs w:val="0"/>
              <w:color w:val="auto"/>
              <w:sz w:val="28"/>
              <w:szCs w:val="28"/>
              <w:lang w:eastAsia="en-GB"/>
            </w:rPr>
          </w:pPr>
          <w:hyperlink w:anchor="_Toc157634172" w:history="1">
            <w:r w:rsidRPr="00347268">
              <w:rPr>
                <w:rStyle w:val="Kpr"/>
                <w:sz w:val="28"/>
                <w:szCs w:val="28"/>
              </w:rPr>
              <w:t>Fleeing Violence</w:t>
            </w:r>
            <w:r w:rsidRPr="00347268">
              <w:rPr>
                <w:webHidden/>
                <w:sz w:val="28"/>
                <w:szCs w:val="28"/>
              </w:rPr>
              <w:tab/>
            </w:r>
            <w:r w:rsidRPr="00347268">
              <w:rPr>
                <w:webHidden/>
                <w:sz w:val="28"/>
                <w:szCs w:val="28"/>
              </w:rPr>
              <w:fldChar w:fldCharType="begin"/>
            </w:r>
            <w:r w:rsidRPr="00347268">
              <w:rPr>
                <w:webHidden/>
                <w:sz w:val="28"/>
                <w:szCs w:val="28"/>
              </w:rPr>
              <w:instrText xml:space="preserve"> PAGEREF _Toc157634172 \h </w:instrText>
            </w:r>
            <w:r w:rsidRPr="00347268">
              <w:rPr>
                <w:webHidden/>
                <w:sz w:val="28"/>
                <w:szCs w:val="28"/>
              </w:rPr>
            </w:r>
            <w:r w:rsidRPr="00347268">
              <w:rPr>
                <w:webHidden/>
                <w:sz w:val="28"/>
                <w:szCs w:val="28"/>
              </w:rPr>
              <w:fldChar w:fldCharType="separate"/>
            </w:r>
            <w:r w:rsidR="00290BC9">
              <w:rPr>
                <w:webHidden/>
                <w:sz w:val="28"/>
                <w:szCs w:val="28"/>
              </w:rPr>
              <w:t>8</w:t>
            </w:r>
            <w:r w:rsidRPr="00347268">
              <w:rPr>
                <w:webHidden/>
                <w:sz w:val="28"/>
                <w:szCs w:val="28"/>
              </w:rPr>
              <w:fldChar w:fldCharType="end"/>
            </w:r>
          </w:hyperlink>
        </w:p>
        <w:p w14:paraId="2DAE40D1" w14:textId="234A598E" w:rsidR="00347268" w:rsidRPr="00347268" w:rsidRDefault="00347268">
          <w:pPr>
            <w:pStyle w:val="T2"/>
            <w:rPr>
              <w:rFonts w:eastAsiaTheme="minorEastAsia" w:cstheme="minorBidi"/>
              <w:b w:val="0"/>
              <w:bCs w:val="0"/>
              <w:iCs w:val="0"/>
              <w:color w:val="auto"/>
              <w:sz w:val="28"/>
              <w:szCs w:val="28"/>
              <w:lang w:eastAsia="en-GB"/>
            </w:rPr>
          </w:pPr>
          <w:hyperlink w:anchor="_Toc157634173" w:history="1">
            <w:r w:rsidRPr="00347268">
              <w:rPr>
                <w:rStyle w:val="Kpr"/>
                <w:sz w:val="28"/>
                <w:szCs w:val="28"/>
              </w:rPr>
              <w:t>Escaping Poverty</w:t>
            </w:r>
            <w:r w:rsidRPr="00347268">
              <w:rPr>
                <w:webHidden/>
                <w:sz w:val="28"/>
                <w:szCs w:val="28"/>
              </w:rPr>
              <w:tab/>
            </w:r>
            <w:r w:rsidRPr="00347268">
              <w:rPr>
                <w:webHidden/>
                <w:sz w:val="28"/>
                <w:szCs w:val="28"/>
              </w:rPr>
              <w:fldChar w:fldCharType="begin"/>
            </w:r>
            <w:r w:rsidRPr="00347268">
              <w:rPr>
                <w:webHidden/>
                <w:sz w:val="28"/>
                <w:szCs w:val="28"/>
              </w:rPr>
              <w:instrText xml:space="preserve"> PAGEREF _Toc157634173 \h </w:instrText>
            </w:r>
            <w:r w:rsidRPr="00347268">
              <w:rPr>
                <w:webHidden/>
                <w:sz w:val="28"/>
                <w:szCs w:val="28"/>
              </w:rPr>
            </w:r>
            <w:r w:rsidRPr="00347268">
              <w:rPr>
                <w:webHidden/>
                <w:sz w:val="28"/>
                <w:szCs w:val="28"/>
              </w:rPr>
              <w:fldChar w:fldCharType="separate"/>
            </w:r>
            <w:r w:rsidR="00290BC9">
              <w:rPr>
                <w:webHidden/>
                <w:sz w:val="28"/>
                <w:szCs w:val="28"/>
              </w:rPr>
              <w:t>8</w:t>
            </w:r>
            <w:r w:rsidRPr="00347268">
              <w:rPr>
                <w:webHidden/>
                <w:sz w:val="28"/>
                <w:szCs w:val="28"/>
              </w:rPr>
              <w:fldChar w:fldCharType="end"/>
            </w:r>
          </w:hyperlink>
        </w:p>
        <w:p w14:paraId="10F95836" w14:textId="0459297C" w:rsidR="00347268" w:rsidRPr="00347268" w:rsidRDefault="00347268">
          <w:pPr>
            <w:pStyle w:val="T2"/>
            <w:rPr>
              <w:rFonts w:eastAsiaTheme="minorEastAsia" w:cstheme="minorBidi"/>
              <w:b w:val="0"/>
              <w:bCs w:val="0"/>
              <w:iCs w:val="0"/>
              <w:color w:val="auto"/>
              <w:sz w:val="28"/>
              <w:szCs w:val="28"/>
              <w:lang w:eastAsia="en-GB"/>
            </w:rPr>
          </w:pPr>
          <w:hyperlink w:anchor="_Toc157634174" w:history="1">
            <w:r w:rsidRPr="00347268">
              <w:rPr>
                <w:rStyle w:val="Kpr"/>
                <w:sz w:val="28"/>
                <w:szCs w:val="28"/>
              </w:rPr>
              <w:t>Lack of Economic Opportunities</w:t>
            </w:r>
            <w:r w:rsidRPr="00347268">
              <w:rPr>
                <w:webHidden/>
                <w:sz w:val="28"/>
                <w:szCs w:val="28"/>
              </w:rPr>
              <w:tab/>
            </w:r>
            <w:r w:rsidRPr="00347268">
              <w:rPr>
                <w:webHidden/>
                <w:sz w:val="28"/>
                <w:szCs w:val="28"/>
              </w:rPr>
              <w:fldChar w:fldCharType="begin"/>
            </w:r>
            <w:r w:rsidRPr="00347268">
              <w:rPr>
                <w:webHidden/>
                <w:sz w:val="28"/>
                <w:szCs w:val="28"/>
              </w:rPr>
              <w:instrText xml:space="preserve"> PAGEREF _Toc157634174 \h </w:instrText>
            </w:r>
            <w:r w:rsidRPr="00347268">
              <w:rPr>
                <w:webHidden/>
                <w:sz w:val="28"/>
                <w:szCs w:val="28"/>
              </w:rPr>
            </w:r>
            <w:r w:rsidRPr="00347268">
              <w:rPr>
                <w:webHidden/>
                <w:sz w:val="28"/>
                <w:szCs w:val="28"/>
              </w:rPr>
              <w:fldChar w:fldCharType="separate"/>
            </w:r>
            <w:r w:rsidR="00290BC9">
              <w:rPr>
                <w:webHidden/>
                <w:sz w:val="28"/>
                <w:szCs w:val="28"/>
              </w:rPr>
              <w:t>9</w:t>
            </w:r>
            <w:r w:rsidRPr="00347268">
              <w:rPr>
                <w:webHidden/>
                <w:sz w:val="28"/>
                <w:szCs w:val="28"/>
              </w:rPr>
              <w:fldChar w:fldCharType="end"/>
            </w:r>
          </w:hyperlink>
        </w:p>
        <w:p w14:paraId="48B9D1A1" w14:textId="6EDBBAB1" w:rsidR="00347268" w:rsidRPr="00347268" w:rsidRDefault="00347268">
          <w:pPr>
            <w:pStyle w:val="T1"/>
            <w:tabs>
              <w:tab w:val="right" w:leader="dot" w:pos="9074"/>
            </w:tabs>
            <w:rPr>
              <w:rFonts w:eastAsiaTheme="minorEastAsia" w:cstheme="minorBidi"/>
              <w:b w:val="0"/>
              <w:bCs w:val="0"/>
              <w:i w:val="0"/>
              <w:iCs w:val="0"/>
              <w:noProof/>
              <w:sz w:val="28"/>
              <w:szCs w:val="28"/>
              <w:lang w:eastAsia="en-GB"/>
            </w:rPr>
          </w:pPr>
          <w:hyperlink w:anchor="_Toc157634175" w:history="1">
            <w:r w:rsidRPr="00347268">
              <w:rPr>
                <w:rStyle w:val="Kpr"/>
                <w:rFonts w:eastAsia="Calibri"/>
                <w:i w:val="0"/>
                <w:noProof/>
                <w:sz w:val="28"/>
                <w:szCs w:val="28"/>
              </w:rPr>
              <w:t>Privatisation and Vulnerability: A Gender Perspective</w:t>
            </w:r>
            <w:r w:rsidRPr="00347268">
              <w:rPr>
                <w:i w:val="0"/>
                <w:noProof/>
                <w:webHidden/>
                <w:sz w:val="28"/>
                <w:szCs w:val="28"/>
              </w:rPr>
              <w:tab/>
            </w:r>
            <w:r w:rsidRPr="00347268">
              <w:rPr>
                <w:i w:val="0"/>
                <w:noProof/>
                <w:webHidden/>
                <w:sz w:val="28"/>
                <w:szCs w:val="28"/>
              </w:rPr>
              <w:fldChar w:fldCharType="begin"/>
            </w:r>
            <w:r w:rsidRPr="00347268">
              <w:rPr>
                <w:i w:val="0"/>
                <w:noProof/>
                <w:webHidden/>
                <w:sz w:val="28"/>
                <w:szCs w:val="28"/>
              </w:rPr>
              <w:instrText xml:space="preserve"> PAGEREF _Toc157634175 \h </w:instrText>
            </w:r>
            <w:r w:rsidRPr="00347268">
              <w:rPr>
                <w:i w:val="0"/>
                <w:noProof/>
                <w:webHidden/>
                <w:sz w:val="28"/>
                <w:szCs w:val="28"/>
              </w:rPr>
            </w:r>
            <w:r w:rsidRPr="00347268">
              <w:rPr>
                <w:i w:val="0"/>
                <w:noProof/>
                <w:webHidden/>
                <w:sz w:val="28"/>
                <w:szCs w:val="28"/>
              </w:rPr>
              <w:fldChar w:fldCharType="separate"/>
            </w:r>
            <w:r w:rsidR="00290BC9">
              <w:rPr>
                <w:i w:val="0"/>
                <w:noProof/>
                <w:webHidden/>
                <w:sz w:val="28"/>
                <w:szCs w:val="28"/>
              </w:rPr>
              <w:t>10</w:t>
            </w:r>
            <w:r w:rsidRPr="00347268">
              <w:rPr>
                <w:i w:val="0"/>
                <w:noProof/>
                <w:webHidden/>
                <w:sz w:val="28"/>
                <w:szCs w:val="28"/>
              </w:rPr>
              <w:fldChar w:fldCharType="end"/>
            </w:r>
          </w:hyperlink>
        </w:p>
        <w:p w14:paraId="1BABE84E" w14:textId="5FEED655" w:rsidR="00347268" w:rsidRPr="00347268" w:rsidRDefault="00347268">
          <w:pPr>
            <w:pStyle w:val="T2"/>
            <w:rPr>
              <w:rFonts w:eastAsiaTheme="minorEastAsia" w:cstheme="minorBidi"/>
              <w:b w:val="0"/>
              <w:bCs w:val="0"/>
              <w:iCs w:val="0"/>
              <w:color w:val="auto"/>
              <w:sz w:val="28"/>
              <w:szCs w:val="28"/>
              <w:lang w:eastAsia="en-GB"/>
            </w:rPr>
          </w:pPr>
          <w:hyperlink w:anchor="_Toc157634176" w:history="1">
            <w:r w:rsidRPr="00347268">
              <w:rPr>
                <w:rStyle w:val="Kpr"/>
                <w:sz w:val="28"/>
                <w:szCs w:val="28"/>
              </w:rPr>
              <w:t>Economic Vulnerability</w:t>
            </w:r>
            <w:r w:rsidRPr="00347268">
              <w:rPr>
                <w:webHidden/>
                <w:sz w:val="28"/>
                <w:szCs w:val="28"/>
              </w:rPr>
              <w:tab/>
            </w:r>
            <w:r w:rsidRPr="00347268">
              <w:rPr>
                <w:webHidden/>
                <w:sz w:val="28"/>
                <w:szCs w:val="28"/>
              </w:rPr>
              <w:fldChar w:fldCharType="begin"/>
            </w:r>
            <w:r w:rsidRPr="00347268">
              <w:rPr>
                <w:webHidden/>
                <w:sz w:val="28"/>
                <w:szCs w:val="28"/>
              </w:rPr>
              <w:instrText xml:space="preserve"> PAGEREF _Toc157634176 \h </w:instrText>
            </w:r>
            <w:r w:rsidRPr="00347268">
              <w:rPr>
                <w:webHidden/>
                <w:sz w:val="28"/>
                <w:szCs w:val="28"/>
              </w:rPr>
            </w:r>
            <w:r w:rsidRPr="00347268">
              <w:rPr>
                <w:webHidden/>
                <w:sz w:val="28"/>
                <w:szCs w:val="28"/>
              </w:rPr>
              <w:fldChar w:fldCharType="separate"/>
            </w:r>
            <w:r w:rsidR="00290BC9">
              <w:rPr>
                <w:webHidden/>
                <w:sz w:val="28"/>
                <w:szCs w:val="28"/>
              </w:rPr>
              <w:t>10</w:t>
            </w:r>
            <w:r w:rsidRPr="00347268">
              <w:rPr>
                <w:webHidden/>
                <w:sz w:val="28"/>
                <w:szCs w:val="28"/>
              </w:rPr>
              <w:fldChar w:fldCharType="end"/>
            </w:r>
          </w:hyperlink>
        </w:p>
        <w:p w14:paraId="2CFBB182" w14:textId="11F0D4DC" w:rsidR="00347268" w:rsidRPr="00347268" w:rsidRDefault="00347268">
          <w:pPr>
            <w:pStyle w:val="T2"/>
            <w:rPr>
              <w:rFonts w:eastAsiaTheme="minorEastAsia" w:cstheme="minorBidi"/>
              <w:b w:val="0"/>
              <w:bCs w:val="0"/>
              <w:iCs w:val="0"/>
              <w:color w:val="auto"/>
              <w:sz w:val="28"/>
              <w:szCs w:val="28"/>
              <w:lang w:eastAsia="en-GB"/>
            </w:rPr>
          </w:pPr>
          <w:hyperlink w:anchor="_Toc157634177" w:history="1">
            <w:r w:rsidRPr="00347268">
              <w:rPr>
                <w:rStyle w:val="Kpr"/>
                <w:sz w:val="28"/>
                <w:szCs w:val="28"/>
              </w:rPr>
              <w:t>Educational Disparities</w:t>
            </w:r>
            <w:r w:rsidRPr="00347268">
              <w:rPr>
                <w:webHidden/>
                <w:sz w:val="28"/>
                <w:szCs w:val="28"/>
              </w:rPr>
              <w:tab/>
            </w:r>
            <w:r w:rsidRPr="00347268">
              <w:rPr>
                <w:webHidden/>
                <w:sz w:val="28"/>
                <w:szCs w:val="28"/>
              </w:rPr>
              <w:fldChar w:fldCharType="begin"/>
            </w:r>
            <w:r w:rsidRPr="00347268">
              <w:rPr>
                <w:webHidden/>
                <w:sz w:val="28"/>
                <w:szCs w:val="28"/>
              </w:rPr>
              <w:instrText xml:space="preserve"> PAGEREF _Toc157634177 \h </w:instrText>
            </w:r>
            <w:r w:rsidRPr="00347268">
              <w:rPr>
                <w:webHidden/>
                <w:sz w:val="28"/>
                <w:szCs w:val="28"/>
              </w:rPr>
            </w:r>
            <w:r w:rsidRPr="00347268">
              <w:rPr>
                <w:webHidden/>
                <w:sz w:val="28"/>
                <w:szCs w:val="28"/>
              </w:rPr>
              <w:fldChar w:fldCharType="separate"/>
            </w:r>
            <w:r w:rsidR="00290BC9">
              <w:rPr>
                <w:webHidden/>
                <w:sz w:val="28"/>
                <w:szCs w:val="28"/>
              </w:rPr>
              <w:t>10</w:t>
            </w:r>
            <w:r w:rsidRPr="00347268">
              <w:rPr>
                <w:webHidden/>
                <w:sz w:val="28"/>
                <w:szCs w:val="28"/>
              </w:rPr>
              <w:fldChar w:fldCharType="end"/>
            </w:r>
          </w:hyperlink>
        </w:p>
        <w:p w14:paraId="4ED59268" w14:textId="547B4203" w:rsidR="00347268" w:rsidRPr="00347268" w:rsidRDefault="00347268">
          <w:pPr>
            <w:pStyle w:val="T2"/>
            <w:rPr>
              <w:rFonts w:eastAsiaTheme="minorEastAsia" w:cstheme="minorBidi"/>
              <w:b w:val="0"/>
              <w:bCs w:val="0"/>
              <w:iCs w:val="0"/>
              <w:color w:val="auto"/>
              <w:sz w:val="28"/>
              <w:szCs w:val="28"/>
              <w:lang w:eastAsia="en-GB"/>
            </w:rPr>
          </w:pPr>
          <w:hyperlink w:anchor="_Toc157634178" w:history="1">
            <w:r w:rsidRPr="00347268">
              <w:rPr>
                <w:rStyle w:val="Kpr"/>
                <w:sz w:val="28"/>
                <w:szCs w:val="28"/>
              </w:rPr>
              <w:t>Healthcare Challenges</w:t>
            </w:r>
            <w:r w:rsidRPr="00347268">
              <w:rPr>
                <w:webHidden/>
                <w:sz w:val="28"/>
                <w:szCs w:val="28"/>
              </w:rPr>
              <w:tab/>
            </w:r>
            <w:r w:rsidRPr="00347268">
              <w:rPr>
                <w:webHidden/>
                <w:sz w:val="28"/>
                <w:szCs w:val="28"/>
              </w:rPr>
              <w:fldChar w:fldCharType="begin"/>
            </w:r>
            <w:r w:rsidRPr="00347268">
              <w:rPr>
                <w:webHidden/>
                <w:sz w:val="28"/>
                <w:szCs w:val="28"/>
              </w:rPr>
              <w:instrText xml:space="preserve"> PAGEREF _Toc157634178 \h </w:instrText>
            </w:r>
            <w:r w:rsidRPr="00347268">
              <w:rPr>
                <w:webHidden/>
                <w:sz w:val="28"/>
                <w:szCs w:val="28"/>
              </w:rPr>
            </w:r>
            <w:r w:rsidRPr="00347268">
              <w:rPr>
                <w:webHidden/>
                <w:sz w:val="28"/>
                <w:szCs w:val="28"/>
              </w:rPr>
              <w:fldChar w:fldCharType="separate"/>
            </w:r>
            <w:r w:rsidR="00290BC9">
              <w:rPr>
                <w:webHidden/>
                <w:sz w:val="28"/>
                <w:szCs w:val="28"/>
              </w:rPr>
              <w:t>11</w:t>
            </w:r>
            <w:r w:rsidRPr="00347268">
              <w:rPr>
                <w:webHidden/>
                <w:sz w:val="28"/>
                <w:szCs w:val="28"/>
              </w:rPr>
              <w:fldChar w:fldCharType="end"/>
            </w:r>
          </w:hyperlink>
        </w:p>
        <w:p w14:paraId="725E72E0" w14:textId="7EB63D20" w:rsidR="00347268" w:rsidRPr="00347268" w:rsidRDefault="00347268">
          <w:pPr>
            <w:pStyle w:val="T2"/>
            <w:rPr>
              <w:rFonts w:eastAsiaTheme="minorEastAsia" w:cstheme="minorBidi"/>
              <w:b w:val="0"/>
              <w:bCs w:val="0"/>
              <w:iCs w:val="0"/>
              <w:color w:val="auto"/>
              <w:sz w:val="28"/>
              <w:szCs w:val="28"/>
              <w:lang w:eastAsia="en-GB"/>
            </w:rPr>
          </w:pPr>
          <w:hyperlink w:anchor="_Toc157634179" w:history="1">
            <w:r w:rsidRPr="00347268">
              <w:rPr>
                <w:rStyle w:val="Kpr"/>
                <w:sz w:val="28"/>
                <w:szCs w:val="28"/>
              </w:rPr>
              <w:t>Employment Insecurity</w:t>
            </w:r>
            <w:r w:rsidRPr="00347268">
              <w:rPr>
                <w:webHidden/>
                <w:sz w:val="28"/>
                <w:szCs w:val="28"/>
              </w:rPr>
              <w:tab/>
            </w:r>
            <w:r w:rsidRPr="00347268">
              <w:rPr>
                <w:webHidden/>
                <w:sz w:val="28"/>
                <w:szCs w:val="28"/>
              </w:rPr>
              <w:fldChar w:fldCharType="begin"/>
            </w:r>
            <w:r w:rsidRPr="00347268">
              <w:rPr>
                <w:webHidden/>
                <w:sz w:val="28"/>
                <w:szCs w:val="28"/>
              </w:rPr>
              <w:instrText xml:space="preserve"> PAGEREF _Toc157634179 \h </w:instrText>
            </w:r>
            <w:r w:rsidRPr="00347268">
              <w:rPr>
                <w:webHidden/>
                <w:sz w:val="28"/>
                <w:szCs w:val="28"/>
              </w:rPr>
            </w:r>
            <w:r w:rsidRPr="00347268">
              <w:rPr>
                <w:webHidden/>
                <w:sz w:val="28"/>
                <w:szCs w:val="28"/>
              </w:rPr>
              <w:fldChar w:fldCharType="separate"/>
            </w:r>
            <w:r w:rsidR="00290BC9">
              <w:rPr>
                <w:webHidden/>
                <w:sz w:val="28"/>
                <w:szCs w:val="28"/>
              </w:rPr>
              <w:t>12</w:t>
            </w:r>
            <w:r w:rsidRPr="00347268">
              <w:rPr>
                <w:webHidden/>
                <w:sz w:val="28"/>
                <w:szCs w:val="28"/>
              </w:rPr>
              <w:fldChar w:fldCharType="end"/>
            </w:r>
          </w:hyperlink>
        </w:p>
        <w:p w14:paraId="2C69E613" w14:textId="1D9F94E3" w:rsidR="00347268" w:rsidRPr="00347268" w:rsidRDefault="00347268">
          <w:pPr>
            <w:pStyle w:val="T1"/>
            <w:tabs>
              <w:tab w:val="right" w:leader="dot" w:pos="9074"/>
            </w:tabs>
            <w:rPr>
              <w:rFonts w:eastAsiaTheme="minorEastAsia" w:cstheme="minorBidi"/>
              <w:b w:val="0"/>
              <w:bCs w:val="0"/>
              <w:i w:val="0"/>
              <w:iCs w:val="0"/>
              <w:noProof/>
              <w:sz w:val="28"/>
              <w:szCs w:val="28"/>
              <w:lang w:eastAsia="en-GB"/>
            </w:rPr>
          </w:pPr>
          <w:hyperlink w:anchor="_Toc157634180" w:history="1">
            <w:r w:rsidRPr="00347268">
              <w:rPr>
                <w:rStyle w:val="Kpr"/>
                <w:rFonts w:eastAsia="Calibri"/>
                <w:i w:val="0"/>
                <w:noProof/>
                <w:sz w:val="28"/>
                <w:szCs w:val="28"/>
              </w:rPr>
              <w:t>Femicide</w:t>
            </w:r>
            <w:r w:rsidRPr="00347268">
              <w:rPr>
                <w:i w:val="0"/>
                <w:noProof/>
                <w:webHidden/>
                <w:sz w:val="28"/>
                <w:szCs w:val="28"/>
              </w:rPr>
              <w:tab/>
            </w:r>
            <w:r w:rsidRPr="00347268">
              <w:rPr>
                <w:i w:val="0"/>
                <w:noProof/>
                <w:webHidden/>
                <w:sz w:val="28"/>
                <w:szCs w:val="28"/>
              </w:rPr>
              <w:fldChar w:fldCharType="begin"/>
            </w:r>
            <w:r w:rsidRPr="00347268">
              <w:rPr>
                <w:i w:val="0"/>
                <w:noProof/>
                <w:webHidden/>
                <w:sz w:val="28"/>
                <w:szCs w:val="28"/>
              </w:rPr>
              <w:instrText xml:space="preserve"> PAGEREF _Toc157634180 \h </w:instrText>
            </w:r>
            <w:r w:rsidRPr="00347268">
              <w:rPr>
                <w:i w:val="0"/>
                <w:noProof/>
                <w:webHidden/>
                <w:sz w:val="28"/>
                <w:szCs w:val="28"/>
              </w:rPr>
            </w:r>
            <w:r w:rsidRPr="00347268">
              <w:rPr>
                <w:i w:val="0"/>
                <w:noProof/>
                <w:webHidden/>
                <w:sz w:val="28"/>
                <w:szCs w:val="28"/>
              </w:rPr>
              <w:fldChar w:fldCharType="separate"/>
            </w:r>
            <w:r w:rsidR="00290BC9">
              <w:rPr>
                <w:i w:val="0"/>
                <w:noProof/>
                <w:webHidden/>
                <w:sz w:val="28"/>
                <w:szCs w:val="28"/>
              </w:rPr>
              <w:t>13</w:t>
            </w:r>
            <w:r w:rsidRPr="00347268">
              <w:rPr>
                <w:i w:val="0"/>
                <w:noProof/>
                <w:webHidden/>
                <w:sz w:val="28"/>
                <w:szCs w:val="28"/>
              </w:rPr>
              <w:fldChar w:fldCharType="end"/>
            </w:r>
          </w:hyperlink>
        </w:p>
        <w:p w14:paraId="75AC338D" w14:textId="6DE1C4AC" w:rsidR="00347268" w:rsidRPr="00347268" w:rsidRDefault="00347268">
          <w:pPr>
            <w:pStyle w:val="T2"/>
            <w:rPr>
              <w:rFonts w:eastAsiaTheme="minorEastAsia" w:cstheme="minorBidi"/>
              <w:b w:val="0"/>
              <w:bCs w:val="0"/>
              <w:iCs w:val="0"/>
              <w:color w:val="auto"/>
              <w:sz w:val="28"/>
              <w:szCs w:val="28"/>
              <w:lang w:eastAsia="en-GB"/>
            </w:rPr>
          </w:pPr>
          <w:hyperlink w:anchor="_Toc157634181" w:history="1">
            <w:r w:rsidRPr="00347268">
              <w:rPr>
                <w:rStyle w:val="Kpr"/>
                <w:sz w:val="28"/>
                <w:szCs w:val="28"/>
              </w:rPr>
              <w:t>Current Situation of Femicide and SGBV in Honduras</w:t>
            </w:r>
            <w:r w:rsidRPr="00347268">
              <w:rPr>
                <w:webHidden/>
                <w:sz w:val="28"/>
                <w:szCs w:val="28"/>
              </w:rPr>
              <w:tab/>
            </w:r>
            <w:r w:rsidRPr="00347268">
              <w:rPr>
                <w:webHidden/>
                <w:sz w:val="28"/>
                <w:szCs w:val="28"/>
              </w:rPr>
              <w:fldChar w:fldCharType="begin"/>
            </w:r>
            <w:r w:rsidRPr="00347268">
              <w:rPr>
                <w:webHidden/>
                <w:sz w:val="28"/>
                <w:szCs w:val="28"/>
              </w:rPr>
              <w:instrText xml:space="preserve"> PAGEREF _Toc157634181 \h </w:instrText>
            </w:r>
            <w:r w:rsidRPr="00347268">
              <w:rPr>
                <w:webHidden/>
                <w:sz w:val="28"/>
                <w:szCs w:val="28"/>
              </w:rPr>
            </w:r>
            <w:r w:rsidRPr="00347268">
              <w:rPr>
                <w:webHidden/>
                <w:sz w:val="28"/>
                <w:szCs w:val="28"/>
              </w:rPr>
              <w:fldChar w:fldCharType="separate"/>
            </w:r>
            <w:r w:rsidR="00290BC9">
              <w:rPr>
                <w:webHidden/>
                <w:sz w:val="28"/>
                <w:szCs w:val="28"/>
              </w:rPr>
              <w:t>13</w:t>
            </w:r>
            <w:r w:rsidRPr="00347268">
              <w:rPr>
                <w:webHidden/>
                <w:sz w:val="28"/>
                <w:szCs w:val="28"/>
              </w:rPr>
              <w:fldChar w:fldCharType="end"/>
            </w:r>
          </w:hyperlink>
        </w:p>
        <w:p w14:paraId="6A42A174" w14:textId="64E959B0" w:rsidR="00347268" w:rsidRPr="00347268" w:rsidRDefault="00347268">
          <w:pPr>
            <w:pStyle w:val="T2"/>
            <w:rPr>
              <w:rFonts w:eastAsiaTheme="minorEastAsia" w:cstheme="minorBidi"/>
              <w:b w:val="0"/>
              <w:bCs w:val="0"/>
              <w:iCs w:val="0"/>
              <w:color w:val="auto"/>
              <w:sz w:val="28"/>
              <w:szCs w:val="28"/>
              <w:lang w:eastAsia="en-GB"/>
            </w:rPr>
          </w:pPr>
          <w:hyperlink w:anchor="_Toc157634182" w:history="1">
            <w:r w:rsidRPr="00347268">
              <w:rPr>
                <w:rStyle w:val="Kpr"/>
                <w:sz w:val="28"/>
                <w:szCs w:val="28"/>
              </w:rPr>
              <w:t>Femicide, SGBV, and the Covid-19 Pandemic</w:t>
            </w:r>
            <w:r w:rsidRPr="00347268">
              <w:rPr>
                <w:webHidden/>
                <w:sz w:val="28"/>
                <w:szCs w:val="28"/>
              </w:rPr>
              <w:tab/>
            </w:r>
            <w:r w:rsidRPr="00347268">
              <w:rPr>
                <w:webHidden/>
                <w:sz w:val="28"/>
                <w:szCs w:val="28"/>
              </w:rPr>
              <w:fldChar w:fldCharType="begin"/>
            </w:r>
            <w:r w:rsidRPr="00347268">
              <w:rPr>
                <w:webHidden/>
                <w:sz w:val="28"/>
                <w:szCs w:val="28"/>
              </w:rPr>
              <w:instrText xml:space="preserve"> PAGEREF _Toc157634182 \h </w:instrText>
            </w:r>
            <w:r w:rsidRPr="00347268">
              <w:rPr>
                <w:webHidden/>
                <w:sz w:val="28"/>
                <w:szCs w:val="28"/>
              </w:rPr>
            </w:r>
            <w:r w:rsidRPr="00347268">
              <w:rPr>
                <w:webHidden/>
                <w:sz w:val="28"/>
                <w:szCs w:val="28"/>
              </w:rPr>
              <w:fldChar w:fldCharType="separate"/>
            </w:r>
            <w:r w:rsidR="00290BC9">
              <w:rPr>
                <w:webHidden/>
                <w:sz w:val="28"/>
                <w:szCs w:val="28"/>
              </w:rPr>
              <w:t>14</w:t>
            </w:r>
            <w:r w:rsidRPr="00347268">
              <w:rPr>
                <w:webHidden/>
                <w:sz w:val="28"/>
                <w:szCs w:val="28"/>
              </w:rPr>
              <w:fldChar w:fldCharType="end"/>
            </w:r>
          </w:hyperlink>
        </w:p>
        <w:p w14:paraId="1938DB73" w14:textId="34A3D044" w:rsidR="00347268" w:rsidRPr="00347268" w:rsidRDefault="00347268">
          <w:pPr>
            <w:pStyle w:val="T2"/>
            <w:rPr>
              <w:rFonts w:eastAsiaTheme="minorEastAsia" w:cstheme="minorBidi"/>
              <w:b w:val="0"/>
              <w:bCs w:val="0"/>
              <w:iCs w:val="0"/>
              <w:color w:val="auto"/>
              <w:sz w:val="28"/>
              <w:szCs w:val="28"/>
              <w:lang w:eastAsia="en-GB"/>
            </w:rPr>
          </w:pPr>
          <w:hyperlink w:anchor="_Toc157634183" w:history="1">
            <w:r w:rsidRPr="00347268">
              <w:rPr>
                <w:rStyle w:val="Kpr"/>
                <w:sz w:val="28"/>
                <w:szCs w:val="28"/>
              </w:rPr>
              <w:t>Femicide and Violence in a “post-COVID” world</w:t>
            </w:r>
            <w:r w:rsidRPr="00347268">
              <w:rPr>
                <w:webHidden/>
                <w:sz w:val="28"/>
                <w:szCs w:val="28"/>
              </w:rPr>
              <w:tab/>
            </w:r>
            <w:r w:rsidRPr="00347268">
              <w:rPr>
                <w:webHidden/>
                <w:sz w:val="28"/>
                <w:szCs w:val="28"/>
              </w:rPr>
              <w:fldChar w:fldCharType="begin"/>
            </w:r>
            <w:r w:rsidRPr="00347268">
              <w:rPr>
                <w:webHidden/>
                <w:sz w:val="28"/>
                <w:szCs w:val="28"/>
              </w:rPr>
              <w:instrText xml:space="preserve"> PAGEREF _Toc157634183 \h </w:instrText>
            </w:r>
            <w:r w:rsidRPr="00347268">
              <w:rPr>
                <w:webHidden/>
                <w:sz w:val="28"/>
                <w:szCs w:val="28"/>
              </w:rPr>
            </w:r>
            <w:r w:rsidRPr="00347268">
              <w:rPr>
                <w:webHidden/>
                <w:sz w:val="28"/>
                <w:szCs w:val="28"/>
              </w:rPr>
              <w:fldChar w:fldCharType="separate"/>
            </w:r>
            <w:r w:rsidR="00290BC9">
              <w:rPr>
                <w:webHidden/>
                <w:sz w:val="28"/>
                <w:szCs w:val="28"/>
              </w:rPr>
              <w:t>18</w:t>
            </w:r>
            <w:r w:rsidRPr="00347268">
              <w:rPr>
                <w:webHidden/>
                <w:sz w:val="28"/>
                <w:szCs w:val="28"/>
              </w:rPr>
              <w:fldChar w:fldCharType="end"/>
            </w:r>
          </w:hyperlink>
        </w:p>
        <w:p w14:paraId="35478B5E" w14:textId="52C5FCB2" w:rsidR="00347268" w:rsidRPr="00347268" w:rsidRDefault="00347268">
          <w:pPr>
            <w:pStyle w:val="T2"/>
            <w:rPr>
              <w:rFonts w:eastAsiaTheme="minorEastAsia" w:cstheme="minorBidi"/>
              <w:b w:val="0"/>
              <w:bCs w:val="0"/>
              <w:iCs w:val="0"/>
              <w:color w:val="auto"/>
              <w:sz w:val="28"/>
              <w:szCs w:val="28"/>
              <w:lang w:eastAsia="en-GB"/>
            </w:rPr>
          </w:pPr>
          <w:hyperlink w:anchor="_Toc157634184" w:history="1">
            <w:r w:rsidRPr="00347268">
              <w:rPr>
                <w:rStyle w:val="Kpr"/>
                <w:sz w:val="28"/>
                <w:szCs w:val="28"/>
              </w:rPr>
              <w:t>Violence Response and Prevention: Areas for Improvement</w:t>
            </w:r>
            <w:r w:rsidRPr="00347268">
              <w:rPr>
                <w:webHidden/>
                <w:sz w:val="28"/>
                <w:szCs w:val="28"/>
              </w:rPr>
              <w:tab/>
            </w:r>
            <w:r w:rsidRPr="00347268">
              <w:rPr>
                <w:webHidden/>
                <w:sz w:val="28"/>
                <w:szCs w:val="28"/>
              </w:rPr>
              <w:fldChar w:fldCharType="begin"/>
            </w:r>
            <w:r w:rsidRPr="00347268">
              <w:rPr>
                <w:webHidden/>
                <w:sz w:val="28"/>
                <w:szCs w:val="28"/>
              </w:rPr>
              <w:instrText xml:space="preserve"> PAGEREF _Toc157634184 \h </w:instrText>
            </w:r>
            <w:r w:rsidRPr="00347268">
              <w:rPr>
                <w:webHidden/>
                <w:sz w:val="28"/>
                <w:szCs w:val="28"/>
              </w:rPr>
            </w:r>
            <w:r w:rsidRPr="00347268">
              <w:rPr>
                <w:webHidden/>
                <w:sz w:val="28"/>
                <w:szCs w:val="28"/>
              </w:rPr>
              <w:fldChar w:fldCharType="separate"/>
            </w:r>
            <w:r w:rsidR="00290BC9">
              <w:rPr>
                <w:webHidden/>
                <w:sz w:val="28"/>
                <w:szCs w:val="28"/>
              </w:rPr>
              <w:t>19</w:t>
            </w:r>
            <w:r w:rsidRPr="00347268">
              <w:rPr>
                <w:webHidden/>
                <w:sz w:val="28"/>
                <w:szCs w:val="28"/>
              </w:rPr>
              <w:fldChar w:fldCharType="end"/>
            </w:r>
          </w:hyperlink>
        </w:p>
        <w:p w14:paraId="48E495EC" w14:textId="10E90AAB" w:rsidR="007010B4" w:rsidRDefault="007010B4" w:rsidP="00347268">
          <w:pPr>
            <w:spacing w:after="120" w:line="300" w:lineRule="auto"/>
          </w:pPr>
          <w:r w:rsidRPr="00347268">
            <w:rPr>
              <w:b/>
              <w:bCs/>
              <w:noProof/>
              <w:sz w:val="28"/>
              <w:szCs w:val="28"/>
            </w:rPr>
            <w:fldChar w:fldCharType="end"/>
          </w:r>
        </w:p>
      </w:sdtContent>
    </w:sdt>
    <w:p w14:paraId="10D09A03" w14:textId="77777777" w:rsidR="0070588B" w:rsidRPr="008E55F6" w:rsidRDefault="0070588B" w:rsidP="00347268">
      <w:pPr>
        <w:tabs>
          <w:tab w:val="left" w:pos="360"/>
        </w:tabs>
        <w:spacing w:after="120" w:line="300" w:lineRule="auto"/>
        <w:jc w:val="both"/>
        <w:rPr>
          <w:rFonts w:asciiTheme="majorHAnsi" w:hAnsiTheme="majorHAnsi" w:cstheme="majorHAnsi"/>
        </w:rPr>
      </w:pPr>
    </w:p>
    <w:p w14:paraId="4F827541" w14:textId="77777777" w:rsidR="007010B4" w:rsidRDefault="007010B4" w:rsidP="00347268">
      <w:pPr>
        <w:spacing w:after="120" w:line="300" w:lineRule="auto"/>
        <w:jc w:val="center"/>
        <w:rPr>
          <w:rFonts w:ascii="Calibri" w:eastAsia="Calibri" w:hAnsi="Calibri" w:cs="Calibri"/>
          <w:b/>
          <w:sz w:val="28"/>
          <w:szCs w:val="28"/>
        </w:rPr>
      </w:pPr>
    </w:p>
    <w:p w14:paraId="02081057" w14:textId="77777777" w:rsidR="007010B4" w:rsidRDefault="007010B4" w:rsidP="00347268">
      <w:pPr>
        <w:spacing w:after="120" w:line="300" w:lineRule="auto"/>
        <w:jc w:val="center"/>
        <w:rPr>
          <w:rFonts w:ascii="Calibri" w:eastAsia="Calibri" w:hAnsi="Calibri" w:cs="Calibri"/>
          <w:b/>
          <w:sz w:val="28"/>
          <w:szCs w:val="28"/>
        </w:rPr>
      </w:pPr>
      <w:bookmarkStart w:id="0" w:name="_GoBack"/>
      <w:bookmarkEnd w:id="0"/>
    </w:p>
    <w:p w14:paraId="5C948DCA" w14:textId="4C30AA74" w:rsidR="00F17B03" w:rsidRPr="00347268" w:rsidRDefault="00F17B03" w:rsidP="00347268">
      <w:pPr>
        <w:spacing w:after="120" w:line="300" w:lineRule="auto"/>
        <w:jc w:val="center"/>
        <w:rPr>
          <w:rFonts w:ascii="Calibri" w:eastAsia="Calibri" w:hAnsi="Calibri" w:cs="Calibri"/>
          <w:b/>
          <w:sz w:val="72"/>
          <w:szCs w:val="72"/>
        </w:rPr>
      </w:pPr>
      <w:r w:rsidRPr="00347268">
        <w:rPr>
          <w:rFonts w:ascii="Calibri" w:eastAsia="Calibri" w:hAnsi="Calibri" w:cs="Calibri"/>
          <w:b/>
          <w:sz w:val="72"/>
          <w:szCs w:val="72"/>
        </w:rPr>
        <w:t xml:space="preserve">Honduras </w:t>
      </w:r>
    </w:p>
    <w:p w14:paraId="7745DFE4" w14:textId="77777777" w:rsidR="00347268" w:rsidRDefault="00347268" w:rsidP="00347268">
      <w:pPr>
        <w:pStyle w:val="Balk1"/>
        <w:spacing w:before="0" w:after="120" w:line="300" w:lineRule="auto"/>
        <w:rPr>
          <w:rFonts w:eastAsia="Calibri"/>
        </w:rPr>
      </w:pPr>
      <w:r>
        <w:rPr>
          <w:rFonts w:eastAsia="Calibri"/>
        </w:rPr>
        <w:br w:type="page"/>
      </w:r>
    </w:p>
    <w:p w14:paraId="70ECDCB1" w14:textId="53802CDC" w:rsidR="0005360C" w:rsidRDefault="0005360C" w:rsidP="00347268">
      <w:pPr>
        <w:pStyle w:val="Balk1"/>
        <w:spacing w:before="0" w:after="120" w:line="300" w:lineRule="auto"/>
        <w:rPr>
          <w:rFonts w:eastAsia="Calibri"/>
        </w:rPr>
      </w:pPr>
      <w:bookmarkStart w:id="1" w:name="_Toc157634167"/>
      <w:r>
        <w:rPr>
          <w:rFonts w:eastAsia="Calibri"/>
        </w:rPr>
        <w:lastRenderedPageBreak/>
        <w:t>Education</w:t>
      </w:r>
      <w:bookmarkEnd w:id="1"/>
      <w:r>
        <w:rPr>
          <w:rFonts w:eastAsia="Calibri"/>
        </w:rPr>
        <w:t xml:space="preserve"> </w:t>
      </w:r>
    </w:p>
    <w:p w14:paraId="4A1072D2" w14:textId="6B63DB9C" w:rsidR="00F17B03" w:rsidRPr="00F17B03" w:rsidRDefault="00F17B03" w:rsidP="00347268">
      <w:pPr>
        <w:pStyle w:val="Balk2"/>
        <w:spacing w:before="0" w:after="120" w:line="300" w:lineRule="auto"/>
        <w:rPr>
          <w:rFonts w:eastAsia="Calibri"/>
        </w:rPr>
      </w:pPr>
      <w:bookmarkStart w:id="2" w:name="_Toc157634168"/>
      <w:r w:rsidRPr="00F17B03">
        <w:rPr>
          <w:rFonts w:eastAsia="Calibri"/>
        </w:rPr>
        <w:t>Restricted Access to Education in La Esperanza</w:t>
      </w:r>
      <w:bookmarkEnd w:id="2"/>
    </w:p>
    <w:p w14:paraId="68F7BDD0" w14:textId="0FA42534" w:rsidR="00F17B03" w:rsidRDefault="00F17B03" w:rsidP="00347268">
      <w:pPr>
        <w:spacing w:after="120" w:line="300" w:lineRule="auto"/>
        <w:jc w:val="both"/>
        <w:rPr>
          <w:rFonts w:ascii="Calibri" w:eastAsia="Calibri" w:hAnsi="Calibri" w:cs="Calibri"/>
          <w:sz w:val="24"/>
          <w:szCs w:val="24"/>
        </w:rPr>
      </w:pPr>
      <w:r>
        <w:rPr>
          <w:rFonts w:ascii="Calibri" w:eastAsia="Calibri" w:hAnsi="Calibri" w:cs="Calibri"/>
          <w:sz w:val="24"/>
          <w:szCs w:val="24"/>
        </w:rPr>
        <w:t>The Lenca, indigenous to southwestern Honduras and northeastern El Salvador, reside in approximately 50 villages within a 100-km radius of La Esperanza, the capital city of the mountainous Intibucá department.</w:t>
      </w:r>
      <w:r>
        <w:rPr>
          <w:rFonts w:ascii="Calibri" w:eastAsia="Calibri" w:hAnsi="Calibri" w:cs="Calibri"/>
          <w:sz w:val="24"/>
          <w:szCs w:val="24"/>
          <w:vertAlign w:val="superscript"/>
        </w:rPr>
        <w:footnoteReference w:id="1"/>
      </w:r>
      <w:r>
        <w:rPr>
          <w:rFonts w:ascii="Calibri" w:eastAsia="Calibri" w:hAnsi="Calibri" w:cs="Calibri"/>
          <w:sz w:val="24"/>
          <w:szCs w:val="24"/>
        </w:rPr>
        <w:t xml:space="preserve"> Most of these villages find themselves on the outskirts of the public education system due to factors such as poverty, age, geographic isolation, gender, and ethnicity. These circumstances collectively contribute to the difficulty in accessing education for many inhabitants. </w:t>
      </w:r>
    </w:p>
    <w:p w14:paraId="57D5EC3A" w14:textId="2733ED58" w:rsidR="00F17B03" w:rsidRDefault="00F17B03" w:rsidP="00347268">
      <w:pPr>
        <w:spacing w:after="120" w:line="300" w:lineRule="auto"/>
        <w:jc w:val="both"/>
        <w:rPr>
          <w:rFonts w:ascii="Calibri" w:eastAsia="Calibri" w:hAnsi="Calibri" w:cs="Calibri"/>
          <w:sz w:val="24"/>
          <w:szCs w:val="24"/>
        </w:rPr>
      </w:pPr>
      <w:r>
        <w:rPr>
          <w:rFonts w:ascii="Calibri" w:eastAsia="Calibri" w:hAnsi="Calibri" w:cs="Calibri"/>
          <w:sz w:val="24"/>
          <w:szCs w:val="24"/>
        </w:rPr>
        <w:t xml:space="preserve">The educational hurdles for Lenca girls in Honduras, especially in regions like San Francisco de </w:t>
      </w:r>
      <w:proofErr w:type="spellStart"/>
      <w:r>
        <w:rPr>
          <w:rFonts w:ascii="Calibri" w:eastAsia="Calibri" w:hAnsi="Calibri" w:cs="Calibri"/>
          <w:sz w:val="24"/>
          <w:szCs w:val="24"/>
        </w:rPr>
        <w:t>Opalaca</w:t>
      </w:r>
      <w:proofErr w:type="spellEnd"/>
      <w:r>
        <w:rPr>
          <w:rFonts w:ascii="Calibri" w:eastAsia="Calibri" w:hAnsi="Calibri" w:cs="Calibri"/>
          <w:sz w:val="24"/>
          <w:szCs w:val="24"/>
        </w:rPr>
        <w:t>, are intricate and deeply influenced by socio-economic, cultural, and geographical factors. These challenges are marked by restricted access to education due to economic constraints, particularly affecting girls pursuing primary education. Gender-sensitive education proves to be a critical aspect of the struggles faced by Lenca girls. Prevailing patriarchal norms pose obstacles to their educational opportunities.</w:t>
      </w:r>
    </w:p>
    <w:p w14:paraId="1E7D83A6" w14:textId="423DDFBB" w:rsidR="00F17B03" w:rsidRDefault="00F17B03" w:rsidP="00347268">
      <w:pPr>
        <w:spacing w:after="120" w:line="300" w:lineRule="auto"/>
        <w:jc w:val="both"/>
        <w:rPr>
          <w:rFonts w:ascii="Calibri" w:eastAsia="Calibri" w:hAnsi="Calibri" w:cs="Calibri"/>
          <w:sz w:val="24"/>
          <w:szCs w:val="24"/>
        </w:rPr>
      </w:pPr>
      <w:r>
        <w:rPr>
          <w:rFonts w:ascii="Calibri" w:eastAsia="Calibri" w:hAnsi="Calibri" w:cs="Calibri"/>
          <w:sz w:val="24"/>
          <w:szCs w:val="24"/>
        </w:rPr>
        <w:t xml:space="preserve">Concerns about the quality of education in public schools, notably in regions like San Francisco de </w:t>
      </w:r>
      <w:proofErr w:type="spellStart"/>
      <w:r>
        <w:rPr>
          <w:rFonts w:ascii="Calibri" w:eastAsia="Calibri" w:hAnsi="Calibri" w:cs="Calibri"/>
          <w:sz w:val="24"/>
          <w:szCs w:val="24"/>
        </w:rPr>
        <w:t>Opalaca</w:t>
      </w:r>
      <w:proofErr w:type="spellEnd"/>
      <w:r>
        <w:rPr>
          <w:rFonts w:ascii="Calibri" w:eastAsia="Calibri" w:hAnsi="Calibri" w:cs="Calibri"/>
          <w:sz w:val="24"/>
          <w:szCs w:val="24"/>
        </w:rPr>
        <w:t>, are pronounced. Challenges include limited access to junior high schools in most villages and the geographic obstacles that impede education beyond grade 6.</w:t>
      </w:r>
      <w:r>
        <w:rPr>
          <w:rFonts w:ascii="Calibri" w:eastAsia="Calibri" w:hAnsi="Calibri" w:cs="Calibri"/>
          <w:sz w:val="24"/>
          <w:szCs w:val="24"/>
          <w:vertAlign w:val="superscript"/>
        </w:rPr>
        <w:footnoteReference w:id="2"/>
      </w:r>
      <w:r>
        <w:rPr>
          <w:rFonts w:ascii="Calibri" w:eastAsia="Calibri" w:hAnsi="Calibri" w:cs="Calibri"/>
          <w:sz w:val="24"/>
          <w:szCs w:val="24"/>
        </w:rPr>
        <w:t xml:space="preserve"> Inadequacies in the education infrastructure, such as a shortage of teachers and insufficient facilities, further hinder the provision of quality education for Lenca girls. Furthermore, with a literacy rate of 30-50%, the Lenca population typically spends an average of only four years in school.</w:t>
      </w:r>
      <w:r>
        <w:rPr>
          <w:rFonts w:ascii="Calibri" w:eastAsia="Calibri" w:hAnsi="Calibri" w:cs="Calibri"/>
          <w:sz w:val="24"/>
          <w:szCs w:val="24"/>
          <w:vertAlign w:val="superscript"/>
        </w:rPr>
        <w:footnoteReference w:id="3"/>
      </w:r>
      <w:r>
        <w:rPr>
          <w:rFonts w:ascii="Calibri" w:eastAsia="Calibri" w:hAnsi="Calibri" w:cs="Calibri"/>
          <w:sz w:val="24"/>
          <w:szCs w:val="24"/>
        </w:rPr>
        <w:t xml:space="preserve"> This low educational attainment contributes to a pervasive sense of inferiority and a lack of confidence in advocating for a democratic and civil society.</w:t>
      </w:r>
    </w:p>
    <w:p w14:paraId="66D6FEEF" w14:textId="2D2E65B9" w:rsidR="00F17B03" w:rsidRDefault="00F17B03" w:rsidP="00347268">
      <w:pPr>
        <w:spacing w:after="120" w:line="300" w:lineRule="auto"/>
        <w:jc w:val="both"/>
        <w:rPr>
          <w:rFonts w:ascii="Calibri" w:eastAsia="Calibri" w:hAnsi="Calibri" w:cs="Calibri"/>
          <w:sz w:val="24"/>
          <w:szCs w:val="24"/>
        </w:rPr>
      </w:pPr>
      <w:r>
        <w:rPr>
          <w:rFonts w:ascii="Calibri" w:eastAsia="Calibri" w:hAnsi="Calibri" w:cs="Calibri"/>
          <w:sz w:val="24"/>
          <w:szCs w:val="24"/>
        </w:rPr>
        <w:t>The need for revamping the curriculum to address gender equality, stereotypes, and violence is evident. Emphasis is placed on incorporating human rights workshops to create awareness about gender, cultural, educational, and employment equality.</w:t>
      </w:r>
      <w:r>
        <w:rPr>
          <w:rFonts w:ascii="Calibri" w:eastAsia="Calibri" w:hAnsi="Calibri" w:cs="Calibri"/>
          <w:sz w:val="24"/>
          <w:szCs w:val="24"/>
          <w:vertAlign w:val="superscript"/>
        </w:rPr>
        <w:footnoteReference w:id="4"/>
      </w:r>
      <w:r>
        <w:rPr>
          <w:rFonts w:ascii="Calibri" w:eastAsia="Calibri" w:hAnsi="Calibri" w:cs="Calibri"/>
          <w:sz w:val="24"/>
          <w:szCs w:val="24"/>
        </w:rPr>
        <w:t xml:space="preserve"> This approach strives to foster an inclusive and supportive educational environment, empowering Lenca girls and addressing societal challenges they encounter.</w:t>
      </w:r>
    </w:p>
    <w:p w14:paraId="310448AE" w14:textId="6801319D" w:rsidR="00F17B03" w:rsidRDefault="00F17B03" w:rsidP="00347268">
      <w:pPr>
        <w:spacing w:after="120" w:line="300" w:lineRule="auto"/>
        <w:jc w:val="both"/>
        <w:rPr>
          <w:rFonts w:ascii="Calibri" w:eastAsia="Calibri" w:hAnsi="Calibri" w:cs="Calibri"/>
          <w:sz w:val="24"/>
          <w:szCs w:val="24"/>
        </w:rPr>
      </w:pPr>
      <w:r>
        <w:rPr>
          <w:rFonts w:ascii="Calibri" w:eastAsia="Calibri" w:hAnsi="Calibri" w:cs="Calibri"/>
          <w:sz w:val="24"/>
          <w:szCs w:val="24"/>
        </w:rPr>
        <w:lastRenderedPageBreak/>
        <w:t>Stereotypes and violence present additional barriers for Lenca girls in their educational pursuits. Acknowledging these challenges, there is a recognition of the necessity for support meetings, individual counselling, and workshops to address issues related to school, gender inequality, geographic dislocation, and economic disadvantage.</w:t>
      </w:r>
      <w:r>
        <w:rPr>
          <w:rFonts w:ascii="Calibri" w:eastAsia="Calibri" w:hAnsi="Calibri" w:cs="Calibri"/>
          <w:sz w:val="24"/>
          <w:szCs w:val="24"/>
          <w:vertAlign w:val="superscript"/>
        </w:rPr>
        <w:footnoteReference w:id="5"/>
      </w:r>
      <w:r>
        <w:rPr>
          <w:rFonts w:ascii="Calibri" w:eastAsia="Calibri" w:hAnsi="Calibri" w:cs="Calibri"/>
          <w:sz w:val="24"/>
          <w:szCs w:val="24"/>
        </w:rPr>
        <w:t xml:space="preserve"> These interventions are designed to provide emotional, social, and cultural support while assisting girls in overcoming instances of abuse and exploitation.</w:t>
      </w:r>
    </w:p>
    <w:p w14:paraId="110F1C10" w14:textId="43459D2A" w:rsidR="007010B4" w:rsidRPr="007010B4" w:rsidRDefault="00F17B03" w:rsidP="00347268">
      <w:pPr>
        <w:spacing w:after="120" w:line="300" w:lineRule="auto"/>
        <w:jc w:val="both"/>
        <w:rPr>
          <w:rFonts w:ascii="Calibri" w:eastAsia="Calibri" w:hAnsi="Calibri" w:cs="Calibri"/>
          <w:sz w:val="24"/>
          <w:szCs w:val="24"/>
        </w:rPr>
      </w:pPr>
      <w:r>
        <w:rPr>
          <w:rFonts w:ascii="Calibri" w:eastAsia="Calibri" w:hAnsi="Calibri" w:cs="Calibri"/>
          <w:sz w:val="24"/>
          <w:szCs w:val="24"/>
        </w:rPr>
        <w:t>While external influences such as military or religious factors are not explicitly mentioned, it remains imperative to consider the potential impact of such influences on education. Ensuring that education remains free from undue political, military, or religious pressures is crucial for fostering a balanced and inclusive learning environment aligned with human rights principles. In summary, the educational challenges faced by Lenca girls encompass a spectrum of factors, from economic constraints to gender inequality, hindrances in accessing quality education, and the imperative for adaptable curricula. Efforts to address these challenges aim to provide educational opportunities, empower girls, and create a supportive environment that extends beyond academic learning to encompass broader societal issues.</w:t>
      </w:r>
    </w:p>
    <w:p w14:paraId="21957FD3" w14:textId="1AECFF69" w:rsidR="00F17B03" w:rsidRPr="0005360C" w:rsidRDefault="00F17B03" w:rsidP="00347268">
      <w:pPr>
        <w:pStyle w:val="Balk2"/>
        <w:spacing w:before="0" w:after="120" w:line="300" w:lineRule="auto"/>
        <w:rPr>
          <w:rFonts w:eastAsia="Calibri"/>
        </w:rPr>
      </w:pPr>
      <w:bookmarkStart w:id="3" w:name="_Toc157634169"/>
      <w:r w:rsidRPr="0005360C">
        <w:rPr>
          <w:rFonts w:eastAsia="Calibri"/>
        </w:rPr>
        <w:t xml:space="preserve">Gender-Sensitive Education in El </w:t>
      </w:r>
      <w:proofErr w:type="spellStart"/>
      <w:r w:rsidRPr="0005360C">
        <w:rPr>
          <w:rFonts w:eastAsia="Calibri"/>
        </w:rPr>
        <w:t>Progreso</w:t>
      </w:r>
      <w:bookmarkEnd w:id="3"/>
      <w:proofErr w:type="spellEnd"/>
    </w:p>
    <w:p w14:paraId="0E023313" w14:textId="5A137690" w:rsidR="00F17B03" w:rsidRPr="0005360C" w:rsidRDefault="00F17B03" w:rsidP="00347268">
      <w:pPr>
        <w:spacing w:after="120" w:line="300" w:lineRule="auto"/>
        <w:jc w:val="both"/>
        <w:rPr>
          <w:rFonts w:ascii="Calibri" w:eastAsia="Calibri" w:hAnsi="Calibri" w:cs="Calibri"/>
          <w:strike/>
          <w:sz w:val="24"/>
          <w:szCs w:val="24"/>
        </w:rPr>
      </w:pPr>
      <w:r>
        <w:rPr>
          <w:rFonts w:ascii="Calibri" w:eastAsia="Calibri" w:hAnsi="Calibri" w:cs="Calibri"/>
          <w:sz w:val="24"/>
          <w:szCs w:val="24"/>
        </w:rPr>
        <w:t>In Honduras, fostering healthy masculinities emerges as a crucial strategy for achieving gender equality and combatting deeply ingrained gender-based discrimination.</w:t>
      </w:r>
      <w:r>
        <w:rPr>
          <w:rFonts w:ascii="Calibri" w:eastAsia="Calibri" w:hAnsi="Calibri" w:cs="Calibri"/>
          <w:sz w:val="24"/>
          <w:szCs w:val="24"/>
          <w:vertAlign w:val="superscript"/>
        </w:rPr>
        <w:footnoteReference w:id="6"/>
      </w:r>
      <w:r>
        <w:rPr>
          <w:rFonts w:ascii="Calibri" w:eastAsia="Calibri" w:hAnsi="Calibri" w:cs="Calibri"/>
          <w:sz w:val="24"/>
          <w:szCs w:val="24"/>
        </w:rPr>
        <w:t xml:space="preserve"> The negative impacts of patriarchal models of masculinity extend beyond reinforcing gender inequalities affecting women and girls; they also perpetuate issues such as bullying, depression, harassment, and child marriage among boys and men. The prevalence of gender disparities in education perpetuates cycles of limited opportunities for girls, hindering overall progress. Girls facing higher risks of sexual violence and potential child marriages find education to be a crucial shield against such adversities.</w:t>
      </w:r>
      <w:r>
        <w:rPr>
          <w:rFonts w:ascii="Calibri" w:eastAsia="Calibri" w:hAnsi="Calibri" w:cs="Calibri"/>
          <w:sz w:val="24"/>
          <w:szCs w:val="24"/>
          <w:vertAlign w:val="superscript"/>
        </w:rPr>
        <w:footnoteReference w:id="7"/>
      </w:r>
      <w:r>
        <w:rPr>
          <w:rFonts w:ascii="Calibri" w:eastAsia="Calibri" w:hAnsi="Calibri" w:cs="Calibri"/>
          <w:sz w:val="24"/>
          <w:szCs w:val="24"/>
        </w:rPr>
        <w:t xml:space="preserve"> The investment in girls' education emerges as a potent disruptor of the cycle of poverty, enabling them to challenge societal norms and emerge as advocates for gender equality</w:t>
      </w:r>
      <w:r>
        <w:rPr>
          <w:rFonts w:ascii="Calibri" w:eastAsia="Calibri" w:hAnsi="Calibri" w:cs="Calibri"/>
          <w:strike/>
          <w:sz w:val="24"/>
          <w:szCs w:val="24"/>
        </w:rPr>
        <w:t>.</w:t>
      </w:r>
    </w:p>
    <w:p w14:paraId="6D1DA88F" w14:textId="37B86388" w:rsidR="00F17B03" w:rsidRDefault="00F17B03" w:rsidP="00347268">
      <w:pPr>
        <w:spacing w:after="120" w:line="300" w:lineRule="auto"/>
        <w:jc w:val="both"/>
        <w:rPr>
          <w:rFonts w:ascii="Calibri" w:eastAsia="Calibri" w:hAnsi="Calibri" w:cs="Calibri"/>
          <w:sz w:val="24"/>
          <w:szCs w:val="24"/>
        </w:rPr>
      </w:pPr>
      <w:r>
        <w:rPr>
          <w:rFonts w:ascii="Calibri" w:eastAsia="Calibri" w:hAnsi="Calibri" w:cs="Calibri"/>
          <w:sz w:val="24"/>
          <w:szCs w:val="24"/>
        </w:rPr>
        <w:t xml:space="preserve">Efforts to promote healthy masculinities in Honduras involve creating safe spaces for boys and young men to reflect on harmful masculinity's impacts within their communities. Through initiatives led by organisations like the Global Fund for Children, grassroots efforts are gaining </w:t>
      </w:r>
      <w:r>
        <w:rPr>
          <w:rFonts w:ascii="Calibri" w:eastAsia="Calibri" w:hAnsi="Calibri" w:cs="Calibri"/>
          <w:sz w:val="24"/>
          <w:szCs w:val="24"/>
        </w:rPr>
        <w:lastRenderedPageBreak/>
        <w:t>momentum.</w:t>
      </w:r>
      <w:r>
        <w:rPr>
          <w:rFonts w:ascii="Calibri" w:eastAsia="Calibri" w:hAnsi="Calibri" w:cs="Calibri"/>
          <w:sz w:val="24"/>
          <w:szCs w:val="24"/>
          <w:vertAlign w:val="superscript"/>
        </w:rPr>
        <w:footnoteReference w:id="8"/>
      </w:r>
      <w:r>
        <w:rPr>
          <w:rFonts w:ascii="Calibri" w:eastAsia="Calibri" w:hAnsi="Calibri" w:cs="Calibri"/>
          <w:sz w:val="24"/>
          <w:szCs w:val="24"/>
        </w:rPr>
        <w:t xml:space="preserve"> These initiatives focus on transforming social attitudes related to dominant masculinity and gender roles, encouraging nonviolent expressions of masculinity that prioritise empathy, care, and respect.</w:t>
      </w:r>
    </w:p>
    <w:p w14:paraId="7BD7CC4F" w14:textId="37CF1D7E" w:rsidR="00F17B03" w:rsidRDefault="00F17B03" w:rsidP="00347268">
      <w:pPr>
        <w:spacing w:after="120" w:line="300" w:lineRule="auto"/>
        <w:jc w:val="both"/>
        <w:rPr>
          <w:rFonts w:ascii="Calibri" w:eastAsia="Calibri" w:hAnsi="Calibri" w:cs="Calibri"/>
          <w:sz w:val="24"/>
          <w:szCs w:val="24"/>
        </w:rPr>
      </w:pPr>
      <w:r>
        <w:rPr>
          <w:rFonts w:ascii="Calibri" w:eastAsia="Calibri" w:hAnsi="Calibri" w:cs="Calibri"/>
          <w:sz w:val="24"/>
          <w:szCs w:val="24"/>
        </w:rPr>
        <w:t>Key principles guiding these transformative initiatives include the understanding that healthy masculinities are an ongoing individual and collective process integral to community well-being. The process is sustained by care and joy, recognising progress and setbacks, and incorporating art, play, and creativity to connect with boys and young men on a deeper level. Promoting healthy masculinities begins with the individual, encouraging self-discovery, emotional expression, and breaking free from rigid gender stereotypes.</w:t>
      </w:r>
    </w:p>
    <w:p w14:paraId="63FEC55B" w14:textId="1FAB3062" w:rsidR="00F17B03" w:rsidRDefault="00F17B03" w:rsidP="00347268">
      <w:pPr>
        <w:spacing w:after="120" w:line="300" w:lineRule="auto"/>
        <w:jc w:val="both"/>
        <w:rPr>
          <w:rFonts w:ascii="Calibri" w:eastAsia="Calibri" w:hAnsi="Calibri" w:cs="Calibri"/>
          <w:sz w:val="24"/>
          <w:szCs w:val="24"/>
        </w:rPr>
      </w:pPr>
      <w:r>
        <w:rPr>
          <w:rFonts w:ascii="Calibri" w:eastAsia="Calibri" w:hAnsi="Calibri" w:cs="Calibri"/>
          <w:sz w:val="24"/>
          <w:szCs w:val="24"/>
        </w:rPr>
        <w:t>Crucially, fostering healthy masculinities is not merely an action but an identity, requiring responsible facilitation</w:t>
      </w:r>
      <w:r>
        <w:rPr>
          <w:rFonts w:ascii="Calibri" w:eastAsia="Calibri" w:hAnsi="Calibri" w:cs="Calibri"/>
          <w:strike/>
          <w:sz w:val="24"/>
          <w:szCs w:val="24"/>
        </w:rPr>
        <w:t xml:space="preserve">. </w:t>
      </w:r>
      <w:r>
        <w:rPr>
          <w:rFonts w:ascii="Calibri" w:eastAsia="Calibri" w:hAnsi="Calibri" w:cs="Calibri"/>
          <w:sz w:val="24"/>
          <w:szCs w:val="24"/>
        </w:rPr>
        <w:t>The ultimate goal is to empower boys and young men to be allies in the pursuit of gender justice, challenging societal norms and contributing to the eradication of gender-based violence, including manifestations like child marriage.</w:t>
      </w:r>
    </w:p>
    <w:p w14:paraId="3FE62B32" w14:textId="77777777" w:rsidR="00F17B03" w:rsidRDefault="00F17B03" w:rsidP="00347268">
      <w:pPr>
        <w:spacing w:after="120" w:line="300" w:lineRule="auto"/>
        <w:jc w:val="both"/>
        <w:rPr>
          <w:rFonts w:ascii="Calibri" w:eastAsia="Calibri" w:hAnsi="Calibri" w:cs="Calibri"/>
          <w:sz w:val="24"/>
          <w:szCs w:val="24"/>
        </w:rPr>
      </w:pPr>
      <w:r>
        <w:rPr>
          <w:rFonts w:ascii="Calibri" w:eastAsia="Calibri" w:hAnsi="Calibri" w:cs="Calibri"/>
          <w:sz w:val="24"/>
          <w:szCs w:val="24"/>
        </w:rPr>
        <w:t>In countries like Honduras, Guatemala, and Mexico, local organisations, with support from entities like the Global Fund for Children, are at the forefront of creating youth-led, culturally-based programs and safe spaces. These initiatives aim to redefine masculinity, promote comprehensive sexuality education, and advance gender justice, acknowledging the integral role boys and men play in achieving equality for all.</w:t>
      </w:r>
    </w:p>
    <w:p w14:paraId="23DDFFB6" w14:textId="44090D0D" w:rsidR="00F17B03" w:rsidRPr="0005360C" w:rsidRDefault="00F17B03" w:rsidP="00347268">
      <w:pPr>
        <w:pStyle w:val="Balk2"/>
        <w:spacing w:before="0" w:after="120" w:line="300" w:lineRule="auto"/>
        <w:rPr>
          <w:rFonts w:eastAsia="Calibri"/>
        </w:rPr>
      </w:pPr>
      <w:bookmarkStart w:id="4" w:name="_Toc157634170"/>
      <w:r w:rsidRPr="0005360C">
        <w:rPr>
          <w:rFonts w:eastAsia="Calibri"/>
        </w:rPr>
        <w:t>Revamping the curriculum to address violence</w:t>
      </w:r>
      <w:bookmarkEnd w:id="4"/>
    </w:p>
    <w:p w14:paraId="3A2622C0" w14:textId="6D98C154" w:rsidR="00F17B03" w:rsidRDefault="00F17B03" w:rsidP="00347268">
      <w:pPr>
        <w:spacing w:after="120" w:line="300" w:lineRule="auto"/>
        <w:jc w:val="both"/>
        <w:rPr>
          <w:rFonts w:ascii="Calibri" w:eastAsia="Calibri" w:hAnsi="Calibri" w:cs="Calibri"/>
          <w:sz w:val="24"/>
          <w:szCs w:val="24"/>
        </w:rPr>
      </w:pPr>
      <w:r>
        <w:rPr>
          <w:rFonts w:ascii="Calibri" w:eastAsia="Calibri" w:hAnsi="Calibri" w:cs="Calibri"/>
          <w:sz w:val="24"/>
          <w:szCs w:val="24"/>
        </w:rPr>
        <w:t xml:space="preserve">In Honduras, persistent violence and the resulting family breakdown due to irregular out-migration have severe consequences for young individuals, leaving them vulnerable to the influence of gangs and hindering educational pursuits. To address this critical issue, the U.S. Agency for International Development (USAID) spearheads the School-Based Violence Prevention Activity, locally known as </w:t>
      </w:r>
      <w:proofErr w:type="spellStart"/>
      <w:r>
        <w:rPr>
          <w:rFonts w:ascii="Calibri" w:eastAsia="Calibri" w:hAnsi="Calibri" w:cs="Calibri"/>
          <w:sz w:val="24"/>
          <w:szCs w:val="24"/>
        </w:rPr>
        <w:t>Asegurando</w:t>
      </w:r>
      <w:proofErr w:type="spellEnd"/>
      <w:r>
        <w:rPr>
          <w:rFonts w:ascii="Calibri" w:eastAsia="Calibri" w:hAnsi="Calibri" w:cs="Calibri"/>
          <w:sz w:val="24"/>
          <w:szCs w:val="24"/>
        </w:rPr>
        <w:t xml:space="preserve"> la </w:t>
      </w:r>
      <w:proofErr w:type="spellStart"/>
      <w:r>
        <w:rPr>
          <w:rFonts w:ascii="Calibri" w:eastAsia="Calibri" w:hAnsi="Calibri" w:cs="Calibri"/>
          <w:sz w:val="24"/>
          <w:szCs w:val="24"/>
        </w:rPr>
        <w:t>Educación</w:t>
      </w:r>
      <w:proofErr w:type="spellEnd"/>
      <w:r>
        <w:rPr>
          <w:rFonts w:ascii="Calibri" w:eastAsia="Calibri" w:hAnsi="Calibri" w:cs="Calibri"/>
          <w:sz w:val="24"/>
          <w:szCs w:val="24"/>
        </w:rPr>
        <w:t>, spanning 200 schools across 11 Honduran cities.</w:t>
      </w:r>
      <w:r>
        <w:rPr>
          <w:rFonts w:ascii="Calibri" w:eastAsia="Calibri" w:hAnsi="Calibri" w:cs="Calibri"/>
          <w:sz w:val="24"/>
          <w:szCs w:val="24"/>
          <w:vertAlign w:val="superscript"/>
        </w:rPr>
        <w:footnoteReference w:id="9"/>
      </w:r>
      <w:r>
        <w:rPr>
          <w:rFonts w:ascii="Calibri" w:eastAsia="Calibri" w:hAnsi="Calibri" w:cs="Calibri"/>
          <w:sz w:val="24"/>
          <w:szCs w:val="24"/>
        </w:rPr>
        <w:t xml:space="preserve"> This initiative aims to cultivate secure and inclusive learning environments, discouraging youth from migrating and empowering them to embrace education, graduate, and build careers within their local communities.</w:t>
      </w:r>
    </w:p>
    <w:p w14:paraId="51C4C019" w14:textId="183DA3B0" w:rsidR="00F17B03" w:rsidRDefault="00F17B03" w:rsidP="00347268">
      <w:pPr>
        <w:spacing w:after="120" w:line="300" w:lineRule="auto"/>
        <w:jc w:val="both"/>
        <w:rPr>
          <w:rFonts w:ascii="Calibri" w:eastAsia="Calibri" w:hAnsi="Calibri" w:cs="Calibri"/>
          <w:sz w:val="24"/>
          <w:szCs w:val="24"/>
        </w:rPr>
      </w:pPr>
      <w:r>
        <w:rPr>
          <w:rFonts w:ascii="Calibri" w:eastAsia="Calibri" w:hAnsi="Calibri" w:cs="Calibri"/>
          <w:sz w:val="24"/>
          <w:szCs w:val="24"/>
        </w:rPr>
        <w:t xml:space="preserve">With Honduras grappling with the highest femicide rate in Latin America and elevated rates of violence against women and girls, </w:t>
      </w:r>
      <w:proofErr w:type="spellStart"/>
      <w:r>
        <w:rPr>
          <w:rFonts w:ascii="Calibri" w:eastAsia="Calibri" w:hAnsi="Calibri" w:cs="Calibri"/>
          <w:sz w:val="24"/>
          <w:szCs w:val="24"/>
        </w:rPr>
        <w:t>Asegurando</w:t>
      </w:r>
      <w:proofErr w:type="spellEnd"/>
      <w:r>
        <w:rPr>
          <w:rFonts w:ascii="Calibri" w:eastAsia="Calibri" w:hAnsi="Calibri" w:cs="Calibri"/>
          <w:sz w:val="24"/>
          <w:szCs w:val="24"/>
        </w:rPr>
        <w:t xml:space="preserve"> employs a comprehensive approach. The </w:t>
      </w:r>
      <w:r>
        <w:rPr>
          <w:rFonts w:ascii="Calibri" w:eastAsia="Calibri" w:hAnsi="Calibri" w:cs="Calibri"/>
          <w:sz w:val="24"/>
          <w:szCs w:val="24"/>
        </w:rPr>
        <w:lastRenderedPageBreak/>
        <w:t xml:space="preserve">program integrates a gender and social inclusion (GESI) lens into its activities, recognising the pivotal role of awareness, equity, and inclusion in tackling gender-based violence. Social-emotional learning programs, including Influencer 504 and School-for-Parents, are crucial in challenging entrenched gender stereotypes. </w:t>
      </w:r>
      <w:proofErr w:type="spellStart"/>
      <w:r>
        <w:rPr>
          <w:rFonts w:ascii="Calibri" w:eastAsia="Calibri" w:hAnsi="Calibri" w:cs="Calibri"/>
          <w:sz w:val="24"/>
          <w:szCs w:val="24"/>
        </w:rPr>
        <w:t>Asegurando</w:t>
      </w:r>
      <w:proofErr w:type="spellEnd"/>
      <w:r>
        <w:rPr>
          <w:rFonts w:ascii="Calibri" w:eastAsia="Calibri" w:hAnsi="Calibri" w:cs="Calibri"/>
          <w:sz w:val="24"/>
          <w:szCs w:val="24"/>
        </w:rPr>
        <w:t xml:space="preserve"> also actively involves school leaders and committees in training sessions, emphasising equal gender roles and gender-based violence prevention.</w:t>
      </w:r>
    </w:p>
    <w:p w14:paraId="1E4C8D07" w14:textId="0FBD4745" w:rsidR="00F17B03" w:rsidRDefault="00F17B03" w:rsidP="00347268">
      <w:pPr>
        <w:spacing w:after="120" w:line="300" w:lineRule="auto"/>
        <w:jc w:val="both"/>
        <w:rPr>
          <w:rFonts w:ascii="Calibri" w:eastAsia="Calibri" w:hAnsi="Calibri" w:cs="Calibri"/>
          <w:sz w:val="24"/>
          <w:szCs w:val="24"/>
        </w:rPr>
      </w:pPr>
      <w:r>
        <w:rPr>
          <w:rFonts w:ascii="Calibri" w:eastAsia="Calibri" w:hAnsi="Calibri" w:cs="Calibri"/>
          <w:sz w:val="24"/>
          <w:szCs w:val="24"/>
        </w:rPr>
        <w:t xml:space="preserve">The initiative acknowledges the deeply ingrained social norms affecting all genders in Honduras. It confronts these norms by providing educators with tools such as the Educators for Peace and Teacher Well-being programs. These programs address various forms of violence impacting education, incorporating gender concepts, stereotypes, and social norms into their curriculum. </w:t>
      </w:r>
      <w:proofErr w:type="spellStart"/>
      <w:r>
        <w:rPr>
          <w:rFonts w:ascii="Calibri" w:eastAsia="Calibri" w:hAnsi="Calibri" w:cs="Calibri"/>
          <w:sz w:val="24"/>
          <w:szCs w:val="24"/>
        </w:rPr>
        <w:t>Asegurando's</w:t>
      </w:r>
      <w:proofErr w:type="spellEnd"/>
      <w:r>
        <w:rPr>
          <w:rFonts w:ascii="Calibri" w:eastAsia="Calibri" w:hAnsi="Calibri" w:cs="Calibri"/>
          <w:sz w:val="24"/>
          <w:szCs w:val="24"/>
        </w:rPr>
        <w:t xml:space="preserve"> multifaceted approach extends to psychosocial support for students, particularly those at risk of falling victim to or becoming perpetrators of violence in the school community.</w:t>
      </w:r>
    </w:p>
    <w:p w14:paraId="79CAFBDD" w14:textId="77777777" w:rsidR="00F17B03" w:rsidRDefault="00F17B03" w:rsidP="00347268">
      <w:pPr>
        <w:spacing w:after="120" w:line="300" w:lineRule="auto"/>
        <w:jc w:val="both"/>
        <w:rPr>
          <w:rFonts w:ascii="Calibri" w:eastAsia="Calibri" w:hAnsi="Calibri" w:cs="Calibri"/>
          <w:sz w:val="24"/>
          <w:szCs w:val="24"/>
        </w:rPr>
      </w:pPr>
      <w:r>
        <w:rPr>
          <w:rFonts w:ascii="Calibri" w:eastAsia="Calibri" w:hAnsi="Calibri" w:cs="Calibri"/>
          <w:sz w:val="24"/>
          <w:szCs w:val="24"/>
        </w:rPr>
        <w:t xml:space="preserve">By championing respect, equity, and inclusion as fundamental social norms, </w:t>
      </w:r>
      <w:proofErr w:type="spellStart"/>
      <w:r>
        <w:rPr>
          <w:rFonts w:ascii="Calibri" w:eastAsia="Calibri" w:hAnsi="Calibri" w:cs="Calibri"/>
          <w:sz w:val="24"/>
          <w:szCs w:val="24"/>
        </w:rPr>
        <w:t>Asegurando</w:t>
      </w:r>
      <w:proofErr w:type="spellEnd"/>
      <w:r>
        <w:rPr>
          <w:rFonts w:ascii="Calibri" w:eastAsia="Calibri" w:hAnsi="Calibri" w:cs="Calibri"/>
          <w:sz w:val="24"/>
          <w:szCs w:val="24"/>
        </w:rPr>
        <w:t xml:space="preserve"> endeavours to create a tangible impact preventing gender-based violence in schools. Collaborating with the Ministry of Education, the program seeks to institutionalise and scale these school-based violence prevention practices, ensuring that authorities, teachers, and students are well-equipped to foster safe learning environments and combat gender-based violence effectively.</w:t>
      </w:r>
    </w:p>
    <w:p w14:paraId="77CD5AEC" w14:textId="77777777" w:rsidR="00347268" w:rsidRDefault="00347268" w:rsidP="00347268">
      <w:pPr>
        <w:pStyle w:val="Balk1"/>
        <w:spacing w:before="0" w:after="120" w:line="300" w:lineRule="auto"/>
        <w:rPr>
          <w:rFonts w:eastAsia="Calibri"/>
        </w:rPr>
      </w:pPr>
      <w:r>
        <w:rPr>
          <w:rFonts w:eastAsia="Calibri"/>
        </w:rPr>
        <w:br w:type="page"/>
      </w:r>
    </w:p>
    <w:p w14:paraId="4222E87A" w14:textId="4223F07A" w:rsidR="00F17B03" w:rsidRPr="00A06BC2" w:rsidRDefault="00F17B03" w:rsidP="00347268">
      <w:pPr>
        <w:pStyle w:val="Balk1"/>
        <w:spacing w:before="0" w:after="120" w:line="300" w:lineRule="auto"/>
        <w:rPr>
          <w:rFonts w:eastAsia="Calibri"/>
        </w:rPr>
      </w:pPr>
      <w:bookmarkStart w:id="5" w:name="_Toc157634171"/>
      <w:r>
        <w:rPr>
          <w:rFonts w:eastAsia="Calibri"/>
        </w:rPr>
        <w:lastRenderedPageBreak/>
        <w:t>Gender Realities of Migration in La Esperanza</w:t>
      </w:r>
      <w:bookmarkEnd w:id="5"/>
    </w:p>
    <w:p w14:paraId="521AD34B" w14:textId="77777777" w:rsidR="00A06BC2" w:rsidRDefault="00A06BC2" w:rsidP="00347268">
      <w:pPr>
        <w:spacing w:after="120" w:line="300" w:lineRule="auto"/>
        <w:jc w:val="both"/>
        <w:rPr>
          <w:rFonts w:ascii="Calibri" w:eastAsia="Calibri" w:hAnsi="Calibri" w:cs="Calibri"/>
          <w:b/>
          <w:iCs/>
          <w:color w:val="0E101A"/>
          <w:sz w:val="24"/>
          <w:szCs w:val="24"/>
        </w:rPr>
      </w:pPr>
    </w:p>
    <w:p w14:paraId="503D76AC" w14:textId="7C6537CE" w:rsidR="00F17B03" w:rsidRPr="00A06BC2" w:rsidRDefault="00F17B03" w:rsidP="00347268">
      <w:pPr>
        <w:pStyle w:val="Balk2"/>
        <w:spacing w:before="0" w:after="120" w:line="300" w:lineRule="auto"/>
        <w:rPr>
          <w:rFonts w:eastAsia="Calibri"/>
        </w:rPr>
      </w:pPr>
      <w:bookmarkStart w:id="6" w:name="_Toc157634172"/>
      <w:r w:rsidRPr="00A06BC2">
        <w:rPr>
          <w:rFonts w:eastAsia="Calibri"/>
        </w:rPr>
        <w:t>Fleeing Violence</w:t>
      </w:r>
      <w:bookmarkEnd w:id="6"/>
    </w:p>
    <w:p w14:paraId="60FE82F8" w14:textId="77777777" w:rsidR="00F17B03" w:rsidRDefault="00F17B03" w:rsidP="00347268">
      <w:pPr>
        <w:spacing w:after="120" w:line="300" w:lineRule="auto"/>
        <w:jc w:val="both"/>
        <w:rPr>
          <w:rFonts w:ascii="Calibri" w:eastAsia="Calibri" w:hAnsi="Calibri" w:cs="Calibri"/>
          <w:color w:val="0E101A"/>
          <w:sz w:val="24"/>
          <w:szCs w:val="24"/>
        </w:rPr>
      </w:pPr>
      <w:r>
        <w:rPr>
          <w:rFonts w:ascii="Calibri" w:eastAsia="Calibri" w:hAnsi="Calibri" w:cs="Calibri"/>
          <w:color w:val="0E101A"/>
          <w:sz w:val="24"/>
          <w:szCs w:val="24"/>
        </w:rPr>
        <w:t>The regions surrounding La Esperanza witness a disturbing surge in violence, compelling families and individuals to seek refuge elsewhere. The migration experience exposes women and girls to heightened vulnerability, increasing the risk of physical and sexual abuse. This underscores the pressing need for comprehensive interventions and support mechanisms.</w:t>
      </w:r>
    </w:p>
    <w:p w14:paraId="74E3A843" w14:textId="6A28CF04" w:rsidR="00F17B03" w:rsidRPr="00A06BC2" w:rsidRDefault="00F17B03" w:rsidP="00347268">
      <w:pPr>
        <w:spacing w:after="120" w:line="300" w:lineRule="auto"/>
        <w:jc w:val="both"/>
        <w:rPr>
          <w:rFonts w:ascii="Calibri" w:eastAsia="Calibri" w:hAnsi="Calibri" w:cs="Calibri"/>
          <w:color w:val="0E101A"/>
          <w:sz w:val="24"/>
          <w:szCs w:val="24"/>
        </w:rPr>
      </w:pPr>
      <w:r>
        <w:rPr>
          <w:rFonts w:ascii="Calibri" w:eastAsia="Calibri" w:hAnsi="Calibri" w:cs="Calibri"/>
          <w:color w:val="0E101A"/>
          <w:sz w:val="24"/>
          <w:szCs w:val="24"/>
        </w:rPr>
        <w:t>Consider the experiences of individuals during migration, where the stories highlight the complex layers of violence faced by women in transit. These narratives emphasise the necessity for targeted support to shield them from gender-based violence throughout the migration process. Beyond individual stories, it is crucial to acknowledge the broader context of violence in the region, including reports of rising organised crime and gang-related activities. This contributes to an overall atmosphere of insecurity, further complicating the challenges faced by women and girls and making them more susceptible to exploitation and harm during their journey.</w:t>
      </w:r>
      <w:r>
        <w:rPr>
          <w:rFonts w:ascii="Calibri" w:eastAsia="Calibri" w:hAnsi="Calibri" w:cs="Calibri"/>
          <w:color w:val="0E101A"/>
          <w:sz w:val="24"/>
          <w:szCs w:val="24"/>
          <w:vertAlign w:val="superscript"/>
        </w:rPr>
        <w:footnoteReference w:id="10"/>
      </w:r>
    </w:p>
    <w:p w14:paraId="5CBAF7CB" w14:textId="77777777" w:rsidR="00F17B03" w:rsidRPr="007010B4" w:rsidRDefault="00F17B03" w:rsidP="00347268">
      <w:pPr>
        <w:pStyle w:val="Balk2"/>
        <w:spacing w:before="0" w:after="120" w:line="300" w:lineRule="auto"/>
        <w:rPr>
          <w:rFonts w:eastAsia="Calibri"/>
        </w:rPr>
      </w:pPr>
      <w:bookmarkStart w:id="7" w:name="_Toc157634173"/>
      <w:r w:rsidRPr="007010B4">
        <w:rPr>
          <w:rFonts w:eastAsia="Calibri"/>
        </w:rPr>
        <w:t>Escaping Poverty</w:t>
      </w:r>
      <w:bookmarkEnd w:id="7"/>
    </w:p>
    <w:p w14:paraId="0BC0FE7E" w14:textId="77777777" w:rsidR="00F17B03" w:rsidRDefault="00F17B03" w:rsidP="00347268">
      <w:pPr>
        <w:spacing w:after="120" w:line="300" w:lineRule="auto"/>
        <w:jc w:val="both"/>
        <w:rPr>
          <w:rFonts w:ascii="Calibri" w:eastAsia="Calibri" w:hAnsi="Calibri" w:cs="Calibri"/>
          <w:color w:val="0E101A"/>
          <w:sz w:val="24"/>
          <w:szCs w:val="24"/>
        </w:rPr>
      </w:pPr>
      <w:r>
        <w:rPr>
          <w:rFonts w:ascii="Calibri" w:eastAsia="Calibri" w:hAnsi="Calibri" w:cs="Calibri"/>
          <w:color w:val="0E101A"/>
          <w:sz w:val="24"/>
          <w:szCs w:val="24"/>
        </w:rPr>
        <w:t>The economic challenges in La Esperanza perpetuate a persistent struggle against poverty, disproportionately affecting women and girls and limiting their access to education and employment opportunities.</w:t>
      </w:r>
      <w:r>
        <w:rPr>
          <w:rFonts w:ascii="Calibri" w:eastAsia="Calibri" w:hAnsi="Calibri" w:cs="Calibri"/>
          <w:color w:val="0E101A"/>
          <w:sz w:val="24"/>
          <w:szCs w:val="24"/>
          <w:vertAlign w:val="superscript"/>
        </w:rPr>
        <w:footnoteReference w:id="11"/>
      </w:r>
      <w:r>
        <w:rPr>
          <w:rFonts w:ascii="Calibri" w:eastAsia="Calibri" w:hAnsi="Calibri" w:cs="Calibri"/>
          <w:color w:val="0E101A"/>
          <w:sz w:val="24"/>
          <w:szCs w:val="24"/>
        </w:rPr>
        <w:t xml:space="preserve"> The migration crisis, driven by economic desperation, exacerbates these disparities, deepening the cycle of discrimination.</w:t>
      </w:r>
    </w:p>
    <w:p w14:paraId="05EFCFCA" w14:textId="77777777" w:rsidR="00F17B03" w:rsidRDefault="00F17B03" w:rsidP="00347268">
      <w:pPr>
        <w:spacing w:after="120" w:line="300" w:lineRule="auto"/>
        <w:jc w:val="both"/>
        <w:rPr>
          <w:rFonts w:ascii="Calibri" w:eastAsia="Calibri" w:hAnsi="Calibri" w:cs="Calibri"/>
          <w:color w:val="0E101A"/>
          <w:sz w:val="24"/>
          <w:szCs w:val="24"/>
        </w:rPr>
      </w:pPr>
      <w:r>
        <w:rPr>
          <w:rFonts w:ascii="Calibri" w:eastAsia="Calibri" w:hAnsi="Calibri" w:cs="Calibri"/>
          <w:color w:val="0E101A"/>
          <w:sz w:val="24"/>
          <w:szCs w:val="24"/>
        </w:rPr>
        <w:t>Consider the situation of a talented young student compelled to abandon her education due to economic constraints. The migration crisis further restricts opportunities, highlighting the critical link between economic struggles and discrimination against young girls.</w:t>
      </w:r>
      <w:r>
        <w:rPr>
          <w:rFonts w:ascii="Calibri" w:eastAsia="Calibri" w:hAnsi="Calibri" w:cs="Calibri"/>
          <w:color w:val="0E101A"/>
          <w:sz w:val="24"/>
          <w:szCs w:val="24"/>
          <w:vertAlign w:val="superscript"/>
        </w:rPr>
        <w:footnoteReference w:id="12"/>
      </w:r>
      <w:r>
        <w:rPr>
          <w:rFonts w:ascii="Calibri" w:eastAsia="Calibri" w:hAnsi="Calibri" w:cs="Calibri"/>
          <w:color w:val="0E101A"/>
          <w:sz w:val="24"/>
          <w:szCs w:val="24"/>
        </w:rPr>
        <w:t xml:space="preserve"> Addressing this issue is pivotal for breaking the cycle and creating opportunities for socio-economic advancement. Delving into the economic factors contributing to the migration crisis reveals challenges such as unequal distribution of resources, lack of job opportunities, and limited access to credit.</w:t>
      </w:r>
      <w:r>
        <w:rPr>
          <w:rFonts w:ascii="Calibri" w:eastAsia="Calibri" w:hAnsi="Calibri" w:cs="Calibri"/>
          <w:color w:val="0E101A"/>
          <w:sz w:val="24"/>
          <w:szCs w:val="24"/>
          <w:vertAlign w:val="superscript"/>
        </w:rPr>
        <w:footnoteReference w:id="13"/>
      </w:r>
      <w:r>
        <w:rPr>
          <w:rFonts w:ascii="Calibri" w:eastAsia="Calibri" w:hAnsi="Calibri" w:cs="Calibri"/>
          <w:color w:val="0E101A"/>
          <w:sz w:val="24"/>
          <w:szCs w:val="24"/>
        </w:rPr>
        <w:t xml:space="preserve"> These structural issues push individuals, particularly women, towards </w:t>
      </w:r>
      <w:r>
        <w:rPr>
          <w:rFonts w:ascii="Calibri" w:eastAsia="Calibri" w:hAnsi="Calibri" w:cs="Calibri"/>
          <w:color w:val="0E101A"/>
          <w:sz w:val="24"/>
          <w:szCs w:val="24"/>
        </w:rPr>
        <w:lastRenderedPageBreak/>
        <w:t>migration to escape economic hardship, emphasising the need for comprehensive economic reforms.</w:t>
      </w:r>
    </w:p>
    <w:p w14:paraId="00B0A8DB" w14:textId="77777777" w:rsidR="00F17B03" w:rsidRPr="00A06BC2" w:rsidRDefault="00F17B03" w:rsidP="00347268">
      <w:pPr>
        <w:pStyle w:val="Balk2"/>
        <w:spacing w:before="0" w:after="120" w:line="300" w:lineRule="auto"/>
        <w:rPr>
          <w:rFonts w:eastAsia="Calibri"/>
        </w:rPr>
      </w:pPr>
      <w:bookmarkStart w:id="8" w:name="_Toc157634174"/>
      <w:r w:rsidRPr="00A06BC2">
        <w:rPr>
          <w:rFonts w:eastAsia="Calibri"/>
        </w:rPr>
        <w:t>Lack of Economic Opportunities</w:t>
      </w:r>
      <w:bookmarkEnd w:id="8"/>
    </w:p>
    <w:p w14:paraId="144A94D4" w14:textId="77777777" w:rsidR="00F17B03" w:rsidRDefault="00F17B03" w:rsidP="00347268">
      <w:pPr>
        <w:spacing w:after="120" w:line="300" w:lineRule="auto"/>
        <w:jc w:val="both"/>
        <w:rPr>
          <w:rFonts w:ascii="Calibri" w:eastAsia="Calibri" w:hAnsi="Calibri" w:cs="Calibri"/>
          <w:color w:val="0E101A"/>
          <w:sz w:val="24"/>
          <w:szCs w:val="24"/>
        </w:rPr>
      </w:pPr>
      <w:r>
        <w:rPr>
          <w:rFonts w:ascii="Calibri" w:eastAsia="Calibri" w:hAnsi="Calibri" w:cs="Calibri"/>
          <w:color w:val="0E101A"/>
          <w:sz w:val="24"/>
          <w:szCs w:val="24"/>
        </w:rPr>
        <w:t>The scarcity of economic prospects in La Esperanza drives many towards migration in search of better opportunities. However, women and girls encounter additional barriers in accessing employment and resources, perpetuating gender-based discrimination and hindering their socio-economic advancement.</w:t>
      </w:r>
      <w:r>
        <w:rPr>
          <w:rFonts w:ascii="Calibri" w:eastAsia="Calibri" w:hAnsi="Calibri" w:cs="Calibri"/>
          <w:color w:val="0E101A"/>
          <w:sz w:val="24"/>
          <w:szCs w:val="24"/>
          <w:vertAlign w:val="superscript"/>
        </w:rPr>
        <w:footnoteReference w:id="14"/>
      </w:r>
    </w:p>
    <w:p w14:paraId="0C3C567F" w14:textId="77777777" w:rsidR="00F17B03" w:rsidRDefault="00F17B03" w:rsidP="00347268">
      <w:pPr>
        <w:spacing w:after="120" w:line="300" w:lineRule="auto"/>
        <w:jc w:val="both"/>
        <w:rPr>
          <w:rFonts w:ascii="Calibri" w:eastAsia="Calibri" w:hAnsi="Calibri" w:cs="Calibri"/>
          <w:color w:val="0E101A"/>
          <w:sz w:val="24"/>
          <w:szCs w:val="24"/>
        </w:rPr>
      </w:pPr>
      <w:r>
        <w:rPr>
          <w:rFonts w:ascii="Calibri" w:eastAsia="Calibri" w:hAnsi="Calibri" w:cs="Calibri"/>
          <w:color w:val="0E101A"/>
          <w:sz w:val="24"/>
          <w:szCs w:val="24"/>
        </w:rPr>
        <w:t>Consider the experiences of a skilled artisan whose talents are constrained by limited market access. The migration crisis further marginalised individuals like her, underscoring the need for targeted initiatives to empower women economically.</w:t>
      </w:r>
      <w:r>
        <w:rPr>
          <w:rFonts w:ascii="Calibri" w:eastAsia="Calibri" w:hAnsi="Calibri" w:cs="Calibri"/>
          <w:color w:val="0E101A"/>
          <w:sz w:val="24"/>
          <w:szCs w:val="24"/>
          <w:vertAlign w:val="superscript"/>
        </w:rPr>
        <w:footnoteReference w:id="15"/>
      </w:r>
      <w:r>
        <w:rPr>
          <w:rFonts w:ascii="Calibri" w:eastAsia="Calibri" w:hAnsi="Calibri" w:cs="Calibri"/>
          <w:color w:val="0E101A"/>
          <w:sz w:val="24"/>
          <w:szCs w:val="24"/>
        </w:rPr>
        <w:t xml:space="preserve"> Addressing the lack of economic opportunities is crucial for breaking the cycle of discrimination and fostering an environment where women can thrive and contribute meaningfully. Beyond individual stories, it's essential to examine the broader economic landscape, including challenges such as an informal economy, limited access to credit for women entrepreneurs, and a lack of infrastructure for small businesses. These factors limit economic opportunities and contribute to gender disparities in La Esperanza, emphasising the necessity of targeted economic policies to uplift women and create sustainable livelihoods.</w:t>
      </w:r>
    </w:p>
    <w:p w14:paraId="51648CCA" w14:textId="77777777" w:rsidR="00347268" w:rsidRDefault="00347268" w:rsidP="00347268">
      <w:pPr>
        <w:pStyle w:val="Balk1"/>
        <w:spacing w:before="0" w:after="120" w:line="300" w:lineRule="auto"/>
        <w:rPr>
          <w:rFonts w:eastAsia="Calibri"/>
        </w:rPr>
      </w:pPr>
      <w:r>
        <w:rPr>
          <w:rFonts w:eastAsia="Calibri"/>
        </w:rPr>
        <w:br w:type="page"/>
      </w:r>
    </w:p>
    <w:p w14:paraId="610BC674" w14:textId="2E96270B" w:rsidR="00A06BC2" w:rsidRDefault="00F17B03" w:rsidP="00347268">
      <w:pPr>
        <w:pStyle w:val="Balk1"/>
        <w:spacing w:before="0" w:after="120" w:line="300" w:lineRule="auto"/>
        <w:rPr>
          <w:rFonts w:eastAsia="Calibri"/>
        </w:rPr>
      </w:pPr>
      <w:bookmarkStart w:id="9" w:name="_Toc157634175"/>
      <w:r w:rsidRPr="00A06BC2">
        <w:rPr>
          <w:rFonts w:eastAsia="Calibri"/>
        </w:rPr>
        <w:lastRenderedPageBreak/>
        <w:t>Privatisation and Vulnerability: A Gender Perspective</w:t>
      </w:r>
      <w:bookmarkEnd w:id="9"/>
    </w:p>
    <w:p w14:paraId="37A22A53" w14:textId="77777777" w:rsidR="007010B4" w:rsidRPr="007010B4" w:rsidRDefault="007010B4" w:rsidP="00347268">
      <w:pPr>
        <w:pStyle w:val="Balk2"/>
        <w:spacing w:before="0" w:after="120" w:line="300" w:lineRule="auto"/>
        <w:rPr>
          <w:rFonts w:eastAsia="Calibri"/>
        </w:rPr>
      </w:pPr>
    </w:p>
    <w:p w14:paraId="2EDE7EC6" w14:textId="5C37BAF2" w:rsidR="00F17B03" w:rsidRPr="007010B4" w:rsidRDefault="00F17B03" w:rsidP="00347268">
      <w:pPr>
        <w:pStyle w:val="Balk2"/>
        <w:spacing w:before="0" w:after="120" w:line="300" w:lineRule="auto"/>
        <w:rPr>
          <w:rFonts w:eastAsia="Calibri"/>
          <w:iCs/>
        </w:rPr>
      </w:pPr>
      <w:bookmarkStart w:id="10" w:name="_Toc157634176"/>
      <w:r w:rsidRPr="007010B4">
        <w:rPr>
          <w:rFonts w:eastAsia="Calibri"/>
          <w:iCs/>
        </w:rPr>
        <w:t>Economic Vulnerability</w:t>
      </w:r>
      <w:bookmarkEnd w:id="10"/>
    </w:p>
    <w:p w14:paraId="28B239A3" w14:textId="77777777" w:rsidR="00F17B03" w:rsidRDefault="00F17B03" w:rsidP="00347268">
      <w:pPr>
        <w:spacing w:after="120" w:line="300" w:lineRule="auto"/>
        <w:jc w:val="both"/>
        <w:rPr>
          <w:rFonts w:ascii="Calibri" w:eastAsia="Calibri" w:hAnsi="Calibri" w:cs="Calibri"/>
          <w:color w:val="0E101A"/>
          <w:sz w:val="24"/>
          <w:szCs w:val="24"/>
        </w:rPr>
      </w:pPr>
      <w:r>
        <w:rPr>
          <w:rFonts w:ascii="Calibri" w:eastAsia="Calibri" w:hAnsi="Calibri" w:cs="Calibri"/>
          <w:color w:val="0E101A"/>
          <w:sz w:val="24"/>
          <w:szCs w:val="24"/>
        </w:rPr>
        <w:t>The wave of privatisation sweeping through regions like La Esperanza has profound implications for economic structures. Disadvantaged groups, especially women in poverty, find themselves on the front lines of vulnerability</w:t>
      </w:r>
      <w:r>
        <w:rPr>
          <w:rFonts w:ascii="Calibri" w:eastAsia="Calibri" w:hAnsi="Calibri" w:cs="Calibri"/>
          <w:color w:val="0E101A"/>
          <w:sz w:val="24"/>
          <w:szCs w:val="24"/>
          <w:vertAlign w:val="superscript"/>
        </w:rPr>
        <w:footnoteReference w:id="16"/>
      </w:r>
      <w:r>
        <w:rPr>
          <w:rFonts w:ascii="Calibri" w:eastAsia="Calibri" w:hAnsi="Calibri" w:cs="Calibri"/>
          <w:color w:val="0E101A"/>
          <w:sz w:val="24"/>
          <w:szCs w:val="24"/>
        </w:rPr>
        <w:t>. The privatisation of essential services, such as healthcare and education, often results in increased costs and reduced accessibility</w:t>
      </w:r>
      <w:r>
        <w:rPr>
          <w:rFonts w:ascii="Calibri" w:eastAsia="Calibri" w:hAnsi="Calibri" w:cs="Calibri"/>
          <w:color w:val="0E101A"/>
          <w:sz w:val="24"/>
          <w:szCs w:val="24"/>
          <w:vertAlign w:val="superscript"/>
        </w:rPr>
        <w:footnoteReference w:id="17"/>
      </w:r>
      <w:r>
        <w:rPr>
          <w:rFonts w:ascii="Calibri" w:eastAsia="Calibri" w:hAnsi="Calibri" w:cs="Calibri"/>
          <w:color w:val="0E101A"/>
          <w:sz w:val="24"/>
          <w:szCs w:val="24"/>
        </w:rPr>
        <w:t>. This economic strain disproportionately affects women, limiting their access to vital resources and perpetuating cycles of poverty.</w:t>
      </w:r>
    </w:p>
    <w:p w14:paraId="5859F589" w14:textId="77777777" w:rsidR="00F17B03" w:rsidRDefault="00F17B03" w:rsidP="00347268">
      <w:pPr>
        <w:spacing w:after="120" w:line="300" w:lineRule="auto"/>
        <w:jc w:val="both"/>
        <w:rPr>
          <w:rFonts w:ascii="Calibri" w:eastAsia="Calibri" w:hAnsi="Calibri" w:cs="Calibri"/>
          <w:color w:val="0E101A"/>
          <w:sz w:val="24"/>
          <w:szCs w:val="24"/>
        </w:rPr>
      </w:pPr>
      <w:r>
        <w:rPr>
          <w:rFonts w:ascii="Calibri" w:eastAsia="Calibri" w:hAnsi="Calibri" w:cs="Calibri"/>
          <w:color w:val="0E101A"/>
          <w:sz w:val="24"/>
          <w:szCs w:val="24"/>
        </w:rPr>
        <w:t>Consider the impact on single mothers in La Esperanza who face difficulties providing for their families due to increased costs in healthcare and education. The economic burden placed on women in similar situations not only hinders their ability to escape poverty but also amplifies gender disparities, emphasising the need for a nuanced understanding of the economic consequences of privatisation</w:t>
      </w:r>
      <w:r>
        <w:rPr>
          <w:rFonts w:ascii="Calibri" w:eastAsia="Calibri" w:hAnsi="Calibri" w:cs="Calibri"/>
          <w:color w:val="0E101A"/>
          <w:sz w:val="24"/>
          <w:szCs w:val="24"/>
          <w:vertAlign w:val="superscript"/>
        </w:rPr>
        <w:footnoteReference w:id="18"/>
      </w:r>
      <w:r>
        <w:rPr>
          <w:rFonts w:ascii="Calibri" w:eastAsia="Calibri" w:hAnsi="Calibri" w:cs="Calibri"/>
          <w:color w:val="0E101A"/>
          <w:sz w:val="24"/>
          <w:szCs w:val="24"/>
        </w:rPr>
        <w:t>.</w:t>
      </w:r>
    </w:p>
    <w:p w14:paraId="0E2D6203" w14:textId="77777777" w:rsidR="00F17B03" w:rsidRDefault="00F17B03" w:rsidP="00347268">
      <w:pPr>
        <w:spacing w:after="120" w:line="300" w:lineRule="auto"/>
        <w:jc w:val="both"/>
        <w:rPr>
          <w:rFonts w:ascii="Calibri" w:eastAsia="Calibri" w:hAnsi="Calibri" w:cs="Calibri"/>
          <w:color w:val="0E101A"/>
          <w:sz w:val="24"/>
          <w:szCs w:val="24"/>
        </w:rPr>
      </w:pPr>
      <w:r>
        <w:rPr>
          <w:rFonts w:ascii="Calibri" w:eastAsia="Calibri" w:hAnsi="Calibri" w:cs="Calibri"/>
          <w:color w:val="0E101A"/>
          <w:sz w:val="24"/>
          <w:szCs w:val="24"/>
        </w:rPr>
        <w:t>Moreover, examining the broader economic landscape reveals that privatisation can contribute to income inequality</w:t>
      </w:r>
      <w:r>
        <w:rPr>
          <w:rFonts w:ascii="Calibri" w:eastAsia="Calibri" w:hAnsi="Calibri" w:cs="Calibri"/>
          <w:color w:val="0E101A"/>
          <w:sz w:val="24"/>
          <w:szCs w:val="24"/>
          <w:vertAlign w:val="superscript"/>
        </w:rPr>
        <w:footnoteReference w:id="19"/>
      </w:r>
      <w:r>
        <w:rPr>
          <w:rFonts w:ascii="Calibri" w:eastAsia="Calibri" w:hAnsi="Calibri" w:cs="Calibri"/>
          <w:color w:val="0E101A"/>
          <w:sz w:val="24"/>
          <w:szCs w:val="24"/>
        </w:rPr>
        <w:t>. As key industries are privatised, profits often concentrate in the hands of a few, exacerbating existing disparities. Women in poverty, with limited access to economic opportunities, bear the brunt of this inequality, facing increased difficulties in breaking free from the cycle of economic vulnerability</w:t>
      </w:r>
      <w:r>
        <w:rPr>
          <w:rFonts w:ascii="Calibri" w:eastAsia="Calibri" w:hAnsi="Calibri" w:cs="Calibri"/>
          <w:color w:val="0E101A"/>
          <w:sz w:val="24"/>
          <w:szCs w:val="24"/>
          <w:vertAlign w:val="superscript"/>
        </w:rPr>
        <w:footnoteReference w:id="20"/>
      </w:r>
      <w:r>
        <w:rPr>
          <w:rFonts w:ascii="Calibri" w:eastAsia="Calibri" w:hAnsi="Calibri" w:cs="Calibri"/>
          <w:color w:val="0E101A"/>
          <w:sz w:val="24"/>
          <w:szCs w:val="24"/>
        </w:rPr>
        <w:t>.</w:t>
      </w:r>
    </w:p>
    <w:p w14:paraId="7E15CD60" w14:textId="77777777" w:rsidR="00F17B03" w:rsidRDefault="00F17B03" w:rsidP="00347268">
      <w:pPr>
        <w:spacing w:after="120" w:line="300" w:lineRule="auto"/>
        <w:ind w:firstLine="720"/>
        <w:jc w:val="both"/>
        <w:rPr>
          <w:rFonts w:ascii="Calibri" w:eastAsia="Calibri" w:hAnsi="Calibri" w:cs="Calibri"/>
          <w:color w:val="0E101A"/>
          <w:sz w:val="24"/>
          <w:szCs w:val="24"/>
        </w:rPr>
      </w:pPr>
    </w:p>
    <w:p w14:paraId="2574D63C" w14:textId="77777777" w:rsidR="00F17B03" w:rsidRPr="007010B4" w:rsidRDefault="00F17B03" w:rsidP="00347268">
      <w:pPr>
        <w:pStyle w:val="Balk2"/>
        <w:spacing w:before="0" w:after="120" w:line="300" w:lineRule="auto"/>
        <w:rPr>
          <w:rFonts w:eastAsia="Calibri"/>
        </w:rPr>
      </w:pPr>
      <w:bookmarkStart w:id="11" w:name="_Toc157634177"/>
      <w:r w:rsidRPr="007010B4">
        <w:rPr>
          <w:rFonts w:eastAsia="Calibri"/>
        </w:rPr>
        <w:t>Educational Disparities</w:t>
      </w:r>
      <w:bookmarkEnd w:id="11"/>
    </w:p>
    <w:p w14:paraId="0E4B871A" w14:textId="77777777" w:rsidR="00F17B03" w:rsidRDefault="00F17B03" w:rsidP="00347268">
      <w:pPr>
        <w:spacing w:after="120" w:line="300" w:lineRule="auto"/>
        <w:jc w:val="both"/>
        <w:rPr>
          <w:rFonts w:ascii="Calibri" w:eastAsia="Calibri" w:hAnsi="Calibri" w:cs="Calibri"/>
          <w:color w:val="0E101A"/>
          <w:sz w:val="24"/>
          <w:szCs w:val="24"/>
        </w:rPr>
      </w:pPr>
      <w:r>
        <w:rPr>
          <w:rFonts w:ascii="Calibri" w:eastAsia="Calibri" w:hAnsi="Calibri" w:cs="Calibri"/>
          <w:color w:val="0E101A"/>
          <w:sz w:val="24"/>
          <w:szCs w:val="24"/>
        </w:rPr>
        <w:t xml:space="preserve">The privatisation of education can exacerbate existing disparities, particularly for women living in poverty. Reduced government funding often leads to higher fees, limiting access to quality </w:t>
      </w:r>
      <w:r>
        <w:rPr>
          <w:rFonts w:ascii="Calibri" w:eastAsia="Calibri" w:hAnsi="Calibri" w:cs="Calibri"/>
          <w:color w:val="0E101A"/>
          <w:sz w:val="24"/>
          <w:szCs w:val="24"/>
        </w:rPr>
        <w:lastRenderedPageBreak/>
        <w:t>education for disadvantaged communities</w:t>
      </w:r>
      <w:r>
        <w:rPr>
          <w:rFonts w:ascii="Calibri" w:eastAsia="Calibri" w:hAnsi="Calibri" w:cs="Calibri"/>
          <w:color w:val="0E101A"/>
          <w:sz w:val="24"/>
          <w:szCs w:val="24"/>
          <w:vertAlign w:val="superscript"/>
        </w:rPr>
        <w:footnoteReference w:id="21"/>
      </w:r>
      <w:r>
        <w:rPr>
          <w:rFonts w:ascii="Calibri" w:eastAsia="Calibri" w:hAnsi="Calibri" w:cs="Calibri"/>
          <w:color w:val="0E101A"/>
          <w:sz w:val="24"/>
          <w:szCs w:val="24"/>
        </w:rPr>
        <w:t>. Women and girls, already facing obstacles in pursuing education, find themselves further marginalised by the privatisation of schooling</w:t>
      </w:r>
      <w:r>
        <w:rPr>
          <w:rFonts w:ascii="Calibri" w:eastAsia="Calibri" w:hAnsi="Calibri" w:cs="Calibri"/>
          <w:color w:val="0E101A"/>
          <w:sz w:val="24"/>
          <w:szCs w:val="24"/>
          <w:vertAlign w:val="superscript"/>
        </w:rPr>
        <w:footnoteReference w:id="22"/>
      </w:r>
      <w:r>
        <w:rPr>
          <w:rFonts w:ascii="Calibri" w:eastAsia="Calibri" w:hAnsi="Calibri" w:cs="Calibri"/>
          <w:color w:val="0E101A"/>
          <w:sz w:val="24"/>
          <w:szCs w:val="24"/>
        </w:rPr>
        <w:t>.</w:t>
      </w:r>
    </w:p>
    <w:p w14:paraId="028AB8FB" w14:textId="77777777" w:rsidR="00F17B03" w:rsidRDefault="00F17B03" w:rsidP="00347268">
      <w:pPr>
        <w:spacing w:after="120" w:line="300" w:lineRule="auto"/>
        <w:jc w:val="both"/>
        <w:rPr>
          <w:rFonts w:ascii="Calibri" w:eastAsia="Calibri" w:hAnsi="Calibri" w:cs="Calibri"/>
          <w:color w:val="0E101A"/>
          <w:sz w:val="24"/>
          <w:szCs w:val="24"/>
        </w:rPr>
      </w:pPr>
      <w:r>
        <w:rPr>
          <w:rFonts w:ascii="Calibri" w:eastAsia="Calibri" w:hAnsi="Calibri" w:cs="Calibri"/>
          <w:color w:val="0E101A"/>
          <w:sz w:val="24"/>
          <w:szCs w:val="24"/>
        </w:rPr>
        <w:t>Consider the challenges faced by promising young students in La Esperanza who experience increased fees due to their schools' privatisation, leading to their education's abandonment. This educational setback not only perpetuates the cycle of poverty but also underscores the gendered impact of privatisation on educational opportunities for women and girls.</w:t>
      </w:r>
    </w:p>
    <w:p w14:paraId="1EE72211" w14:textId="77777777" w:rsidR="00F17B03" w:rsidRDefault="00F17B03" w:rsidP="00347268">
      <w:pPr>
        <w:spacing w:after="120" w:line="300" w:lineRule="auto"/>
        <w:jc w:val="both"/>
        <w:rPr>
          <w:rFonts w:ascii="Calibri" w:eastAsia="Calibri" w:hAnsi="Calibri" w:cs="Calibri"/>
          <w:b/>
          <w:i/>
          <w:color w:val="0E101A"/>
          <w:sz w:val="24"/>
          <w:szCs w:val="24"/>
        </w:rPr>
      </w:pPr>
      <w:r>
        <w:rPr>
          <w:rFonts w:ascii="Calibri" w:eastAsia="Calibri" w:hAnsi="Calibri" w:cs="Calibri"/>
          <w:color w:val="0E101A"/>
          <w:sz w:val="24"/>
          <w:szCs w:val="24"/>
        </w:rPr>
        <w:t>Expanding on the educational aspect, it's essential to recognise that privatisation can lead to a reduction in educational resources. Privatised institutions may prioritise profit over educational quality, leaving women in poverty with fewer educational support systems. This, in turn, perpetuates systemic disadvantages, limiting the potential for upward mobility through education.</w:t>
      </w:r>
    </w:p>
    <w:p w14:paraId="7D3AEF30" w14:textId="77777777" w:rsidR="00F17B03" w:rsidRPr="00A06BC2" w:rsidRDefault="00F17B03" w:rsidP="00347268">
      <w:pPr>
        <w:pStyle w:val="Balk2"/>
        <w:spacing w:before="0" w:after="120" w:line="300" w:lineRule="auto"/>
        <w:rPr>
          <w:rFonts w:eastAsia="Calibri"/>
        </w:rPr>
      </w:pPr>
      <w:bookmarkStart w:id="12" w:name="_Toc157634178"/>
      <w:r w:rsidRPr="00A06BC2">
        <w:rPr>
          <w:rFonts w:eastAsia="Calibri"/>
        </w:rPr>
        <w:t>Healthcare Challenges</w:t>
      </w:r>
      <w:bookmarkEnd w:id="12"/>
    </w:p>
    <w:p w14:paraId="58F6F55A" w14:textId="77777777" w:rsidR="00F17B03" w:rsidRDefault="00F17B03" w:rsidP="00347268">
      <w:pPr>
        <w:spacing w:after="120" w:line="300" w:lineRule="auto"/>
        <w:jc w:val="both"/>
        <w:rPr>
          <w:rFonts w:ascii="Calibri" w:eastAsia="Calibri" w:hAnsi="Calibri" w:cs="Calibri"/>
          <w:color w:val="0E101A"/>
          <w:sz w:val="24"/>
          <w:szCs w:val="24"/>
        </w:rPr>
      </w:pPr>
      <w:r>
        <w:rPr>
          <w:rFonts w:ascii="Calibri" w:eastAsia="Calibri" w:hAnsi="Calibri" w:cs="Calibri"/>
          <w:color w:val="0E101A"/>
          <w:sz w:val="24"/>
          <w:szCs w:val="24"/>
        </w:rPr>
        <w:t>Privatisation in the healthcare sector can pose significant challenges for vulnerable populations, particularly women. As essential healthcare services become privatised, the financial burden on impoverished women intensifies, limiting their access to crucial medical support. The lack of affordable healthcare options further entrenches gender disparities in health outcomes</w:t>
      </w:r>
      <w:r>
        <w:rPr>
          <w:rFonts w:ascii="Calibri" w:eastAsia="Calibri" w:hAnsi="Calibri" w:cs="Calibri"/>
          <w:color w:val="0E101A"/>
          <w:sz w:val="24"/>
          <w:szCs w:val="24"/>
          <w:vertAlign w:val="superscript"/>
        </w:rPr>
        <w:footnoteReference w:id="23"/>
      </w:r>
      <w:r>
        <w:rPr>
          <w:rFonts w:ascii="Calibri" w:eastAsia="Calibri" w:hAnsi="Calibri" w:cs="Calibri"/>
          <w:color w:val="0E101A"/>
          <w:sz w:val="24"/>
          <w:szCs w:val="24"/>
        </w:rPr>
        <w:t>.</w:t>
      </w:r>
    </w:p>
    <w:p w14:paraId="152F73B6" w14:textId="77777777" w:rsidR="00F17B03" w:rsidRDefault="00F17B03" w:rsidP="00347268">
      <w:pPr>
        <w:spacing w:after="120" w:line="300" w:lineRule="auto"/>
        <w:jc w:val="both"/>
        <w:rPr>
          <w:rFonts w:ascii="Calibri" w:eastAsia="Calibri" w:hAnsi="Calibri" w:cs="Calibri"/>
          <w:color w:val="0E101A"/>
          <w:sz w:val="24"/>
          <w:szCs w:val="24"/>
        </w:rPr>
      </w:pPr>
      <w:r>
        <w:rPr>
          <w:rFonts w:ascii="Calibri" w:eastAsia="Calibri" w:hAnsi="Calibri" w:cs="Calibri"/>
          <w:color w:val="0E101A"/>
          <w:sz w:val="24"/>
          <w:szCs w:val="24"/>
        </w:rPr>
        <w:t>Consider the experiences of women in La Esperanza grappling with health issues exacerbated by the privatisation of healthcare services. The financial strain forces them to forego necessary medical treatments, highlighting the detrimental impact of privatisation on the health and well-being of women in poverty.</w:t>
      </w:r>
    </w:p>
    <w:p w14:paraId="5F42F354" w14:textId="2C1C5FCF" w:rsidR="00F17B03" w:rsidRPr="00A06BC2" w:rsidRDefault="00F17B03" w:rsidP="00347268">
      <w:pPr>
        <w:spacing w:after="120" w:line="300" w:lineRule="auto"/>
        <w:jc w:val="both"/>
        <w:rPr>
          <w:rFonts w:ascii="Calibri" w:eastAsia="Calibri" w:hAnsi="Calibri" w:cs="Calibri"/>
          <w:color w:val="0E101A"/>
          <w:sz w:val="24"/>
          <w:szCs w:val="24"/>
        </w:rPr>
      </w:pPr>
      <w:r>
        <w:rPr>
          <w:rFonts w:ascii="Calibri" w:eastAsia="Calibri" w:hAnsi="Calibri" w:cs="Calibri"/>
          <w:color w:val="0E101A"/>
          <w:sz w:val="24"/>
          <w:szCs w:val="24"/>
        </w:rPr>
        <w:t>Expanding on healthcare challenges, privatisation often results in a shift towards profit-oriented models, where preventive and primary healthcare take a back seat</w:t>
      </w:r>
      <w:r>
        <w:rPr>
          <w:rFonts w:ascii="Calibri" w:eastAsia="Calibri" w:hAnsi="Calibri" w:cs="Calibri"/>
          <w:color w:val="0E101A"/>
          <w:sz w:val="24"/>
          <w:szCs w:val="24"/>
          <w:vertAlign w:val="superscript"/>
        </w:rPr>
        <w:footnoteReference w:id="24"/>
      </w:r>
      <w:r>
        <w:rPr>
          <w:rFonts w:ascii="Calibri" w:eastAsia="Calibri" w:hAnsi="Calibri" w:cs="Calibri"/>
          <w:color w:val="0E101A"/>
          <w:sz w:val="24"/>
          <w:szCs w:val="24"/>
        </w:rPr>
        <w:t xml:space="preserve">. This disproportionately affects women, who may face barriers to accessing reproductive health </w:t>
      </w:r>
      <w:r>
        <w:rPr>
          <w:rFonts w:ascii="Calibri" w:eastAsia="Calibri" w:hAnsi="Calibri" w:cs="Calibri"/>
          <w:color w:val="0E101A"/>
          <w:sz w:val="24"/>
          <w:szCs w:val="24"/>
        </w:rPr>
        <w:lastRenderedPageBreak/>
        <w:t>services and maternal care</w:t>
      </w:r>
      <w:r>
        <w:rPr>
          <w:rFonts w:ascii="Calibri" w:eastAsia="Calibri" w:hAnsi="Calibri" w:cs="Calibri"/>
          <w:color w:val="0E101A"/>
          <w:sz w:val="24"/>
          <w:szCs w:val="24"/>
          <w:vertAlign w:val="superscript"/>
        </w:rPr>
        <w:footnoteReference w:id="25"/>
      </w:r>
      <w:r>
        <w:rPr>
          <w:rFonts w:ascii="Calibri" w:eastAsia="Calibri" w:hAnsi="Calibri" w:cs="Calibri"/>
          <w:color w:val="0E101A"/>
          <w:sz w:val="24"/>
          <w:szCs w:val="24"/>
        </w:rPr>
        <w:t>. The gendered consequences of privatisation on healthcare outcomes underscore the urgent need for inclusive healthcare policies.</w:t>
      </w:r>
    </w:p>
    <w:p w14:paraId="267DC585" w14:textId="77777777" w:rsidR="00F17B03" w:rsidRPr="007010B4" w:rsidRDefault="00F17B03" w:rsidP="00347268">
      <w:pPr>
        <w:pStyle w:val="Balk2"/>
        <w:spacing w:before="0" w:after="120" w:line="300" w:lineRule="auto"/>
        <w:rPr>
          <w:rFonts w:eastAsia="Calibri"/>
        </w:rPr>
      </w:pPr>
      <w:bookmarkStart w:id="13" w:name="_Toc157634179"/>
      <w:r w:rsidRPr="007010B4">
        <w:rPr>
          <w:rFonts w:eastAsia="Calibri"/>
        </w:rPr>
        <w:t>Employment Insecurity</w:t>
      </w:r>
      <w:bookmarkEnd w:id="13"/>
    </w:p>
    <w:p w14:paraId="420F374A" w14:textId="77777777" w:rsidR="00F17B03" w:rsidRDefault="00F17B03" w:rsidP="00347268">
      <w:pPr>
        <w:spacing w:after="120" w:line="300" w:lineRule="auto"/>
        <w:jc w:val="both"/>
        <w:rPr>
          <w:rFonts w:ascii="Calibri" w:eastAsia="Calibri" w:hAnsi="Calibri" w:cs="Calibri"/>
          <w:color w:val="0E101A"/>
          <w:sz w:val="24"/>
          <w:szCs w:val="24"/>
        </w:rPr>
      </w:pPr>
      <w:r>
        <w:rPr>
          <w:rFonts w:ascii="Calibri" w:eastAsia="Calibri" w:hAnsi="Calibri" w:cs="Calibri"/>
          <w:color w:val="0E101A"/>
          <w:sz w:val="24"/>
          <w:szCs w:val="24"/>
        </w:rPr>
        <w:t>Privatisation often leads to changes in the labour market, impacting job security and working conditions. Disadvantaged women, relying on vulnerable employment opportunities, face increased insecurity as privatised industries prioritise profit over worker welfare</w:t>
      </w:r>
      <w:r>
        <w:rPr>
          <w:rFonts w:ascii="Calibri" w:eastAsia="Calibri" w:hAnsi="Calibri" w:cs="Calibri"/>
          <w:color w:val="0E101A"/>
          <w:sz w:val="24"/>
          <w:szCs w:val="24"/>
          <w:vertAlign w:val="superscript"/>
        </w:rPr>
        <w:footnoteReference w:id="26"/>
      </w:r>
      <w:r>
        <w:rPr>
          <w:rFonts w:ascii="Calibri" w:eastAsia="Calibri" w:hAnsi="Calibri" w:cs="Calibri"/>
          <w:color w:val="0E101A"/>
          <w:sz w:val="24"/>
          <w:szCs w:val="24"/>
        </w:rPr>
        <w:t>. The privatisation-induced shifts in the labour market disproportionately affect women in poverty, leaving them with precarious employment situations.</w:t>
      </w:r>
    </w:p>
    <w:p w14:paraId="5CC8DFA8" w14:textId="77777777" w:rsidR="00F17B03" w:rsidRDefault="00F17B03" w:rsidP="00347268">
      <w:pPr>
        <w:spacing w:after="120" w:line="300" w:lineRule="auto"/>
        <w:jc w:val="both"/>
        <w:rPr>
          <w:rFonts w:ascii="Calibri" w:eastAsia="Calibri" w:hAnsi="Calibri" w:cs="Calibri"/>
          <w:color w:val="0E101A"/>
          <w:sz w:val="24"/>
          <w:szCs w:val="24"/>
        </w:rPr>
      </w:pPr>
      <w:r>
        <w:rPr>
          <w:rFonts w:ascii="Calibri" w:eastAsia="Calibri" w:hAnsi="Calibri" w:cs="Calibri"/>
          <w:color w:val="0E101A"/>
          <w:sz w:val="24"/>
          <w:szCs w:val="24"/>
        </w:rPr>
        <w:t>Consider the real-life impact on workers, including many women, in a privatised industry who face job cuts and reduced labour protections. This underscores the gendered vulnerabilities that emerge after privatisation, emphasising the need for policies that safeguard women's rights in the workforce.</w:t>
      </w:r>
    </w:p>
    <w:p w14:paraId="21391EB4" w14:textId="77777777" w:rsidR="00F17B03" w:rsidRDefault="00F17B03" w:rsidP="00347268">
      <w:pPr>
        <w:spacing w:after="120" w:line="300" w:lineRule="auto"/>
        <w:jc w:val="both"/>
        <w:rPr>
          <w:rFonts w:ascii="Calibri" w:eastAsia="Calibri" w:hAnsi="Calibri" w:cs="Calibri"/>
          <w:color w:val="0E101A"/>
          <w:sz w:val="24"/>
          <w:szCs w:val="24"/>
        </w:rPr>
      </w:pPr>
      <w:r>
        <w:rPr>
          <w:rFonts w:ascii="Calibri" w:eastAsia="Calibri" w:hAnsi="Calibri" w:cs="Calibri"/>
          <w:color w:val="0E101A"/>
          <w:sz w:val="24"/>
          <w:szCs w:val="24"/>
        </w:rPr>
        <w:t>Expanding on employment insecurity, privatisation can contribute to the informalisation of labour, leaving women in poverty without job security, social protection, or access to benefits</w:t>
      </w:r>
      <w:r>
        <w:rPr>
          <w:rFonts w:ascii="Calibri" w:eastAsia="Calibri" w:hAnsi="Calibri" w:cs="Calibri"/>
          <w:color w:val="0E101A"/>
          <w:sz w:val="24"/>
          <w:szCs w:val="24"/>
          <w:vertAlign w:val="superscript"/>
        </w:rPr>
        <w:footnoteReference w:id="27"/>
      </w:r>
      <w:r>
        <w:rPr>
          <w:rFonts w:ascii="Calibri" w:eastAsia="Calibri" w:hAnsi="Calibri" w:cs="Calibri"/>
          <w:color w:val="0E101A"/>
          <w:sz w:val="24"/>
          <w:szCs w:val="24"/>
        </w:rPr>
        <w:t>. This perpetuates a cycle of economic vulnerability, making it imperative to address the gendered dimensions of employment instability in the context of privatisation</w:t>
      </w:r>
      <w:r>
        <w:rPr>
          <w:rFonts w:ascii="Calibri" w:eastAsia="Calibri" w:hAnsi="Calibri" w:cs="Calibri"/>
          <w:color w:val="0E101A"/>
          <w:sz w:val="24"/>
          <w:szCs w:val="24"/>
          <w:vertAlign w:val="superscript"/>
        </w:rPr>
        <w:footnoteReference w:id="28"/>
      </w:r>
      <w:r>
        <w:rPr>
          <w:rFonts w:ascii="Calibri" w:eastAsia="Calibri" w:hAnsi="Calibri" w:cs="Calibri"/>
          <w:color w:val="0E101A"/>
          <w:sz w:val="24"/>
          <w:szCs w:val="24"/>
        </w:rPr>
        <w:t>.</w:t>
      </w:r>
    </w:p>
    <w:p w14:paraId="275B9DBC" w14:textId="77777777" w:rsidR="00F17B03" w:rsidRDefault="00F17B03" w:rsidP="00347268">
      <w:pPr>
        <w:spacing w:after="120" w:line="300" w:lineRule="auto"/>
        <w:jc w:val="both"/>
        <w:rPr>
          <w:rFonts w:ascii="Calibri" w:eastAsia="Calibri" w:hAnsi="Calibri" w:cs="Calibri"/>
          <w:color w:val="0E101A"/>
          <w:sz w:val="24"/>
          <w:szCs w:val="24"/>
        </w:rPr>
      </w:pPr>
      <w:r>
        <w:rPr>
          <w:rFonts w:ascii="Calibri" w:eastAsia="Calibri" w:hAnsi="Calibri" w:cs="Calibri"/>
          <w:color w:val="0E101A"/>
          <w:sz w:val="24"/>
          <w:szCs w:val="24"/>
        </w:rPr>
        <w:t>In light of these challenges, it is crucial to recognise the gendered dimensions of privatisation's impact on vulnerable groups, especially women living in poverty. Insights, research findings, and recommendations from the international community are essential to inform policies that mitigate the adverse effects of privatisation on gender equality and promote inclusive, rights-based approaches.</w:t>
      </w:r>
    </w:p>
    <w:p w14:paraId="7D97FA4B" w14:textId="77777777" w:rsidR="00347268" w:rsidRDefault="00347268" w:rsidP="00347268">
      <w:pPr>
        <w:pStyle w:val="Balk1"/>
        <w:spacing w:before="0" w:after="120" w:line="300" w:lineRule="auto"/>
        <w:rPr>
          <w:rFonts w:eastAsia="Calibri"/>
        </w:rPr>
      </w:pPr>
      <w:r>
        <w:rPr>
          <w:rFonts w:eastAsia="Calibri"/>
        </w:rPr>
        <w:br w:type="page"/>
      </w:r>
    </w:p>
    <w:p w14:paraId="3E8BE640" w14:textId="76823E2B" w:rsidR="00F17B03" w:rsidRDefault="00F17B03" w:rsidP="00347268">
      <w:pPr>
        <w:pStyle w:val="Balk1"/>
        <w:spacing w:before="0" w:after="120" w:line="300" w:lineRule="auto"/>
        <w:rPr>
          <w:rFonts w:eastAsia="Calibri"/>
        </w:rPr>
      </w:pPr>
      <w:bookmarkStart w:id="14" w:name="_Toc157634180"/>
      <w:proofErr w:type="spellStart"/>
      <w:r>
        <w:rPr>
          <w:rFonts w:eastAsia="Calibri"/>
        </w:rPr>
        <w:lastRenderedPageBreak/>
        <w:t>Femicide</w:t>
      </w:r>
      <w:bookmarkEnd w:id="14"/>
      <w:proofErr w:type="spellEnd"/>
      <w:r>
        <w:rPr>
          <w:rFonts w:eastAsia="Calibri"/>
        </w:rPr>
        <w:t xml:space="preserve"> </w:t>
      </w:r>
    </w:p>
    <w:p w14:paraId="180D0C47" w14:textId="77777777" w:rsidR="00F17B03" w:rsidRPr="00A06BC2" w:rsidRDefault="00F17B03" w:rsidP="00347268">
      <w:pPr>
        <w:pStyle w:val="Balk2"/>
        <w:spacing w:before="0" w:after="120" w:line="300" w:lineRule="auto"/>
        <w:rPr>
          <w:rFonts w:eastAsia="Calibri"/>
        </w:rPr>
      </w:pPr>
      <w:bookmarkStart w:id="15" w:name="_Toc157634181"/>
      <w:r w:rsidRPr="00A06BC2">
        <w:rPr>
          <w:rFonts w:eastAsia="Calibri"/>
        </w:rPr>
        <w:t>Current Situation of Femicide and SGBV in Honduras</w:t>
      </w:r>
      <w:bookmarkEnd w:id="15"/>
    </w:p>
    <w:p w14:paraId="479CD044" w14:textId="77777777" w:rsidR="00F17B03" w:rsidRDefault="00F17B03" w:rsidP="00347268">
      <w:pPr>
        <w:spacing w:after="120" w:line="300" w:lineRule="auto"/>
        <w:jc w:val="both"/>
        <w:rPr>
          <w:rFonts w:ascii="Calibri" w:eastAsia="Calibri" w:hAnsi="Calibri" w:cs="Calibri"/>
          <w:sz w:val="24"/>
          <w:szCs w:val="24"/>
        </w:rPr>
      </w:pPr>
      <w:r>
        <w:rPr>
          <w:rFonts w:ascii="Calibri" w:eastAsia="Calibri" w:hAnsi="Calibri" w:cs="Calibri"/>
          <w:sz w:val="24"/>
          <w:szCs w:val="24"/>
        </w:rPr>
        <w:t>Despite a significant decrease since a peak in 2013, the country still experiences severely high rates of femicide and sexual and gender-based violence (SGBV). As of mid-2018, Honduras has the highest reported rates of femicide in Latin America when adjusted for population.</w:t>
      </w:r>
      <w:r>
        <w:rPr>
          <w:vertAlign w:val="superscript"/>
        </w:rPr>
        <w:footnoteReference w:id="29"/>
      </w:r>
      <w:r>
        <w:rPr>
          <w:rFonts w:ascii="Calibri" w:eastAsia="Calibri" w:hAnsi="Calibri" w:cs="Calibri"/>
          <w:sz w:val="24"/>
          <w:szCs w:val="24"/>
        </w:rPr>
        <w:t xml:space="preserve"> Moreover, the </w:t>
      </w:r>
      <w:proofErr w:type="spellStart"/>
      <w:r>
        <w:rPr>
          <w:rFonts w:ascii="Calibri" w:eastAsia="Calibri" w:hAnsi="Calibri" w:cs="Calibri"/>
          <w:sz w:val="24"/>
          <w:szCs w:val="24"/>
        </w:rPr>
        <w:t>Instituto</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Universitario</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en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Democracia</w:t>
      </w:r>
      <w:proofErr w:type="spellEnd"/>
      <w:r>
        <w:rPr>
          <w:rFonts w:ascii="Calibri" w:eastAsia="Calibri" w:hAnsi="Calibri" w:cs="Calibri"/>
          <w:sz w:val="24"/>
          <w:szCs w:val="24"/>
        </w:rPr>
        <w:t xml:space="preserve">, Paz y </w:t>
      </w:r>
      <w:proofErr w:type="spellStart"/>
      <w:r>
        <w:rPr>
          <w:rFonts w:ascii="Calibri" w:eastAsia="Calibri" w:hAnsi="Calibri" w:cs="Calibri"/>
          <w:sz w:val="24"/>
          <w:szCs w:val="24"/>
        </w:rPr>
        <w:t>Seguridad</w:t>
      </w:r>
      <w:proofErr w:type="spellEnd"/>
      <w:r>
        <w:rPr>
          <w:rFonts w:ascii="Calibri" w:eastAsia="Calibri" w:hAnsi="Calibri" w:cs="Calibri"/>
          <w:sz w:val="24"/>
          <w:szCs w:val="24"/>
        </w:rPr>
        <w:t xml:space="preserve">, as part of the Universidad Nacional </w:t>
      </w:r>
      <w:proofErr w:type="spellStart"/>
      <w:r>
        <w:rPr>
          <w:rFonts w:ascii="Calibri" w:eastAsia="Calibri" w:hAnsi="Calibri" w:cs="Calibri"/>
          <w:sz w:val="24"/>
          <w:szCs w:val="24"/>
        </w:rPr>
        <w:t>Autónoma</w:t>
      </w:r>
      <w:proofErr w:type="spellEnd"/>
      <w:r>
        <w:rPr>
          <w:rFonts w:ascii="Calibri" w:eastAsia="Calibri" w:hAnsi="Calibri" w:cs="Calibri"/>
          <w:sz w:val="24"/>
          <w:szCs w:val="24"/>
        </w:rPr>
        <w:t xml:space="preserve"> de Honduras’ (IUDPAS-UNAH) stated in their </w:t>
      </w:r>
      <w:proofErr w:type="spellStart"/>
      <w:r>
        <w:rPr>
          <w:rFonts w:ascii="Calibri" w:eastAsia="Calibri" w:hAnsi="Calibri" w:cs="Calibri"/>
          <w:sz w:val="24"/>
          <w:szCs w:val="24"/>
        </w:rPr>
        <w:t>Observatorio</w:t>
      </w:r>
      <w:proofErr w:type="spellEnd"/>
      <w:r>
        <w:rPr>
          <w:rFonts w:ascii="Calibri" w:eastAsia="Calibri" w:hAnsi="Calibri" w:cs="Calibri"/>
          <w:sz w:val="24"/>
          <w:szCs w:val="24"/>
        </w:rPr>
        <w:t xml:space="preserve"> Nacional de la </w:t>
      </w:r>
      <w:proofErr w:type="spellStart"/>
      <w:r>
        <w:rPr>
          <w:rFonts w:ascii="Calibri" w:eastAsia="Calibri" w:hAnsi="Calibri" w:cs="Calibri"/>
          <w:sz w:val="24"/>
          <w:szCs w:val="24"/>
        </w:rPr>
        <w:t>Violencia</w:t>
      </w:r>
      <w:proofErr w:type="spellEnd"/>
      <w:r>
        <w:rPr>
          <w:rFonts w:ascii="Calibri" w:eastAsia="Calibri" w:hAnsi="Calibri" w:cs="Calibri"/>
          <w:sz w:val="24"/>
          <w:szCs w:val="24"/>
        </w:rPr>
        <w:t xml:space="preserve"> (ONV) 2019 report that Honduras saw a significant increase in violence and femicides in that year, particularly during the ramping-up of the Covid-19 pandemic. While these rates of reported incidents of violence decreased slightly in 2020 and 2021, they have picked up again in 2022 and 2023.</w:t>
      </w:r>
      <w:r>
        <w:rPr>
          <w:vertAlign w:val="superscript"/>
        </w:rPr>
        <w:footnoteReference w:id="30"/>
      </w:r>
      <w:r>
        <w:rPr>
          <w:rFonts w:ascii="Calibri" w:eastAsia="Calibri" w:hAnsi="Calibri" w:cs="Calibri"/>
          <w:sz w:val="24"/>
          <w:szCs w:val="24"/>
        </w:rPr>
        <w:t xml:space="preserve"> </w:t>
      </w:r>
    </w:p>
    <w:p w14:paraId="65EE9DB0" w14:textId="77777777" w:rsidR="00F17B03" w:rsidRDefault="00F17B03" w:rsidP="00347268">
      <w:pPr>
        <w:spacing w:after="120" w:line="300" w:lineRule="auto"/>
        <w:jc w:val="both"/>
        <w:rPr>
          <w:rFonts w:ascii="Calibri" w:eastAsia="Calibri" w:hAnsi="Calibri" w:cs="Calibri"/>
          <w:sz w:val="24"/>
          <w:szCs w:val="24"/>
        </w:rPr>
      </w:pPr>
      <w:r>
        <w:rPr>
          <w:rFonts w:ascii="Calibri" w:eastAsia="Calibri" w:hAnsi="Calibri" w:cs="Calibri"/>
          <w:sz w:val="24"/>
          <w:szCs w:val="24"/>
        </w:rPr>
        <w:t>Furthermore, ONV-IUDPAS-UNAH has reported an increase in the cruelty of femicides, as evidenced by the fact that 34.2% of femicides in 2018 demonstrated signs of excessive cruelty while in 2022, it increased to 51.0% (here meaning a level of cruelty that goes above the effectiveness of the crime, including the combined use of weapons and means to kill, mutilate, dismember, and/or disfigure).</w:t>
      </w:r>
      <w:r>
        <w:rPr>
          <w:vertAlign w:val="superscript"/>
        </w:rPr>
        <w:footnoteReference w:id="31"/>
      </w:r>
      <w:r>
        <w:rPr>
          <w:rFonts w:ascii="Calibri" w:eastAsia="Calibri" w:hAnsi="Calibri" w:cs="Calibri"/>
          <w:sz w:val="24"/>
          <w:szCs w:val="24"/>
        </w:rPr>
        <w:t xml:space="preserve"> </w:t>
      </w:r>
    </w:p>
    <w:p w14:paraId="2286E26C" w14:textId="77777777" w:rsidR="00F17B03" w:rsidRDefault="00F17B03" w:rsidP="00347268">
      <w:pPr>
        <w:spacing w:after="120" w:line="300" w:lineRule="auto"/>
        <w:jc w:val="both"/>
        <w:rPr>
          <w:rFonts w:ascii="Calibri" w:eastAsia="Calibri" w:hAnsi="Calibri" w:cs="Calibri"/>
          <w:sz w:val="24"/>
          <w:szCs w:val="24"/>
        </w:rPr>
      </w:pPr>
      <w:r>
        <w:rPr>
          <w:rFonts w:ascii="Calibri" w:eastAsia="Calibri" w:hAnsi="Calibri" w:cs="Calibri"/>
          <w:sz w:val="24"/>
          <w:szCs w:val="24"/>
        </w:rPr>
        <w:t xml:space="preserve">These rates point to systemic issues that are impacting crime rates across Honduras. However, while violence is a systemic and deep-rooted issue within the country, the experiences of violence are unique to the various communities and identities targeted, as well as the individual victims. As such, attempts to lower rates of homicide, femicide, and SGBV must take into account the intersecting factors that exacerbate experiences of violence for the most marginalised members of the country – including but not limited to racism, classism, misogyny, ableism, ageism, and homophobia. </w:t>
      </w:r>
    </w:p>
    <w:p w14:paraId="0D91BCAE" w14:textId="77777777" w:rsidR="00F17B03" w:rsidRDefault="00F17B03" w:rsidP="00347268">
      <w:pPr>
        <w:spacing w:after="120" w:line="300" w:lineRule="auto"/>
        <w:jc w:val="both"/>
        <w:rPr>
          <w:rFonts w:ascii="Calibri" w:eastAsia="Calibri" w:hAnsi="Calibri" w:cs="Calibri"/>
          <w:sz w:val="24"/>
          <w:szCs w:val="24"/>
        </w:rPr>
      </w:pPr>
      <w:r>
        <w:rPr>
          <w:rFonts w:ascii="Calibri" w:eastAsia="Calibri" w:hAnsi="Calibri" w:cs="Calibri"/>
          <w:sz w:val="24"/>
          <w:szCs w:val="24"/>
        </w:rPr>
        <w:t xml:space="preserve">In light of this, the lack of accessible data that disaggregates femicides and SGBV based on identities is both concerning and telling. Most major reports on femicides, domestic violence, and SGBV publish, at most, information about the occupations, ages, and regions where the </w:t>
      </w:r>
      <w:r>
        <w:rPr>
          <w:rFonts w:ascii="Calibri" w:eastAsia="Calibri" w:hAnsi="Calibri" w:cs="Calibri"/>
          <w:sz w:val="24"/>
          <w:szCs w:val="24"/>
        </w:rPr>
        <w:lastRenderedPageBreak/>
        <w:t>victims lived. Other readily available information pertains to the nature of the crime – the method of the crime and weapon used, the relation of the victim to the perpetrator, the location of the crime, etc. However, it is extremely difficult to find information as to sexuality, gender identity (beyond the binary), class, ability, or ethnicity of the victims and perpetrators. While the TGEU’s trans murder monitoring map does provide preliminary data on the number of trans people in Honduras, their map does caution that the collected data does not include all countries and that not all trans and gender-diverse murder victims are identified as such in the reports of their deaths. Regardless, TGEU’s map highlights Honduras as having the highest number of murders of trans people of any country recorded, with 11,487 murders per 100 million inhabitants between 2008-2023.</w:t>
      </w:r>
      <w:r>
        <w:rPr>
          <w:vertAlign w:val="superscript"/>
        </w:rPr>
        <w:footnoteReference w:id="32"/>
      </w:r>
      <w:r>
        <w:rPr>
          <w:rFonts w:ascii="Calibri" w:eastAsia="Calibri" w:hAnsi="Calibri" w:cs="Calibri"/>
          <w:sz w:val="24"/>
          <w:szCs w:val="24"/>
        </w:rPr>
        <w:t xml:space="preserve"> Further reliable data collection and reporting within major organisations and data analysis institutions is still lacking. As a result, the intersecting oppressions of such things as racism, homophobia, transphobia, ableism, and classism and their combined impact on the lived experiences of violence of different individuals and communities remain obscured. This could be a result of a lack of data on victim/perpetrator identities in police reports or a lack of institutional awareness of the importance of gathering such information. The lack of inclusion of readily available and reliable data on the intersecting identities of victims and perpetrators plays an active role in the concealment of these intersecting oppressions and both daily and long-term experiences of systemic violence, which, in turn, results in inadequate attention paid within socio-political discourse to these issues.</w:t>
      </w:r>
    </w:p>
    <w:p w14:paraId="2B0015C3" w14:textId="77777777" w:rsidR="00F17B03" w:rsidRDefault="00F17B03" w:rsidP="00347268">
      <w:pPr>
        <w:spacing w:after="120" w:line="300" w:lineRule="auto"/>
        <w:rPr>
          <w:rFonts w:ascii="Calibri" w:eastAsia="Calibri" w:hAnsi="Calibri" w:cs="Calibri"/>
          <w:b/>
          <w:sz w:val="24"/>
          <w:szCs w:val="24"/>
          <w:u w:val="single"/>
        </w:rPr>
      </w:pPr>
    </w:p>
    <w:p w14:paraId="31461E94" w14:textId="77777777" w:rsidR="00F17B03" w:rsidRPr="00A06BC2" w:rsidRDefault="00F17B03" w:rsidP="00347268">
      <w:pPr>
        <w:pStyle w:val="Balk2"/>
        <w:spacing w:before="0" w:after="120" w:line="300" w:lineRule="auto"/>
        <w:rPr>
          <w:rFonts w:eastAsia="Calibri"/>
        </w:rPr>
      </w:pPr>
      <w:bookmarkStart w:id="16" w:name="_Toc157634182"/>
      <w:r w:rsidRPr="00A06BC2">
        <w:rPr>
          <w:rFonts w:eastAsia="Calibri"/>
        </w:rPr>
        <w:t>Femicide, SGBV, and the Covid-19 Pandemic</w:t>
      </w:r>
      <w:bookmarkEnd w:id="16"/>
    </w:p>
    <w:p w14:paraId="6A0FF159" w14:textId="77777777" w:rsidR="00F17B03" w:rsidRDefault="00F17B03" w:rsidP="00347268">
      <w:pPr>
        <w:spacing w:after="120" w:line="300" w:lineRule="auto"/>
        <w:jc w:val="both"/>
        <w:rPr>
          <w:rFonts w:ascii="Calibri" w:eastAsia="Calibri" w:hAnsi="Calibri" w:cs="Calibri"/>
          <w:sz w:val="24"/>
          <w:szCs w:val="24"/>
        </w:rPr>
      </w:pPr>
      <w:r>
        <w:rPr>
          <w:rFonts w:ascii="Calibri" w:eastAsia="Calibri" w:hAnsi="Calibri" w:cs="Calibri"/>
          <w:sz w:val="24"/>
          <w:szCs w:val="24"/>
        </w:rPr>
        <w:t>As previously mentioned, the COVID-19 pandemic saw a significant increase in cases of femicides, SGBV, and domestic violence. In April 2020 alone, during the height of the pandemic, there were over 10,000 reports of physical violence against women.</w:t>
      </w:r>
      <w:r>
        <w:rPr>
          <w:vertAlign w:val="superscript"/>
        </w:rPr>
        <w:footnoteReference w:id="33"/>
      </w:r>
      <w:r>
        <w:rPr>
          <w:rFonts w:ascii="Calibri" w:eastAsia="Calibri" w:hAnsi="Calibri" w:cs="Calibri"/>
          <w:sz w:val="24"/>
          <w:szCs w:val="24"/>
        </w:rPr>
        <w:t xml:space="preserve"> Likewise, while there had been a steady annual decrease in femicides since 2014 after a record high in 2013, this promising decline ended in 2019, with a 4.7% increase in victims compared to 2018, equalling a death every 29 hours and 36 minutes.</w:t>
      </w:r>
      <w:r>
        <w:rPr>
          <w:vertAlign w:val="superscript"/>
        </w:rPr>
        <w:footnoteReference w:id="34"/>
      </w:r>
      <w:r>
        <w:rPr>
          <w:rFonts w:ascii="Calibri" w:eastAsia="Calibri" w:hAnsi="Calibri" w:cs="Calibri"/>
          <w:sz w:val="24"/>
          <w:szCs w:val="24"/>
        </w:rPr>
        <w:t xml:space="preserve"> </w:t>
      </w:r>
    </w:p>
    <w:p w14:paraId="3627391B" w14:textId="77777777" w:rsidR="00F17B03" w:rsidRDefault="00F17B03" w:rsidP="00347268">
      <w:pPr>
        <w:spacing w:after="120" w:line="300" w:lineRule="auto"/>
        <w:jc w:val="both"/>
        <w:rPr>
          <w:rFonts w:ascii="Calibri" w:eastAsia="Calibri" w:hAnsi="Calibri" w:cs="Calibri"/>
          <w:sz w:val="24"/>
          <w:szCs w:val="24"/>
        </w:rPr>
      </w:pPr>
      <w:r>
        <w:rPr>
          <w:rFonts w:ascii="Calibri" w:eastAsia="Calibri" w:hAnsi="Calibri" w:cs="Calibri"/>
          <w:sz w:val="24"/>
          <w:szCs w:val="24"/>
        </w:rPr>
        <w:lastRenderedPageBreak/>
        <w:t xml:space="preserve">According to PBI Honduras, one of the primary reasons for the increase in femicide and domestic violence during the pandemic was the fact that men were spending more time than ever at home, and women and girls' freedom of movement was severely restricted. Coupled with factors such as a highly </w:t>
      </w:r>
      <w:proofErr w:type="spellStart"/>
      <w:r>
        <w:rPr>
          <w:rFonts w:ascii="Calibri" w:eastAsia="Calibri" w:hAnsi="Calibri" w:cs="Calibri"/>
          <w:sz w:val="24"/>
          <w:szCs w:val="24"/>
        </w:rPr>
        <w:t>machista</w:t>
      </w:r>
      <w:proofErr w:type="spellEnd"/>
      <w:r>
        <w:rPr>
          <w:rFonts w:ascii="Calibri" w:eastAsia="Calibri" w:hAnsi="Calibri" w:cs="Calibri"/>
          <w:sz w:val="24"/>
          <w:szCs w:val="24"/>
        </w:rPr>
        <w:t xml:space="preserve"> society, increased food insecurity, increased financial insecurity and economic inequality, economic dependence on aggressors, lack of healthcare resources, and difficulties in accessing preventative and responsive resources, the pandemic worsened an already precarious situation and shed light on systemic issues within Honduras’ response to femicide and SGBV.</w:t>
      </w:r>
      <w:r>
        <w:rPr>
          <w:vertAlign w:val="superscript"/>
        </w:rPr>
        <w:footnoteReference w:id="35"/>
      </w:r>
      <w:r>
        <w:rPr>
          <w:rFonts w:ascii="Calibri" w:eastAsia="Calibri" w:hAnsi="Calibri" w:cs="Calibri"/>
          <w:sz w:val="24"/>
          <w:szCs w:val="24"/>
        </w:rPr>
        <w:t xml:space="preserve">  </w:t>
      </w:r>
    </w:p>
    <w:p w14:paraId="7438C327" w14:textId="77777777" w:rsidR="00F17B03" w:rsidRDefault="00F17B03" w:rsidP="00347268">
      <w:pPr>
        <w:spacing w:after="120" w:line="300" w:lineRule="auto"/>
        <w:jc w:val="both"/>
        <w:rPr>
          <w:rFonts w:ascii="Calibri" w:eastAsia="Calibri" w:hAnsi="Calibri" w:cs="Calibri"/>
          <w:sz w:val="24"/>
          <w:szCs w:val="24"/>
        </w:rPr>
      </w:pPr>
      <w:r>
        <w:rPr>
          <w:rFonts w:ascii="Calibri" w:eastAsia="Calibri" w:hAnsi="Calibri" w:cs="Calibri"/>
          <w:sz w:val="24"/>
          <w:szCs w:val="24"/>
        </w:rPr>
        <w:t>Notably, significantly fewer women called the National Emergency System to report instances of domestic violence during the pandemic. This decrease is attributed to a lack of follow-up on reports of domestic violence, officials refusing to travel to register new complaints, as well as fear and economic dependence upon the aggressor.</w:t>
      </w:r>
      <w:r>
        <w:rPr>
          <w:vertAlign w:val="superscript"/>
        </w:rPr>
        <w:footnoteReference w:id="36"/>
      </w:r>
      <w:r>
        <w:rPr>
          <w:rFonts w:ascii="Calibri" w:eastAsia="Calibri" w:hAnsi="Calibri" w:cs="Calibri"/>
          <w:sz w:val="24"/>
          <w:szCs w:val="24"/>
        </w:rPr>
        <w:t xml:space="preserve"> Impunity is a deep-rooted issue in Honduras, a country in which less than half of the approximately 200,000 annual reports of domestic violence received by the Supreme Court see any follow-through. The weak response to reports of domestic violence impacts femicide rates since many occurrences of domestic violence, when unaddressed, can escalate into femicide.</w:t>
      </w:r>
      <w:r>
        <w:rPr>
          <w:vertAlign w:val="superscript"/>
        </w:rPr>
        <w:footnoteReference w:id="37"/>
      </w:r>
      <w:r>
        <w:rPr>
          <w:rFonts w:ascii="Calibri" w:eastAsia="Calibri" w:hAnsi="Calibri" w:cs="Calibri"/>
          <w:sz w:val="24"/>
          <w:szCs w:val="24"/>
        </w:rPr>
        <w:t xml:space="preserve"> Since its criminalisation in 2013, only 15 cases of femicide in Honduras have resulted in conviction.</w:t>
      </w:r>
      <w:r>
        <w:rPr>
          <w:vertAlign w:val="superscript"/>
        </w:rPr>
        <w:footnoteReference w:id="38"/>
      </w:r>
      <w:r>
        <w:rPr>
          <w:rFonts w:ascii="Calibri" w:eastAsia="Calibri" w:hAnsi="Calibri" w:cs="Calibri"/>
          <w:sz w:val="24"/>
          <w:szCs w:val="24"/>
        </w:rPr>
        <w:t xml:space="preserve"> Some civil society organisations say that over 90% of reported femicides go unpunished.</w:t>
      </w:r>
      <w:r>
        <w:rPr>
          <w:vertAlign w:val="superscript"/>
        </w:rPr>
        <w:footnoteReference w:id="39"/>
      </w:r>
      <w:r>
        <w:rPr>
          <w:rFonts w:ascii="Calibri" w:eastAsia="Calibri" w:hAnsi="Calibri" w:cs="Calibri"/>
          <w:sz w:val="24"/>
          <w:szCs w:val="24"/>
        </w:rPr>
        <w:t xml:space="preserve"> These issues of widespread impunity were exacerbated by the pandemic and contributed to an increasingly precarious and unsafe situation for Honduran women. </w:t>
      </w:r>
    </w:p>
    <w:p w14:paraId="6018FD73" w14:textId="385A28DE" w:rsidR="00F17B03" w:rsidRPr="00A06BC2" w:rsidRDefault="00F17B03" w:rsidP="00347268">
      <w:pPr>
        <w:spacing w:after="120" w:line="300" w:lineRule="auto"/>
        <w:jc w:val="both"/>
        <w:rPr>
          <w:rFonts w:ascii="Calibri" w:eastAsia="Calibri" w:hAnsi="Calibri" w:cs="Calibri"/>
          <w:sz w:val="24"/>
          <w:szCs w:val="24"/>
          <w:u w:val="single"/>
        </w:rPr>
      </w:pPr>
      <w:r>
        <w:rPr>
          <w:rFonts w:ascii="Calibri" w:eastAsia="Calibri" w:hAnsi="Calibri" w:cs="Calibri"/>
          <w:sz w:val="24"/>
          <w:szCs w:val="24"/>
        </w:rPr>
        <w:t xml:space="preserve">In the unique case of Honduras, the impacts of the pandemic on femicides and SGBV were intensified by the ongoing reverberations of authoritarianism following the 2009 coup and ensuing narco-dictatorship. The authoritarian government ushered in an era of corruption, impunity, and militarisation. </w:t>
      </w:r>
      <w:proofErr w:type="spellStart"/>
      <w:r>
        <w:rPr>
          <w:rFonts w:ascii="Calibri" w:eastAsia="Calibri" w:hAnsi="Calibri" w:cs="Calibri"/>
          <w:sz w:val="24"/>
          <w:szCs w:val="24"/>
        </w:rPr>
        <w:t>Suyapa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Martínez</w:t>
      </w:r>
      <w:proofErr w:type="spellEnd"/>
      <w:r>
        <w:rPr>
          <w:rFonts w:ascii="Calibri" w:eastAsia="Calibri" w:hAnsi="Calibri" w:cs="Calibri"/>
          <w:sz w:val="24"/>
          <w:szCs w:val="24"/>
        </w:rPr>
        <w:t xml:space="preserve">, a member of the Tegucigalpa-based feminist </w:t>
      </w:r>
      <w:r>
        <w:rPr>
          <w:rFonts w:ascii="Calibri" w:eastAsia="Calibri" w:hAnsi="Calibri" w:cs="Calibri"/>
          <w:sz w:val="24"/>
          <w:szCs w:val="24"/>
        </w:rPr>
        <w:lastRenderedPageBreak/>
        <w:t>organisation CEM-H, says that "the militarisation of the country since the coup has increased the threat to women's lives, there are guns everywhere, and we know that the police have links to criminal gangs"</w:t>
      </w:r>
      <w:r>
        <w:rPr>
          <w:vertAlign w:val="superscript"/>
        </w:rPr>
        <w:footnoteReference w:id="40"/>
      </w:r>
      <w:r>
        <w:rPr>
          <w:rFonts w:ascii="Calibri" w:eastAsia="Calibri" w:hAnsi="Calibri" w:cs="Calibri"/>
          <w:sz w:val="24"/>
          <w:szCs w:val="24"/>
        </w:rPr>
        <w:t xml:space="preserve"> Human rights advocates assert that the government took advantage of the pandemic to increase control and crack down on vulnerable and marginalised communities and those who opposed any aspects of the government.</w:t>
      </w:r>
      <w:r>
        <w:rPr>
          <w:vertAlign w:val="superscript"/>
        </w:rPr>
        <w:footnoteReference w:id="41"/>
      </w:r>
      <w:r>
        <w:rPr>
          <w:rFonts w:ascii="Calibri" w:eastAsia="Calibri" w:hAnsi="Calibri" w:cs="Calibri"/>
          <w:sz w:val="24"/>
          <w:szCs w:val="24"/>
        </w:rPr>
        <w:t xml:space="preserve"> </w:t>
      </w:r>
    </w:p>
    <w:p w14:paraId="18F8FE25" w14:textId="77777777" w:rsidR="00F17B03" w:rsidRDefault="00F17B03" w:rsidP="00347268">
      <w:pPr>
        <w:spacing w:after="120" w:line="300" w:lineRule="auto"/>
        <w:jc w:val="both"/>
        <w:rPr>
          <w:rFonts w:ascii="Calibri" w:eastAsia="Calibri" w:hAnsi="Calibri" w:cs="Calibri"/>
          <w:sz w:val="24"/>
          <w:szCs w:val="24"/>
        </w:rPr>
      </w:pPr>
      <w:r>
        <w:rPr>
          <w:rFonts w:ascii="Calibri" w:eastAsia="Calibri" w:hAnsi="Calibri" w:cs="Calibri"/>
          <w:sz w:val="24"/>
          <w:szCs w:val="24"/>
        </w:rPr>
        <w:t>The coup and resulting authoritarian government also led to a growth in machismo culture within the country. Machismo is not specific to Honduras, nor did it originate in 2009 – many scholars trace its roots back to the colonial projects in Latin America as "the product of the rape of indigenous women, the response to indigenous imperial ritual, and the sublimation of indigenous male sexuality" as well as a "response to social and religious control of the male body”.</w:t>
      </w:r>
      <w:r>
        <w:rPr>
          <w:vertAlign w:val="superscript"/>
        </w:rPr>
        <w:footnoteReference w:id="42"/>
      </w:r>
      <w:r>
        <w:rPr>
          <w:rFonts w:ascii="Calibri" w:eastAsia="Calibri" w:hAnsi="Calibri" w:cs="Calibri"/>
          <w:sz w:val="24"/>
          <w:szCs w:val="24"/>
        </w:rPr>
        <w:t xml:space="preserve"> However, authoritarianism allowed for machismo to become ingrained into Honduran institutions and society, which, in turn, acted as a catalyst for femicide, corruption, and institutional impunity.</w:t>
      </w:r>
      <w:r>
        <w:rPr>
          <w:vertAlign w:val="superscript"/>
        </w:rPr>
        <w:footnoteReference w:id="43"/>
      </w:r>
      <w:r>
        <w:rPr>
          <w:rFonts w:ascii="Calibri" w:eastAsia="Calibri" w:hAnsi="Calibri" w:cs="Calibri"/>
          <w:sz w:val="24"/>
          <w:szCs w:val="24"/>
        </w:rPr>
        <w:t xml:space="preserve"> In this sense, machismo must be understood not as discrete unequal power relations between individuals but as a characterisation of the broader power structures embedded within Honduras' socio-political, financial, and cultural institutions.</w:t>
      </w:r>
      <w:r>
        <w:rPr>
          <w:vertAlign w:val="superscript"/>
        </w:rPr>
        <w:footnoteReference w:id="44"/>
      </w:r>
      <w:r>
        <w:rPr>
          <w:rFonts w:ascii="Calibri" w:eastAsia="Calibri" w:hAnsi="Calibri" w:cs="Calibri"/>
          <w:sz w:val="24"/>
          <w:szCs w:val="24"/>
        </w:rPr>
        <w:t xml:space="preserve"> </w:t>
      </w:r>
    </w:p>
    <w:p w14:paraId="4361F9C2" w14:textId="27189732" w:rsidR="00F17B03" w:rsidRDefault="00F17B03" w:rsidP="00347268">
      <w:pPr>
        <w:spacing w:after="120" w:line="300" w:lineRule="auto"/>
        <w:jc w:val="both"/>
        <w:rPr>
          <w:rFonts w:ascii="Calibri" w:eastAsia="Calibri" w:hAnsi="Calibri" w:cs="Calibri"/>
          <w:sz w:val="24"/>
          <w:szCs w:val="24"/>
        </w:rPr>
      </w:pPr>
      <w:r>
        <w:rPr>
          <w:rFonts w:ascii="Calibri" w:eastAsia="Calibri" w:hAnsi="Calibri" w:cs="Calibri"/>
          <w:sz w:val="24"/>
          <w:szCs w:val="24"/>
        </w:rPr>
        <w:t xml:space="preserve">These intersecting factors are highlighted in the murder of Keyla Martínez in police custody in the department of Intibucá in La Esperanza, after being detained for breaking the pandemic curfew in February 2021. Honduran National Police officers claimed Martínez was drunk and disorderly at a traffic stop due to breaking curfew, while friends claimed she had been sober. The officers further claimed that Martínez had attempted suicide in her cell and was taken alive to the hospital, despite doctors asserting that she was dead upon arrival and could not have died during transport. The medical examiner asserted that she had died as a result of </w:t>
      </w:r>
      <w:r>
        <w:rPr>
          <w:rFonts w:ascii="Calibri" w:eastAsia="Calibri" w:hAnsi="Calibri" w:cs="Calibri"/>
          <w:sz w:val="24"/>
          <w:szCs w:val="24"/>
        </w:rPr>
        <w:lastRenderedPageBreak/>
        <w:t xml:space="preserve">strangulation, ruling her death a homicide. </w:t>
      </w:r>
      <w:proofErr w:type="spellStart"/>
      <w:r>
        <w:rPr>
          <w:rFonts w:ascii="Calibri" w:eastAsia="Calibri" w:hAnsi="Calibri" w:cs="Calibri"/>
          <w:sz w:val="24"/>
          <w:szCs w:val="24"/>
        </w:rPr>
        <w:t>Dr.</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Edgard</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Velásquez</w:t>
      </w:r>
      <w:proofErr w:type="spellEnd"/>
      <w:r>
        <w:rPr>
          <w:rFonts w:ascii="Calibri" w:eastAsia="Calibri" w:hAnsi="Calibri" w:cs="Calibri"/>
          <w:sz w:val="24"/>
          <w:szCs w:val="24"/>
        </w:rPr>
        <w:t xml:space="preserve"> Orellana, who was detained with Martínez but separated upon arrival at the police station, claims he heard Martínez yelling for help. He is currently in hiding due to fears of retribution from the police.</w:t>
      </w:r>
      <w:r>
        <w:rPr>
          <w:vertAlign w:val="superscript"/>
        </w:rPr>
        <w:footnoteReference w:id="45"/>
      </w:r>
      <w:r>
        <w:rPr>
          <w:rFonts w:ascii="Calibri" w:eastAsia="Calibri" w:hAnsi="Calibri" w:cs="Calibri"/>
          <w:sz w:val="24"/>
          <w:szCs w:val="24"/>
        </w:rPr>
        <w:t xml:space="preserve"> Karol Bobadilla, the lawyer in Martínez’s case and member of </w:t>
      </w:r>
      <w:proofErr w:type="spellStart"/>
      <w:r>
        <w:rPr>
          <w:rFonts w:ascii="Calibri" w:eastAsia="Calibri" w:hAnsi="Calibri" w:cs="Calibri"/>
          <w:sz w:val="24"/>
          <w:szCs w:val="24"/>
        </w:rPr>
        <w:t>Foro</w:t>
      </w:r>
      <w:proofErr w:type="spellEnd"/>
      <w:r>
        <w:rPr>
          <w:rFonts w:ascii="Calibri" w:eastAsia="Calibri" w:hAnsi="Calibri" w:cs="Calibri"/>
          <w:sz w:val="24"/>
          <w:szCs w:val="24"/>
        </w:rPr>
        <w:t xml:space="preserve"> de </w:t>
      </w:r>
      <w:proofErr w:type="spellStart"/>
      <w:r>
        <w:rPr>
          <w:rFonts w:ascii="Calibri" w:eastAsia="Calibri" w:hAnsi="Calibri" w:cs="Calibri"/>
          <w:sz w:val="24"/>
          <w:szCs w:val="24"/>
        </w:rPr>
        <w:t>Mujeres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por</w:t>
      </w:r>
      <w:proofErr w:type="spellEnd"/>
      <w:r>
        <w:rPr>
          <w:rFonts w:ascii="Calibri" w:eastAsia="Calibri" w:hAnsi="Calibri" w:cs="Calibri"/>
          <w:sz w:val="24"/>
          <w:szCs w:val="24"/>
        </w:rPr>
        <w:t xml:space="preserve"> la Vida (Forum of Women for Life), a feminist civic organisation, stated that this case highlights "how these cases have been handled for a long time, and how public institutions have established a pattern of labelling femicides as suicide.”</w:t>
      </w:r>
      <w:r>
        <w:rPr>
          <w:vertAlign w:val="superscript"/>
        </w:rPr>
        <w:footnoteReference w:id="46"/>
      </w:r>
      <w:r>
        <w:rPr>
          <w:rFonts w:ascii="Calibri" w:eastAsia="Calibri" w:hAnsi="Calibri" w:cs="Calibri"/>
          <w:sz w:val="24"/>
          <w:szCs w:val="24"/>
        </w:rPr>
        <w:t xml:space="preserve"> Olivia </w:t>
      </w:r>
      <w:proofErr w:type="spellStart"/>
      <w:r>
        <w:rPr>
          <w:rFonts w:ascii="Calibri" w:eastAsia="Calibri" w:hAnsi="Calibri" w:cs="Calibri"/>
          <w:sz w:val="24"/>
          <w:szCs w:val="24"/>
        </w:rPr>
        <w:t>Zúniga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Cáceres</w:t>
      </w:r>
      <w:proofErr w:type="spellEnd"/>
      <w:r>
        <w:rPr>
          <w:rFonts w:ascii="Calibri" w:eastAsia="Calibri" w:hAnsi="Calibri" w:cs="Calibri"/>
          <w:sz w:val="24"/>
          <w:szCs w:val="24"/>
        </w:rPr>
        <w:t xml:space="preserve">, congresswoman, member of the Libertad y </w:t>
      </w:r>
      <w:proofErr w:type="spellStart"/>
      <w:r>
        <w:rPr>
          <w:rFonts w:ascii="Calibri" w:eastAsia="Calibri" w:hAnsi="Calibri" w:cs="Calibri"/>
          <w:sz w:val="24"/>
          <w:szCs w:val="24"/>
        </w:rPr>
        <w:t>Refundación</w:t>
      </w:r>
      <w:proofErr w:type="spellEnd"/>
      <w:r>
        <w:rPr>
          <w:rFonts w:ascii="Calibri" w:eastAsia="Calibri" w:hAnsi="Calibri" w:cs="Calibri"/>
          <w:sz w:val="24"/>
          <w:szCs w:val="24"/>
        </w:rPr>
        <w:t xml:space="preserve"> party, and daughter of the Indigenous environmental activist Berta </w:t>
      </w:r>
      <w:proofErr w:type="spellStart"/>
      <w:r>
        <w:rPr>
          <w:rFonts w:ascii="Calibri" w:eastAsia="Calibri" w:hAnsi="Calibri" w:cs="Calibri"/>
          <w:sz w:val="24"/>
          <w:szCs w:val="24"/>
        </w:rPr>
        <w:t>Cáceres</w:t>
      </w:r>
      <w:proofErr w:type="spellEnd"/>
      <w:r>
        <w:rPr>
          <w:rFonts w:ascii="Calibri" w:eastAsia="Calibri" w:hAnsi="Calibri" w:cs="Calibri"/>
          <w:sz w:val="24"/>
          <w:szCs w:val="24"/>
        </w:rPr>
        <w:t>, stated that “the suspension of constitutional rights, supposedly to curtail Covid, has not reduced the level of infection, but has increased the systematic violation of human rights by the police. Women are not safe at home, in the streets, or in custody”.</w:t>
      </w:r>
      <w:r>
        <w:rPr>
          <w:vertAlign w:val="superscript"/>
        </w:rPr>
        <w:footnoteReference w:id="47"/>
      </w:r>
      <w:r>
        <w:rPr>
          <w:rFonts w:ascii="Calibri" w:eastAsia="Calibri" w:hAnsi="Calibri" w:cs="Calibri"/>
          <w:sz w:val="24"/>
          <w:szCs w:val="24"/>
        </w:rPr>
        <w:t xml:space="preserve"> Berta </w:t>
      </w:r>
      <w:proofErr w:type="spellStart"/>
      <w:r>
        <w:rPr>
          <w:rFonts w:ascii="Calibri" w:eastAsia="Calibri" w:hAnsi="Calibri" w:cs="Calibri"/>
          <w:sz w:val="24"/>
          <w:szCs w:val="24"/>
        </w:rPr>
        <w:t>Cáceres</w:t>
      </w:r>
      <w:proofErr w:type="spellEnd"/>
      <w:r>
        <w:rPr>
          <w:rFonts w:ascii="Calibri" w:eastAsia="Calibri" w:hAnsi="Calibri" w:cs="Calibri"/>
          <w:sz w:val="24"/>
          <w:szCs w:val="24"/>
        </w:rPr>
        <w:t xml:space="preserve"> herself was murdered in 2016 in retaliation for leading a campaign to stop the construction of a hydroelectric dam, which was initially falsely claimed to have been a "crime of passion" by the then minister of public security Julian Pacheco – who himself had alleged ties to the company hired to build the dam. </w:t>
      </w:r>
    </w:p>
    <w:p w14:paraId="35EF342B" w14:textId="705C7C47" w:rsidR="00F17B03" w:rsidRDefault="00F17B03" w:rsidP="00347268">
      <w:pPr>
        <w:spacing w:after="120" w:line="300" w:lineRule="auto"/>
        <w:jc w:val="both"/>
        <w:rPr>
          <w:rFonts w:ascii="Calibri" w:eastAsia="Calibri" w:hAnsi="Calibri" w:cs="Calibri"/>
          <w:sz w:val="24"/>
          <w:szCs w:val="24"/>
        </w:rPr>
      </w:pPr>
      <w:r>
        <w:rPr>
          <w:rFonts w:ascii="Calibri" w:eastAsia="Calibri" w:hAnsi="Calibri" w:cs="Calibri"/>
          <w:sz w:val="24"/>
          <w:szCs w:val="24"/>
        </w:rPr>
        <w:t>Corruption also hindered governmental public health support and economic relief efforts, contributing to the economic crisis and increased violence against women. For example, the $420 million response package passed by the National Congress in March 2020 is stated to have ignored contracting regulations and evaded the National Anticorruption Council (CNA) to authorise the construction of 94 health centres, which were never built.</w:t>
      </w:r>
      <w:r>
        <w:rPr>
          <w:vertAlign w:val="superscript"/>
        </w:rPr>
        <w:footnoteReference w:id="48"/>
      </w:r>
      <w:r>
        <w:rPr>
          <w:rFonts w:ascii="Calibri" w:eastAsia="Calibri" w:hAnsi="Calibri" w:cs="Calibri"/>
          <w:sz w:val="24"/>
          <w:szCs w:val="24"/>
        </w:rPr>
        <w:t xml:space="preserve"> In a similar case, the anti-corruption and anti-violence organisation Association for a More Just Society (ASJ) found that the government overpaid an agency for seven mobile hospitals by over $12 million.</w:t>
      </w:r>
      <w:r>
        <w:rPr>
          <w:vertAlign w:val="superscript"/>
        </w:rPr>
        <w:footnoteReference w:id="49"/>
      </w:r>
      <w:r>
        <w:rPr>
          <w:rFonts w:ascii="Calibri" w:eastAsia="Calibri" w:hAnsi="Calibri" w:cs="Calibri"/>
          <w:sz w:val="24"/>
          <w:szCs w:val="24"/>
        </w:rPr>
        <w:t xml:space="preserve"> The prevalence of corruption and impunity within governmental and healthcare </w:t>
      </w:r>
      <w:r>
        <w:rPr>
          <w:rFonts w:ascii="Calibri" w:eastAsia="Calibri" w:hAnsi="Calibri" w:cs="Calibri"/>
          <w:sz w:val="24"/>
          <w:szCs w:val="24"/>
        </w:rPr>
        <w:lastRenderedPageBreak/>
        <w:t xml:space="preserve">institutions factored heavily into the ineffectiveness of institutional response and prevention mechanisms for femicide and SGBV. </w:t>
      </w:r>
    </w:p>
    <w:p w14:paraId="0AC766F1" w14:textId="604687C2" w:rsidR="00F17B03" w:rsidRPr="00F17B03" w:rsidRDefault="00F17B03" w:rsidP="00347268">
      <w:pPr>
        <w:spacing w:after="120" w:line="300" w:lineRule="auto"/>
        <w:jc w:val="both"/>
        <w:rPr>
          <w:rFonts w:ascii="Calibri" w:eastAsia="Calibri" w:hAnsi="Calibri" w:cs="Calibri"/>
          <w:sz w:val="24"/>
          <w:szCs w:val="24"/>
        </w:rPr>
      </w:pPr>
      <w:r>
        <w:rPr>
          <w:rFonts w:ascii="Calibri" w:eastAsia="Calibri" w:hAnsi="Calibri" w:cs="Calibri"/>
          <w:sz w:val="24"/>
          <w:szCs w:val="24"/>
        </w:rPr>
        <w:t>The 2021 election of Iris Xiomara Castro Sarmiento saw the end of the authoritarian Partido Nacional and ushered in new hope for free, democratic, and effective Honduran institutional systems.</w:t>
      </w:r>
      <w:r>
        <w:rPr>
          <w:vertAlign w:val="superscript"/>
        </w:rPr>
        <w:footnoteReference w:id="50"/>
      </w:r>
      <w:r>
        <w:rPr>
          <w:rFonts w:ascii="Calibri" w:eastAsia="Calibri" w:hAnsi="Calibri" w:cs="Calibri"/>
          <w:sz w:val="24"/>
          <w:szCs w:val="24"/>
        </w:rPr>
        <w:t xml:space="preserve"> The current administration has begun debating several new laws aimed at strengthening SGBV prevention and protection efforts.</w:t>
      </w:r>
      <w:r>
        <w:rPr>
          <w:vertAlign w:val="superscript"/>
        </w:rPr>
        <w:footnoteReference w:id="51"/>
      </w:r>
      <w:r>
        <w:rPr>
          <w:rFonts w:ascii="Calibri" w:eastAsia="Calibri" w:hAnsi="Calibri" w:cs="Calibri"/>
          <w:sz w:val="24"/>
          <w:szCs w:val="24"/>
        </w:rPr>
        <w:t xml:space="preserve"> Moreover, on March 1, 2022, the National Congress repealed the Law for the Classification of Public Documents Related to National Security and Defense (commonly known as the Secrets Law), marking a major step towards increased transparency and anti-corruption efforts.</w:t>
      </w:r>
      <w:r>
        <w:rPr>
          <w:vertAlign w:val="superscript"/>
        </w:rPr>
        <w:footnoteReference w:id="52"/>
      </w:r>
      <w:r>
        <w:rPr>
          <w:rFonts w:ascii="Calibri" w:eastAsia="Calibri" w:hAnsi="Calibri" w:cs="Calibri"/>
          <w:sz w:val="24"/>
          <w:szCs w:val="24"/>
        </w:rPr>
        <w:t xml:space="preserve"> However, optimism for the new administration must be met with caution. The legacy of authoritarianism cannot be easily removed, and the shadow of corruption, impunity, and rampant disregard for the safety of women are embedded deep within Honduran institutions. The International Crisis Group cautions against excessive optimism over the new administration's supposed progress on reforms and points to President Xiomara Castro's return to heavy-handed tactics to address corruption and crime as a sign that the future of reforms is under threat.</w:t>
      </w:r>
      <w:r>
        <w:rPr>
          <w:vertAlign w:val="superscript"/>
        </w:rPr>
        <w:footnoteReference w:id="53"/>
      </w:r>
      <w:r>
        <w:rPr>
          <w:rFonts w:ascii="Calibri" w:eastAsia="Calibri" w:hAnsi="Calibri" w:cs="Calibri"/>
          <w:sz w:val="24"/>
          <w:szCs w:val="24"/>
        </w:rPr>
        <w:t xml:space="preserve">  </w:t>
      </w:r>
    </w:p>
    <w:p w14:paraId="1EC4E2ED" w14:textId="77777777" w:rsidR="00F17B03" w:rsidRPr="00A06BC2" w:rsidRDefault="00F17B03" w:rsidP="00347268">
      <w:pPr>
        <w:pStyle w:val="Balk2"/>
        <w:spacing w:before="0" w:after="120" w:line="300" w:lineRule="auto"/>
        <w:rPr>
          <w:rFonts w:eastAsia="Calibri"/>
        </w:rPr>
      </w:pPr>
      <w:bookmarkStart w:id="17" w:name="_Toc157634183"/>
      <w:r w:rsidRPr="00A06BC2">
        <w:rPr>
          <w:rFonts w:eastAsia="Calibri"/>
        </w:rPr>
        <w:t>Femicide and Violence in a “post-COVID” world</w:t>
      </w:r>
      <w:bookmarkEnd w:id="17"/>
    </w:p>
    <w:p w14:paraId="469656AF" w14:textId="0FA9CB8A" w:rsidR="00F17B03" w:rsidRDefault="00F17B03" w:rsidP="00347268">
      <w:pPr>
        <w:spacing w:after="120" w:line="300" w:lineRule="auto"/>
        <w:jc w:val="both"/>
        <w:rPr>
          <w:rFonts w:ascii="Calibri" w:eastAsia="Calibri" w:hAnsi="Calibri" w:cs="Calibri"/>
          <w:sz w:val="24"/>
          <w:szCs w:val="24"/>
          <w:highlight w:val="white"/>
        </w:rPr>
      </w:pPr>
      <w:r>
        <w:rPr>
          <w:rFonts w:ascii="Calibri" w:eastAsia="Calibri" w:hAnsi="Calibri" w:cs="Calibri"/>
          <w:sz w:val="24"/>
          <w:szCs w:val="24"/>
        </w:rPr>
        <w:t>While Covid hasn't disappeared, much of the world is renegotiating its relationship with the pandemic, and we are arguably entering a somewhat "post-COVID" era. As such, it is vital to understand the long-term impacts of the pandemic on femicide and SGBV in Honduras. One of the primary long-term impacts affecting women's security is decreased economic security and autonomy for women. Poverty and lack of economic and labour opportunities have long been established as a determining factor in rates of violence, in which "</w:t>
      </w:r>
      <w:r>
        <w:rPr>
          <w:rFonts w:ascii="Calibri" w:eastAsia="Calibri" w:hAnsi="Calibri" w:cs="Calibri"/>
          <w:sz w:val="24"/>
          <w:szCs w:val="24"/>
          <w:highlight w:val="white"/>
        </w:rPr>
        <w:t>violence should be viewed as the product of several chains of events that ultimately lead to it”.</w:t>
      </w:r>
      <w:r>
        <w:rPr>
          <w:highlight w:val="white"/>
          <w:vertAlign w:val="superscript"/>
        </w:rPr>
        <w:footnoteReference w:id="54"/>
      </w:r>
      <w:r>
        <w:rPr>
          <w:rFonts w:ascii="Calibri" w:eastAsia="Calibri" w:hAnsi="Calibri" w:cs="Calibri"/>
          <w:sz w:val="24"/>
          <w:szCs w:val="24"/>
          <w:highlight w:val="white"/>
        </w:rPr>
        <w:t xml:space="preserve"> Investigations </w:t>
      </w:r>
      <w:r>
        <w:rPr>
          <w:rFonts w:ascii="Calibri" w:eastAsia="Calibri" w:hAnsi="Calibri" w:cs="Calibri"/>
          <w:sz w:val="24"/>
          <w:szCs w:val="24"/>
          <w:highlight w:val="white"/>
        </w:rPr>
        <w:lastRenderedPageBreak/>
        <w:t>into SGBV in Honduras demonstrate that the worsened economic conditions as a result of the Covid-19 pandemic through government-mandated curfews and loss of employment, which intersected with the crises of mass displacement as a result of Hurricane Iota and Eta disproportionately affected marginalised communities such as women and those living in poverty.</w:t>
      </w:r>
      <w:r>
        <w:rPr>
          <w:highlight w:val="white"/>
          <w:vertAlign w:val="superscript"/>
        </w:rPr>
        <w:footnoteReference w:id="55"/>
      </w:r>
      <w:r>
        <w:rPr>
          <w:rFonts w:ascii="Calibri" w:eastAsia="Calibri" w:hAnsi="Calibri" w:cs="Calibri"/>
          <w:sz w:val="24"/>
          <w:szCs w:val="24"/>
          <w:highlight w:val="white"/>
        </w:rPr>
        <w:t xml:space="preserve"> In this era of economic disaster, “Women were pushed further down the economic ladder and have been more likely than men to experience unemployment”.</w:t>
      </w:r>
      <w:r>
        <w:rPr>
          <w:highlight w:val="white"/>
          <w:vertAlign w:val="superscript"/>
        </w:rPr>
        <w:footnoteReference w:id="56"/>
      </w:r>
      <w:r>
        <w:rPr>
          <w:rFonts w:ascii="Calibri" w:eastAsia="Calibri" w:hAnsi="Calibri" w:cs="Calibri"/>
          <w:sz w:val="24"/>
          <w:szCs w:val="24"/>
          <w:highlight w:val="white"/>
        </w:rPr>
        <w:t xml:space="preserve"> While the IMF has reported that Real GDP is now above pre-pandemic levels and inflation is slowly easing, women’s economic empowerment continues to be an area in need of financial and institutional support. </w:t>
      </w:r>
    </w:p>
    <w:p w14:paraId="10885949" w14:textId="77777777" w:rsidR="00F17B03" w:rsidRPr="00A06BC2" w:rsidRDefault="00F17B03" w:rsidP="00347268">
      <w:pPr>
        <w:pStyle w:val="Balk2"/>
        <w:spacing w:before="0" w:after="120" w:line="300" w:lineRule="auto"/>
        <w:rPr>
          <w:rFonts w:eastAsia="Calibri"/>
        </w:rPr>
      </w:pPr>
      <w:bookmarkStart w:id="18" w:name="_Toc157634184"/>
      <w:r w:rsidRPr="00A06BC2">
        <w:rPr>
          <w:rFonts w:eastAsia="Calibri"/>
        </w:rPr>
        <w:t>Violence Response and Prevention: Areas for Improvement</w:t>
      </w:r>
      <w:bookmarkEnd w:id="18"/>
    </w:p>
    <w:p w14:paraId="59D60A9A" w14:textId="77777777" w:rsidR="00F17B03" w:rsidRDefault="00F17B03" w:rsidP="00347268">
      <w:pPr>
        <w:spacing w:after="120" w:line="300" w:lineRule="auto"/>
        <w:jc w:val="both"/>
        <w:rPr>
          <w:rFonts w:ascii="Calibri" w:eastAsia="Calibri" w:hAnsi="Calibri" w:cs="Calibri"/>
          <w:sz w:val="24"/>
          <w:szCs w:val="24"/>
        </w:rPr>
      </w:pPr>
      <w:r>
        <w:rPr>
          <w:rFonts w:ascii="Calibri" w:eastAsia="Calibri" w:hAnsi="Calibri" w:cs="Calibri"/>
          <w:sz w:val="24"/>
          <w:szCs w:val="24"/>
        </w:rPr>
        <w:t>The rampant use and availability of firearms poses a significant barrier to women’s safety and security. According to an</w:t>
      </w:r>
      <w:r>
        <w:rPr>
          <w:rFonts w:ascii="Calibri" w:eastAsia="Calibri" w:hAnsi="Calibri" w:cs="Calibri"/>
          <w:b/>
          <w:sz w:val="24"/>
          <w:szCs w:val="24"/>
        </w:rPr>
        <w:t xml:space="preserve"> </w:t>
      </w:r>
      <w:r>
        <w:rPr>
          <w:rFonts w:ascii="Calibri" w:eastAsia="Calibri" w:hAnsi="Calibri" w:cs="Calibri"/>
          <w:sz w:val="24"/>
          <w:szCs w:val="24"/>
        </w:rPr>
        <w:t xml:space="preserve">ONV-IUDPAS-UNAH report, in 2022, firearms were used in half of all reported intimate femicides (here referring to femicides committed by past or current partners of the victim, including husbands, partners, boyfriends, or suitors). The UNODC Global Firearms Programme signed a Letter of Understanding with the Cabinet of Prevention, Security, and Defence of Honduras on November 8, 2019. However, despite this promising action towards increased regulation of firearms in the country, the Honduran government has taken little further action to restrict access to firearms. Strong efforts to remove firearms from circulation and limit future access to firearms would play a significant role in reducing femicides, homicides, and SGBV. </w:t>
      </w:r>
    </w:p>
    <w:p w14:paraId="538D8465" w14:textId="77777777" w:rsidR="00F17B03" w:rsidRDefault="00F17B03" w:rsidP="00347268">
      <w:pPr>
        <w:spacing w:after="120" w:line="300" w:lineRule="auto"/>
        <w:jc w:val="both"/>
        <w:rPr>
          <w:rFonts w:ascii="Calibri" w:eastAsia="Calibri" w:hAnsi="Calibri" w:cs="Calibri"/>
          <w:sz w:val="24"/>
          <w:szCs w:val="24"/>
        </w:rPr>
      </w:pPr>
      <w:r>
        <w:rPr>
          <w:rFonts w:ascii="Calibri" w:eastAsia="Calibri" w:hAnsi="Calibri" w:cs="Calibri"/>
          <w:sz w:val="24"/>
          <w:szCs w:val="24"/>
        </w:rPr>
        <w:t xml:space="preserve">Shelters and safe houses are fundamental to response mechanisms and violence prevention. Shelters offer a multitude of important resources for vulnerable communities, including prevention and care services for victims of SGBV, as well as accompaniment and advocacy services. A draft law on Safe Houses was passed by the National Congress in 2018 but has not been debated since. The law aims to provide state funding to the ten existing shelters in Honduras and ensure that they do not rely solely on international funding and cooperation. </w:t>
      </w:r>
      <w:r>
        <w:rPr>
          <w:rFonts w:ascii="Calibri" w:eastAsia="Calibri" w:hAnsi="Calibri" w:cs="Calibri"/>
          <w:sz w:val="24"/>
          <w:szCs w:val="24"/>
        </w:rPr>
        <w:lastRenderedPageBreak/>
        <w:t>On August 12</w:t>
      </w:r>
      <w:r>
        <w:rPr>
          <w:rFonts w:ascii="Calibri" w:eastAsia="Calibri" w:hAnsi="Calibri" w:cs="Calibri"/>
          <w:sz w:val="24"/>
          <w:szCs w:val="24"/>
          <w:vertAlign w:val="superscript"/>
        </w:rPr>
        <w:t>th</w:t>
      </w:r>
      <w:r>
        <w:rPr>
          <w:rFonts w:ascii="Calibri" w:eastAsia="Calibri" w:hAnsi="Calibri" w:cs="Calibri"/>
          <w:sz w:val="24"/>
          <w:szCs w:val="24"/>
        </w:rPr>
        <w:t xml:space="preserve">, 2022, two meetings were held in which the draft proposal was shared with the Minister of the Secretariat for Women's Affairs (SEMUJER), the Vice-President of the National Congress, and other relevant political actors to advance its approval and/or inclusion in other laws being passed. The meeting was also attended by various civil society organisations, such as the Casa Hogar Foundation and the Network </w:t>
      </w:r>
      <w:proofErr w:type="gramStart"/>
      <w:r>
        <w:rPr>
          <w:rFonts w:ascii="Calibri" w:eastAsia="Calibri" w:hAnsi="Calibri" w:cs="Calibri"/>
          <w:sz w:val="24"/>
          <w:szCs w:val="24"/>
        </w:rPr>
        <w:t>Against</w:t>
      </w:r>
      <w:proofErr w:type="gramEnd"/>
      <w:r>
        <w:rPr>
          <w:rFonts w:ascii="Calibri" w:eastAsia="Calibri" w:hAnsi="Calibri" w:cs="Calibri"/>
          <w:sz w:val="24"/>
          <w:szCs w:val="24"/>
        </w:rPr>
        <w:t xml:space="preserve"> Gender Violence of Santa Rosa de Copán.</w:t>
      </w:r>
      <w:r>
        <w:rPr>
          <w:vertAlign w:val="superscript"/>
        </w:rPr>
        <w:footnoteReference w:id="57"/>
      </w:r>
      <w:r>
        <w:rPr>
          <w:rFonts w:ascii="Calibri" w:eastAsia="Calibri" w:hAnsi="Calibri" w:cs="Calibri"/>
          <w:sz w:val="24"/>
          <w:szCs w:val="24"/>
        </w:rPr>
        <w:t xml:space="preserve"> However, no further progress on this law has occurred. Passing the Safe Houses or similar law is an integral step to providing and safeguarding adequate resources for those seeking refuge from violent environments and offers a vital step towards severing the pipeline from occurrences of domestic violence to femicide. </w:t>
      </w:r>
    </w:p>
    <w:p w14:paraId="2C38E399" w14:textId="77777777" w:rsidR="00F17B03" w:rsidRDefault="00F17B03" w:rsidP="00347268">
      <w:pPr>
        <w:spacing w:after="120" w:line="300" w:lineRule="auto"/>
        <w:jc w:val="both"/>
        <w:rPr>
          <w:rFonts w:ascii="Calibri" w:eastAsia="Calibri" w:hAnsi="Calibri" w:cs="Calibri"/>
          <w:color w:val="0E101A"/>
          <w:sz w:val="24"/>
          <w:szCs w:val="24"/>
        </w:rPr>
      </w:pPr>
      <w:r>
        <w:rPr>
          <w:rFonts w:ascii="Calibri" w:eastAsia="Calibri" w:hAnsi="Calibri" w:cs="Calibri"/>
          <w:sz w:val="24"/>
          <w:szCs w:val="24"/>
        </w:rPr>
        <w:t xml:space="preserve">Ciudad </w:t>
      </w:r>
      <w:proofErr w:type="spellStart"/>
      <w:r>
        <w:rPr>
          <w:rFonts w:ascii="Calibri" w:eastAsia="Calibri" w:hAnsi="Calibri" w:cs="Calibri"/>
          <w:sz w:val="24"/>
          <w:szCs w:val="24"/>
        </w:rPr>
        <w:t>Mujer</w:t>
      </w:r>
      <w:proofErr w:type="spellEnd"/>
      <w:r>
        <w:rPr>
          <w:rFonts w:ascii="Calibri" w:eastAsia="Calibri" w:hAnsi="Calibri" w:cs="Calibri"/>
          <w:sz w:val="24"/>
          <w:szCs w:val="24"/>
        </w:rPr>
        <w:t xml:space="preserve"> (CM), a program created by the Honduran government, aims to provide services to women and girls, such as services aimed at increasing economic independence, violence prevention, decreasing teenage pregnancies, and providing sexual and reproductive health services.</w:t>
      </w:r>
      <w:r>
        <w:rPr>
          <w:vertAlign w:val="superscript"/>
        </w:rPr>
        <w:footnoteReference w:id="58"/>
      </w:r>
      <w:r>
        <w:rPr>
          <w:rFonts w:ascii="Calibri" w:eastAsia="Calibri" w:hAnsi="Calibri" w:cs="Calibri"/>
          <w:sz w:val="24"/>
          <w:szCs w:val="24"/>
        </w:rPr>
        <w:t xml:space="preserve"> In a report by CM, certain program strengths and weaknesses were outlined. Strengths of the program included strong political support and public opinion, a relatively good governance structure, successfully managing to begin the operation of the first two centres, and adapting to local contexts.</w:t>
      </w:r>
      <w:r>
        <w:rPr>
          <w:vertAlign w:val="superscript"/>
        </w:rPr>
        <w:footnoteReference w:id="59"/>
      </w:r>
      <w:r>
        <w:rPr>
          <w:rFonts w:ascii="Calibri" w:eastAsia="Calibri" w:hAnsi="Calibri" w:cs="Calibri"/>
          <w:sz w:val="24"/>
          <w:szCs w:val="24"/>
        </w:rPr>
        <w:t xml:space="preserve"> Weaknesses included issues with administrative structures and management models, as well as operational links and coordination and communication between the National Directorate, </w:t>
      </w:r>
      <w:proofErr w:type="spellStart"/>
      <w:r>
        <w:rPr>
          <w:rFonts w:ascii="Calibri" w:eastAsia="Calibri" w:hAnsi="Calibri" w:cs="Calibri"/>
          <w:sz w:val="24"/>
          <w:szCs w:val="24"/>
        </w:rPr>
        <w:t>Centers</w:t>
      </w:r>
      <w:proofErr w:type="spellEnd"/>
      <w:r>
        <w:rPr>
          <w:rFonts w:ascii="Calibri" w:eastAsia="Calibri" w:hAnsi="Calibri" w:cs="Calibri"/>
          <w:sz w:val="24"/>
          <w:szCs w:val="24"/>
        </w:rPr>
        <w:t>, and Management levels. Other weaknesses involved issues with the complete and timely provision of services, monitoring that provision, and holding onto the support of strategic, political, and technical bodies. Furthermore, questions were raised about a lack of effective long-term training plans for female employees.</w:t>
      </w:r>
      <w:r>
        <w:rPr>
          <w:vertAlign w:val="superscript"/>
        </w:rPr>
        <w:footnoteReference w:id="60"/>
      </w:r>
      <w:r>
        <w:rPr>
          <w:rFonts w:ascii="Calibri" w:eastAsia="Calibri" w:hAnsi="Calibri" w:cs="Calibri"/>
          <w:sz w:val="24"/>
          <w:szCs w:val="24"/>
        </w:rPr>
        <w:t xml:space="preserve"> Further, CM operations need to address these structural and implementational issues to provide adequate services and ensure the program's long-term viability. </w:t>
      </w:r>
    </w:p>
    <w:p w14:paraId="4BF6DB58" w14:textId="77777777" w:rsidR="00950810" w:rsidRDefault="00950810"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FFFFFF"/>
          <w:sz w:val="24"/>
          <w:szCs w:val="24"/>
        </w:rPr>
      </w:pPr>
    </w:p>
    <w:p w14:paraId="68C825DF" w14:textId="77777777" w:rsidR="00B427A6" w:rsidRDefault="00B427A6" w:rsidP="00347268">
      <w:pPr>
        <w:widowControl w:val="0"/>
        <w:pBdr>
          <w:top w:val="nil"/>
          <w:left w:val="nil"/>
          <w:bottom w:val="nil"/>
          <w:right w:val="nil"/>
          <w:between w:val="nil"/>
        </w:pBdr>
        <w:tabs>
          <w:tab w:val="left" w:pos="360"/>
        </w:tabs>
        <w:spacing w:after="120" w:line="300" w:lineRule="auto"/>
        <w:ind w:right="-6"/>
        <w:rPr>
          <w:rFonts w:asciiTheme="majorHAnsi" w:eastAsia="Calibri" w:hAnsiTheme="majorHAnsi" w:cstheme="majorHAnsi"/>
          <w:color w:val="FFFFFF"/>
          <w:sz w:val="24"/>
          <w:szCs w:val="24"/>
        </w:rPr>
      </w:pPr>
    </w:p>
    <w:p w14:paraId="3C0258DE" w14:textId="09965F06" w:rsidR="00C32308" w:rsidRPr="008E55F6" w:rsidRDefault="00C32308"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FFFFFF"/>
          <w:sz w:val="24"/>
          <w:szCs w:val="24"/>
        </w:rPr>
      </w:pPr>
      <w:r w:rsidRPr="008E55F6">
        <w:rPr>
          <w:rFonts w:asciiTheme="majorHAnsi" w:eastAsia="Calibri" w:hAnsiTheme="majorHAnsi" w:cstheme="majorHAnsi"/>
          <w:noProof/>
          <w:color w:val="000000"/>
          <w:sz w:val="24"/>
          <w:szCs w:val="24"/>
          <w:lang w:eastAsia="en-GB"/>
        </w:rPr>
        <w:drawing>
          <wp:inline distT="19050" distB="19050" distL="19050" distR="19050" wp14:anchorId="323E87CD" wp14:editId="40FB0CD2">
            <wp:extent cx="1390650" cy="586143"/>
            <wp:effectExtent l="0" t="0" r="0" b="4445"/>
            <wp:docPr id="1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1393324" cy="587270"/>
                    </a:xfrm>
                    <a:prstGeom prst="rect">
                      <a:avLst/>
                    </a:prstGeom>
                    <a:ln/>
                  </pic:spPr>
                </pic:pic>
              </a:graphicData>
            </a:graphic>
          </wp:inline>
        </w:drawing>
      </w:r>
    </w:p>
    <w:p w14:paraId="519FA80D" w14:textId="6296565D" w:rsidR="00C32308" w:rsidRPr="008E55F6" w:rsidRDefault="00C32308"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666666"/>
          <w:sz w:val="24"/>
          <w:szCs w:val="24"/>
          <w:lang w:val="nl-NL"/>
        </w:rPr>
      </w:pPr>
      <w:r w:rsidRPr="008E55F6">
        <w:rPr>
          <w:rFonts w:asciiTheme="majorHAnsi" w:eastAsia="Calibri" w:hAnsiTheme="majorHAnsi" w:cstheme="majorHAnsi"/>
          <w:color w:val="666666"/>
          <w:sz w:val="24"/>
          <w:szCs w:val="24"/>
          <w:highlight w:val="white"/>
          <w:lang w:val="nl-NL"/>
        </w:rPr>
        <w:t>Kingsfordweg 151, 1043 GR</w:t>
      </w:r>
    </w:p>
    <w:p w14:paraId="74FED682" w14:textId="3C7C1257" w:rsidR="00C32308" w:rsidRPr="008E55F6" w:rsidRDefault="00C32308"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666666"/>
          <w:sz w:val="24"/>
          <w:szCs w:val="24"/>
          <w:lang w:val="nl-NL"/>
        </w:rPr>
      </w:pPr>
      <w:r w:rsidRPr="008E55F6">
        <w:rPr>
          <w:rFonts w:asciiTheme="majorHAnsi" w:eastAsia="Calibri" w:hAnsiTheme="majorHAnsi" w:cstheme="majorHAnsi"/>
          <w:color w:val="666666"/>
          <w:sz w:val="24"/>
          <w:szCs w:val="24"/>
          <w:highlight w:val="white"/>
          <w:lang w:val="nl-NL"/>
        </w:rPr>
        <w:t>Amsterdam, Netherlands</w:t>
      </w:r>
    </w:p>
    <w:p w14:paraId="0B26C1EC" w14:textId="30AE86FB" w:rsidR="00C32308" w:rsidRPr="008E55F6" w:rsidRDefault="00C32308"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0563C1"/>
          <w:sz w:val="24"/>
          <w:szCs w:val="24"/>
          <w:lang w:val="nl-NL"/>
        </w:rPr>
      </w:pPr>
      <w:r w:rsidRPr="008E55F6">
        <w:rPr>
          <w:rFonts w:asciiTheme="majorHAnsi" w:eastAsia="Calibri" w:hAnsiTheme="majorHAnsi" w:cstheme="majorHAnsi"/>
          <w:color w:val="666666"/>
          <w:sz w:val="24"/>
          <w:szCs w:val="24"/>
          <w:highlight w:val="white"/>
          <w:lang w:val="nl-NL"/>
        </w:rPr>
        <w:t>+3168</w:t>
      </w:r>
      <w:r w:rsidR="003449A6">
        <w:rPr>
          <w:rFonts w:asciiTheme="majorHAnsi" w:eastAsia="Calibri" w:hAnsiTheme="majorHAnsi" w:cstheme="majorHAnsi"/>
          <w:color w:val="666666"/>
          <w:sz w:val="24"/>
          <w:szCs w:val="24"/>
          <w:highlight w:val="white"/>
          <w:lang w:val="nl-NL"/>
        </w:rPr>
        <w:t>7406567</w:t>
      </w:r>
      <w:r w:rsidRPr="008E55F6">
        <w:rPr>
          <w:rFonts w:asciiTheme="majorHAnsi" w:eastAsia="Calibri" w:hAnsiTheme="majorHAnsi" w:cstheme="majorHAnsi"/>
          <w:color w:val="666666"/>
          <w:sz w:val="24"/>
          <w:szCs w:val="24"/>
          <w:highlight w:val="white"/>
          <w:lang w:val="nl-NL"/>
        </w:rPr>
        <w:t xml:space="preserve"> | </w:t>
      </w:r>
      <w:r w:rsidRPr="008E55F6">
        <w:rPr>
          <w:rFonts w:asciiTheme="majorHAnsi" w:eastAsia="Calibri" w:hAnsiTheme="majorHAnsi" w:cstheme="majorHAnsi"/>
          <w:color w:val="0563C1"/>
          <w:sz w:val="24"/>
          <w:szCs w:val="24"/>
          <w:highlight w:val="white"/>
          <w:u w:val="single"/>
          <w:lang w:val="nl-NL"/>
        </w:rPr>
        <w:t>info@brokenchalk.org</w:t>
      </w:r>
      <w:r w:rsidRPr="008E55F6">
        <w:rPr>
          <w:rFonts w:asciiTheme="majorHAnsi" w:eastAsia="Calibri" w:hAnsiTheme="majorHAnsi" w:cstheme="majorHAnsi"/>
          <w:color w:val="0563C1"/>
          <w:sz w:val="24"/>
          <w:szCs w:val="24"/>
          <w:highlight w:val="white"/>
          <w:lang w:val="nl-NL"/>
        </w:rPr>
        <w:t xml:space="preserve"> </w:t>
      </w:r>
      <w:r w:rsidRPr="008E55F6">
        <w:rPr>
          <w:rFonts w:asciiTheme="majorHAnsi" w:eastAsia="Calibri" w:hAnsiTheme="majorHAnsi" w:cstheme="majorHAnsi"/>
          <w:color w:val="666666"/>
          <w:sz w:val="24"/>
          <w:szCs w:val="24"/>
          <w:highlight w:val="white"/>
          <w:lang w:val="nl-NL"/>
        </w:rPr>
        <w:t xml:space="preserve">| </w:t>
      </w:r>
      <w:hyperlink r:id="rId9" w:history="1">
        <w:r w:rsidR="00693AE8" w:rsidRPr="008E55F6">
          <w:rPr>
            <w:rStyle w:val="Kpr"/>
            <w:rFonts w:asciiTheme="majorHAnsi" w:eastAsia="Calibri" w:hAnsiTheme="majorHAnsi" w:cstheme="majorHAnsi"/>
            <w:sz w:val="24"/>
            <w:szCs w:val="24"/>
            <w:highlight w:val="white"/>
            <w:lang w:val="nl-NL"/>
          </w:rPr>
          <w:t>www.brokenchalk.org</w:t>
        </w:r>
      </w:hyperlink>
    </w:p>
    <w:p w14:paraId="75000313" w14:textId="72CBE85D" w:rsidR="00DF4F8B" w:rsidRPr="008E55F6" w:rsidRDefault="00DF4F8B" w:rsidP="00347268">
      <w:pPr>
        <w:pBdr>
          <w:top w:val="nil"/>
          <w:left w:val="nil"/>
          <w:bottom w:val="nil"/>
          <w:right w:val="nil"/>
          <w:between w:val="nil"/>
        </w:pBdr>
        <w:tabs>
          <w:tab w:val="left" w:pos="360"/>
        </w:tabs>
        <w:spacing w:after="120" w:line="300" w:lineRule="auto"/>
        <w:jc w:val="center"/>
        <w:rPr>
          <w:rFonts w:asciiTheme="majorHAnsi" w:hAnsiTheme="majorHAnsi" w:cstheme="majorHAnsi"/>
          <w:color w:val="00B0F0"/>
          <w:sz w:val="24"/>
          <w:szCs w:val="24"/>
          <w:lang w:val="nl-NL"/>
        </w:rPr>
      </w:pPr>
      <w:r w:rsidRPr="008E55F6">
        <w:rPr>
          <w:rFonts w:asciiTheme="majorHAnsi" w:hAnsiTheme="majorHAnsi" w:cstheme="majorHAnsi"/>
          <w:noProof/>
          <w:color w:val="000000"/>
          <w:sz w:val="24"/>
          <w:szCs w:val="24"/>
          <w:lang w:eastAsia="en-GB"/>
        </w:rPr>
        <w:drawing>
          <wp:inline distT="0" distB="0" distL="0" distR="0" wp14:anchorId="19DAFED7" wp14:editId="016F4D02">
            <wp:extent cx="136525" cy="136525"/>
            <wp:effectExtent l="0" t="0" r="0" b="0"/>
            <wp:docPr id="1" name="image4.png" descr="20-social-media-icons[1].png"/>
            <wp:cNvGraphicFramePr/>
            <a:graphic xmlns:a="http://schemas.openxmlformats.org/drawingml/2006/main">
              <a:graphicData uri="http://schemas.openxmlformats.org/drawingml/2006/picture">
                <pic:pic xmlns:pic="http://schemas.openxmlformats.org/drawingml/2006/picture">
                  <pic:nvPicPr>
                    <pic:cNvPr id="0" name="image4.png" descr="20-social-media-icons[1].png"/>
                    <pic:cNvPicPr preferRelativeResize="0"/>
                  </pic:nvPicPr>
                  <pic:blipFill>
                    <a:blip r:embed="rId10"/>
                    <a:srcRect l="5202" t="7344" r="73749" b="53789"/>
                    <a:stretch>
                      <a:fillRect/>
                    </a:stretch>
                  </pic:blipFill>
                  <pic:spPr>
                    <a:xfrm>
                      <a:off x="0" y="0"/>
                      <a:ext cx="136525" cy="136525"/>
                    </a:xfrm>
                    <a:prstGeom prst="rect">
                      <a:avLst/>
                    </a:prstGeom>
                    <a:ln/>
                  </pic:spPr>
                </pic:pic>
              </a:graphicData>
            </a:graphic>
          </wp:inline>
        </w:drawing>
      </w:r>
      <w:r w:rsidRPr="008E55F6">
        <w:rPr>
          <w:rFonts w:asciiTheme="majorHAnsi" w:hAnsiTheme="majorHAnsi" w:cstheme="majorHAnsi"/>
          <w:color w:val="00B0F0"/>
          <w:sz w:val="24"/>
          <w:szCs w:val="24"/>
          <w:lang w:val="nl-NL"/>
        </w:rPr>
        <w:t>https://twitter.com/brokenchalk</w:t>
      </w:r>
    </w:p>
    <w:p w14:paraId="1C82DB94" w14:textId="77777777" w:rsidR="00DF4F8B" w:rsidRPr="008E55F6" w:rsidRDefault="00DF4F8B" w:rsidP="00347268">
      <w:pPr>
        <w:pBdr>
          <w:top w:val="nil"/>
          <w:left w:val="nil"/>
          <w:bottom w:val="nil"/>
          <w:right w:val="nil"/>
          <w:between w:val="nil"/>
        </w:pBdr>
        <w:tabs>
          <w:tab w:val="left" w:pos="360"/>
        </w:tabs>
        <w:spacing w:after="120" w:line="300" w:lineRule="auto"/>
        <w:jc w:val="center"/>
        <w:rPr>
          <w:rFonts w:asciiTheme="majorHAnsi" w:hAnsiTheme="majorHAnsi" w:cstheme="majorHAnsi"/>
          <w:color w:val="000000"/>
          <w:sz w:val="24"/>
          <w:szCs w:val="24"/>
          <w:lang w:val="nl-NL"/>
        </w:rPr>
      </w:pPr>
      <w:r w:rsidRPr="008E55F6">
        <w:rPr>
          <w:rFonts w:asciiTheme="majorHAnsi" w:hAnsiTheme="majorHAnsi" w:cstheme="majorHAnsi"/>
          <w:noProof/>
          <w:color w:val="000000"/>
          <w:sz w:val="24"/>
          <w:szCs w:val="24"/>
          <w:lang w:eastAsia="en-GB"/>
        </w:rPr>
        <w:drawing>
          <wp:inline distT="0" distB="0" distL="0" distR="0" wp14:anchorId="25EA0378" wp14:editId="1D93DFD9">
            <wp:extent cx="136525" cy="136525"/>
            <wp:effectExtent l="0" t="0" r="0" b="0"/>
            <wp:docPr id="19" name="image6.png" descr="Resim 28"/>
            <wp:cNvGraphicFramePr/>
            <a:graphic xmlns:a="http://schemas.openxmlformats.org/drawingml/2006/main">
              <a:graphicData uri="http://schemas.openxmlformats.org/drawingml/2006/picture">
                <pic:pic xmlns:pic="http://schemas.openxmlformats.org/drawingml/2006/picture">
                  <pic:nvPicPr>
                    <pic:cNvPr id="0" name="image6.png" descr="Resim 28"/>
                    <pic:cNvPicPr preferRelativeResize="0"/>
                  </pic:nvPicPr>
                  <pic:blipFill>
                    <a:blip r:embed="rId11"/>
                    <a:srcRect l="28232" t="7344" r="50282" b="53789"/>
                    <a:stretch>
                      <a:fillRect/>
                    </a:stretch>
                  </pic:blipFill>
                  <pic:spPr>
                    <a:xfrm>
                      <a:off x="0" y="0"/>
                      <a:ext cx="136525" cy="136525"/>
                    </a:xfrm>
                    <a:prstGeom prst="rect">
                      <a:avLst/>
                    </a:prstGeom>
                    <a:ln/>
                  </pic:spPr>
                </pic:pic>
              </a:graphicData>
            </a:graphic>
          </wp:inline>
        </w:drawing>
      </w:r>
      <w:r w:rsidRPr="008E55F6">
        <w:rPr>
          <w:rFonts w:asciiTheme="majorHAnsi" w:hAnsiTheme="majorHAnsi" w:cstheme="majorHAnsi"/>
          <w:color w:val="C00000"/>
          <w:sz w:val="24"/>
          <w:szCs w:val="24"/>
          <w:lang w:val="nl-NL"/>
        </w:rPr>
        <w:t>https://www.youtube.com/brokenchalk</w:t>
      </w:r>
    </w:p>
    <w:p w14:paraId="632E70FD" w14:textId="77777777" w:rsidR="00DF4F8B" w:rsidRPr="008E55F6" w:rsidRDefault="00DF4F8B" w:rsidP="00347268">
      <w:pPr>
        <w:pBdr>
          <w:top w:val="nil"/>
          <w:left w:val="nil"/>
          <w:bottom w:val="nil"/>
          <w:right w:val="nil"/>
          <w:between w:val="nil"/>
        </w:pBdr>
        <w:tabs>
          <w:tab w:val="left" w:pos="360"/>
        </w:tabs>
        <w:spacing w:after="120" w:line="300" w:lineRule="auto"/>
        <w:jc w:val="center"/>
        <w:rPr>
          <w:rFonts w:asciiTheme="majorHAnsi" w:hAnsiTheme="majorHAnsi" w:cstheme="majorHAnsi"/>
          <w:color w:val="002060"/>
          <w:sz w:val="24"/>
          <w:szCs w:val="24"/>
          <w:lang w:val="nl-NL"/>
        </w:rPr>
      </w:pPr>
      <w:r w:rsidRPr="008E55F6">
        <w:rPr>
          <w:rFonts w:asciiTheme="majorHAnsi" w:hAnsiTheme="majorHAnsi" w:cstheme="majorHAnsi"/>
          <w:noProof/>
          <w:color w:val="000000"/>
          <w:sz w:val="24"/>
          <w:szCs w:val="24"/>
          <w:lang w:eastAsia="en-GB"/>
        </w:rPr>
        <w:drawing>
          <wp:inline distT="0" distB="0" distL="0" distR="0" wp14:anchorId="4CFF5139" wp14:editId="79DBE18A">
            <wp:extent cx="128270" cy="136525"/>
            <wp:effectExtent l="0" t="0" r="0" b="0"/>
            <wp:docPr id="18" name="image3.png" descr="20-social-media-icons[1].png"/>
            <wp:cNvGraphicFramePr/>
            <a:graphic xmlns:a="http://schemas.openxmlformats.org/drawingml/2006/main">
              <a:graphicData uri="http://schemas.openxmlformats.org/drawingml/2006/picture">
                <pic:pic xmlns:pic="http://schemas.openxmlformats.org/drawingml/2006/picture">
                  <pic:nvPicPr>
                    <pic:cNvPr id="0" name="image3.png" descr="20-social-media-icons[1].png"/>
                    <pic:cNvPicPr preferRelativeResize="0"/>
                  </pic:nvPicPr>
                  <pic:blipFill>
                    <a:blip r:embed="rId12"/>
                    <a:srcRect l="74284" t="7344" r="4848" b="53789"/>
                    <a:stretch>
                      <a:fillRect/>
                    </a:stretch>
                  </pic:blipFill>
                  <pic:spPr>
                    <a:xfrm>
                      <a:off x="0" y="0"/>
                      <a:ext cx="128270" cy="136525"/>
                    </a:xfrm>
                    <a:prstGeom prst="rect">
                      <a:avLst/>
                    </a:prstGeom>
                    <a:ln/>
                  </pic:spPr>
                </pic:pic>
              </a:graphicData>
            </a:graphic>
          </wp:inline>
        </w:drawing>
      </w:r>
      <w:r w:rsidRPr="008E55F6">
        <w:rPr>
          <w:rFonts w:asciiTheme="majorHAnsi" w:hAnsiTheme="majorHAnsi" w:cstheme="majorHAnsi"/>
          <w:color w:val="0070C0"/>
          <w:sz w:val="24"/>
          <w:szCs w:val="24"/>
          <w:lang w:val="nl-NL"/>
        </w:rPr>
        <w:t>https://www.linkedin.com/company/brokenchalk</w:t>
      </w:r>
    </w:p>
    <w:p w14:paraId="07B18AE8" w14:textId="139E2AF4" w:rsidR="00DF4F8B" w:rsidRPr="008E55F6" w:rsidRDefault="00DF4F8B" w:rsidP="00347268">
      <w:pPr>
        <w:pBdr>
          <w:top w:val="nil"/>
          <w:left w:val="nil"/>
          <w:bottom w:val="nil"/>
          <w:right w:val="nil"/>
          <w:between w:val="nil"/>
        </w:pBdr>
        <w:tabs>
          <w:tab w:val="left" w:pos="360"/>
        </w:tabs>
        <w:spacing w:after="120" w:line="300" w:lineRule="auto"/>
        <w:jc w:val="center"/>
        <w:rPr>
          <w:rFonts w:asciiTheme="majorHAnsi" w:hAnsiTheme="majorHAnsi" w:cstheme="majorHAnsi"/>
          <w:color w:val="002060"/>
          <w:sz w:val="24"/>
          <w:szCs w:val="24"/>
          <w:lang w:val="nl-NL"/>
        </w:rPr>
      </w:pPr>
      <w:r w:rsidRPr="008E55F6">
        <w:rPr>
          <w:rFonts w:asciiTheme="majorHAnsi" w:hAnsiTheme="majorHAnsi" w:cstheme="majorHAnsi"/>
          <w:noProof/>
          <w:sz w:val="24"/>
          <w:szCs w:val="24"/>
          <w:lang w:eastAsia="en-GB"/>
        </w:rPr>
        <w:drawing>
          <wp:inline distT="0" distB="0" distL="0" distR="0" wp14:anchorId="03686DF6" wp14:editId="584F2F89">
            <wp:extent cx="139065" cy="139065"/>
            <wp:effectExtent l="0" t="0" r="0" b="0"/>
            <wp:docPr id="3" name="Resim 3" descr="20-social-media-icon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descr="20-social-media-icons[1].png"/>
                    <pic:cNvPicPr>
                      <a:picLocks noChangeAspect="1" noChangeArrowheads="1"/>
                    </pic:cNvPicPr>
                  </pic:nvPicPr>
                  <pic:blipFill>
                    <a:blip r:embed="rId13">
                      <a:extLst>
                        <a:ext uri="{28A0092B-C50C-407E-A947-70E740481C1C}">
                          <a14:useLocalDpi xmlns:a14="http://schemas.microsoft.com/office/drawing/2010/main" val="0"/>
                        </a:ext>
                      </a:extLst>
                    </a:blip>
                    <a:srcRect l="51616" t="7344" r="27100" b="53789"/>
                    <a:stretch>
                      <a:fillRect/>
                    </a:stretch>
                  </pic:blipFill>
                  <pic:spPr bwMode="auto">
                    <a:xfrm>
                      <a:off x="0" y="0"/>
                      <a:ext cx="139065" cy="139065"/>
                    </a:xfrm>
                    <a:prstGeom prst="rect">
                      <a:avLst/>
                    </a:prstGeom>
                    <a:noFill/>
                    <a:ln>
                      <a:noFill/>
                    </a:ln>
                  </pic:spPr>
                </pic:pic>
              </a:graphicData>
            </a:graphic>
          </wp:inline>
        </w:drawing>
      </w:r>
      <w:hyperlink r:id="rId14" w:history="1">
        <w:r w:rsidRPr="008E55F6">
          <w:rPr>
            <w:rStyle w:val="Kpr"/>
            <w:rFonts w:asciiTheme="majorHAnsi" w:hAnsiTheme="majorHAnsi" w:cstheme="majorHAnsi"/>
            <w:sz w:val="24"/>
            <w:szCs w:val="24"/>
            <w:lang w:val="nl-NL"/>
          </w:rPr>
          <w:t>https://www.facebook.com/BrokenChalk/</w:t>
        </w:r>
      </w:hyperlink>
    </w:p>
    <w:p w14:paraId="412A9676" w14:textId="4CF17D98" w:rsidR="00DF4F8B" w:rsidRPr="008E55F6" w:rsidRDefault="00DF4F8B" w:rsidP="00347268">
      <w:pPr>
        <w:pBdr>
          <w:top w:val="nil"/>
          <w:left w:val="nil"/>
          <w:bottom w:val="nil"/>
          <w:right w:val="nil"/>
          <w:between w:val="nil"/>
        </w:pBdr>
        <w:tabs>
          <w:tab w:val="left" w:pos="360"/>
        </w:tabs>
        <w:spacing w:after="120" w:line="300" w:lineRule="auto"/>
        <w:jc w:val="center"/>
        <w:rPr>
          <w:rFonts w:asciiTheme="majorHAnsi" w:hAnsiTheme="majorHAnsi" w:cstheme="majorHAnsi"/>
          <w:sz w:val="24"/>
          <w:szCs w:val="24"/>
          <w:lang w:val="nl-NL"/>
        </w:rPr>
      </w:pPr>
      <w:r w:rsidRPr="008E55F6">
        <w:rPr>
          <w:rFonts w:asciiTheme="majorHAnsi" w:hAnsiTheme="majorHAnsi" w:cstheme="majorHAnsi"/>
          <w:noProof/>
          <w:sz w:val="24"/>
          <w:szCs w:val="24"/>
          <w:lang w:eastAsia="en-GB"/>
        </w:rPr>
        <w:drawing>
          <wp:inline distT="0" distB="0" distL="0" distR="0" wp14:anchorId="70DF8B4F" wp14:editId="4AF04F28">
            <wp:extent cx="137160" cy="137160"/>
            <wp:effectExtent l="0" t="0" r="0" b="0"/>
            <wp:docPr id="2" name="Resim 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efin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E55F6">
        <w:rPr>
          <w:rFonts w:asciiTheme="majorHAnsi" w:hAnsiTheme="majorHAnsi" w:cstheme="majorHAnsi"/>
          <w:sz w:val="24"/>
          <w:szCs w:val="24"/>
          <w:lang w:val="nl-NL"/>
        </w:rPr>
        <w:t>https://www.instagram.com/brokenchalk_/</w:t>
      </w:r>
      <w:r w:rsidR="00B82D76">
        <w:rPr>
          <w:rFonts w:asciiTheme="majorHAnsi" w:hAnsiTheme="majorHAnsi" w:cstheme="majorHAnsi"/>
          <w:sz w:val="24"/>
          <w:szCs w:val="24"/>
          <w:lang w:val="nl-NL"/>
        </w:rPr>
        <w:t xml:space="preserve"> </w:t>
      </w:r>
    </w:p>
    <w:sectPr w:rsidR="00DF4F8B" w:rsidRPr="008E55F6" w:rsidSect="00AC4B03">
      <w:headerReference w:type="default" r:id="rId16"/>
      <w:footerReference w:type="default" r:id="rId17"/>
      <w:headerReference w:type="first" r:id="rId18"/>
      <w:pgSz w:w="11906" w:h="16838" w:code="9"/>
      <w:pgMar w:top="1411" w:right="1411" w:bottom="634" w:left="141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1D0CD" w14:textId="77777777" w:rsidR="003E45F4" w:rsidRDefault="003E45F4">
      <w:pPr>
        <w:spacing w:after="0" w:line="240" w:lineRule="auto"/>
      </w:pPr>
      <w:r>
        <w:separator/>
      </w:r>
    </w:p>
  </w:endnote>
  <w:endnote w:type="continuationSeparator" w:id="0">
    <w:p w14:paraId="5BCAECCD" w14:textId="77777777" w:rsidR="003E45F4" w:rsidRDefault="003E4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Devanagari">
    <w:panose1 w:val="02040503050201020203"/>
    <w:charset w:val="00"/>
    <w:family w:val="roman"/>
    <w:notTrueType/>
    <w:pitch w:val="variable"/>
    <w:sig w:usb0="A00080E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59" w:type="pct"/>
      <w:jc w:val="right"/>
      <w:tblCellMar>
        <w:top w:w="115" w:type="dxa"/>
        <w:left w:w="115" w:type="dxa"/>
        <w:bottom w:w="115" w:type="dxa"/>
        <w:right w:w="115" w:type="dxa"/>
      </w:tblCellMar>
      <w:tblLook w:val="04A0" w:firstRow="1" w:lastRow="0" w:firstColumn="1" w:lastColumn="0" w:noHBand="0" w:noVBand="1"/>
    </w:tblPr>
    <w:tblGrid>
      <w:gridCol w:w="8732"/>
      <w:gridCol w:w="459"/>
    </w:tblGrid>
    <w:tr w:rsidR="002F2C5D" w14:paraId="339333CC" w14:textId="77777777" w:rsidTr="007B2826">
      <w:trPr>
        <w:trHeight w:val="248"/>
        <w:jc w:val="right"/>
      </w:trPr>
      <w:tc>
        <w:tcPr>
          <w:tcW w:w="8732" w:type="dxa"/>
          <w:vAlign w:val="center"/>
        </w:tcPr>
        <w:p w14:paraId="6576E9E1" w14:textId="77777777" w:rsidR="002F2C5D" w:rsidRDefault="002F2C5D" w:rsidP="001200C3">
          <w:pPr>
            <w:pStyle w:val="stBilgi"/>
            <w:jc w:val="right"/>
            <w:rPr>
              <w:caps/>
              <w:color w:val="000000" w:themeColor="text1"/>
            </w:rPr>
          </w:pPr>
          <w:r>
            <w:rPr>
              <w:caps/>
              <w:color w:val="000000" w:themeColor="text1"/>
            </w:rPr>
            <w:t>broken Chalk</w:t>
          </w:r>
        </w:p>
      </w:tc>
      <w:tc>
        <w:tcPr>
          <w:tcW w:w="459" w:type="dxa"/>
          <w:shd w:val="clear" w:color="auto" w:fill="00C8B0"/>
          <w:vAlign w:val="center"/>
        </w:tcPr>
        <w:p w14:paraId="1DF74EB5" w14:textId="311DE416" w:rsidR="002F2C5D" w:rsidRDefault="002F2C5D">
          <w:pPr>
            <w:pStyle w:val="AltBilgi"/>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290BC9" w:rsidRPr="00290BC9">
            <w:rPr>
              <w:noProof/>
              <w:color w:val="FFFFFF" w:themeColor="background1"/>
              <w:lang w:val="tr-TR"/>
            </w:rPr>
            <w:t>6</w:t>
          </w:r>
          <w:r>
            <w:rPr>
              <w:color w:val="FFFFFF" w:themeColor="background1"/>
            </w:rPr>
            <w:fldChar w:fldCharType="end"/>
          </w:r>
        </w:p>
      </w:tc>
    </w:tr>
  </w:tbl>
  <w:p w14:paraId="3136DBDF" w14:textId="77777777" w:rsidR="002F2C5D" w:rsidRDefault="002F2C5D" w:rsidP="00663A6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653BB" w14:textId="77777777" w:rsidR="003E45F4" w:rsidRDefault="003E45F4" w:rsidP="001200C3">
      <w:pPr>
        <w:spacing w:after="0" w:line="240" w:lineRule="auto"/>
      </w:pPr>
      <w:r>
        <w:separator/>
      </w:r>
    </w:p>
  </w:footnote>
  <w:footnote w:type="continuationSeparator" w:id="0">
    <w:p w14:paraId="78691672" w14:textId="77777777" w:rsidR="003E45F4" w:rsidRDefault="003E45F4" w:rsidP="001200C3">
      <w:pPr>
        <w:spacing w:after="0" w:line="240" w:lineRule="auto"/>
      </w:pPr>
      <w:r>
        <w:continuationSeparator/>
      </w:r>
    </w:p>
  </w:footnote>
  <w:footnote w:id="1">
    <w:p w14:paraId="1D80283F" w14:textId="450EEC27"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Susan Stone, “El Maestro </w:t>
      </w:r>
      <w:proofErr w:type="spellStart"/>
      <w:r w:rsidRPr="007010B4">
        <w:rPr>
          <w:sz w:val="20"/>
          <w:szCs w:val="20"/>
        </w:rPr>
        <w:t>En</w:t>
      </w:r>
      <w:proofErr w:type="spellEnd"/>
      <w:r w:rsidRPr="007010B4">
        <w:rPr>
          <w:sz w:val="20"/>
          <w:szCs w:val="20"/>
        </w:rPr>
        <w:t xml:space="preserve"> Casa,” El Maestro </w:t>
      </w:r>
      <w:proofErr w:type="spellStart"/>
      <w:r w:rsidRPr="007010B4">
        <w:rPr>
          <w:sz w:val="20"/>
          <w:szCs w:val="20"/>
        </w:rPr>
        <w:t>en</w:t>
      </w:r>
      <w:proofErr w:type="spellEnd"/>
      <w:r w:rsidRPr="007010B4">
        <w:rPr>
          <w:sz w:val="20"/>
          <w:szCs w:val="20"/>
        </w:rPr>
        <w:t xml:space="preserve"> Casa, accessed January 20, 2024, </w:t>
      </w:r>
      <w:hyperlink r:id="rId1" w:history="1">
        <w:r w:rsidR="007010B4" w:rsidRPr="00D673E1">
          <w:rPr>
            <w:rStyle w:val="Kpr"/>
            <w:sz w:val="20"/>
            <w:szCs w:val="20"/>
          </w:rPr>
          <w:t>https://lencaedu.wordpress.com/</w:t>
        </w:r>
      </w:hyperlink>
      <w:r w:rsidR="007010B4">
        <w:rPr>
          <w:sz w:val="20"/>
          <w:szCs w:val="20"/>
        </w:rPr>
        <w:t xml:space="preserve"> </w:t>
      </w:r>
    </w:p>
  </w:footnote>
  <w:footnote w:id="2">
    <w:p w14:paraId="5894AD2F" w14:textId="62D31BF5"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Wanda Bedard, “2009 – Honduras,” 60 million girls, accessed January 20, 2024, </w:t>
      </w:r>
      <w:hyperlink r:id="rId2" w:history="1">
        <w:r w:rsidR="007010B4" w:rsidRPr="00D673E1">
          <w:rPr>
            <w:rStyle w:val="Kpr"/>
            <w:sz w:val="20"/>
            <w:szCs w:val="20"/>
          </w:rPr>
          <w:t>https://60millionsdefilles.org/en/our-projects/2009-honduras/</w:t>
        </w:r>
      </w:hyperlink>
      <w:r w:rsidR="007010B4">
        <w:rPr>
          <w:sz w:val="20"/>
          <w:szCs w:val="20"/>
        </w:rPr>
        <w:t xml:space="preserve"> </w:t>
      </w:r>
    </w:p>
  </w:footnote>
  <w:footnote w:id="3">
    <w:p w14:paraId="5AC4DC08" w14:textId="17266D45"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Susan Stone, “El Maestro </w:t>
      </w:r>
      <w:proofErr w:type="spellStart"/>
      <w:r w:rsidRPr="007010B4">
        <w:rPr>
          <w:sz w:val="20"/>
          <w:szCs w:val="20"/>
        </w:rPr>
        <w:t>En</w:t>
      </w:r>
      <w:proofErr w:type="spellEnd"/>
      <w:r w:rsidRPr="007010B4">
        <w:rPr>
          <w:sz w:val="20"/>
          <w:szCs w:val="20"/>
        </w:rPr>
        <w:t xml:space="preserve"> Casa,” El Maestro </w:t>
      </w:r>
      <w:proofErr w:type="spellStart"/>
      <w:r w:rsidRPr="007010B4">
        <w:rPr>
          <w:sz w:val="20"/>
          <w:szCs w:val="20"/>
        </w:rPr>
        <w:t>en</w:t>
      </w:r>
      <w:proofErr w:type="spellEnd"/>
      <w:r w:rsidRPr="007010B4">
        <w:rPr>
          <w:sz w:val="20"/>
          <w:szCs w:val="20"/>
        </w:rPr>
        <w:t xml:space="preserve"> Casa, accessed January 20, 2024, </w:t>
      </w:r>
      <w:hyperlink r:id="rId3" w:history="1">
        <w:r w:rsidR="007010B4" w:rsidRPr="00D673E1">
          <w:rPr>
            <w:rStyle w:val="Kpr"/>
            <w:sz w:val="20"/>
            <w:szCs w:val="20"/>
          </w:rPr>
          <w:t>https://lencaedu.wordpress.com/</w:t>
        </w:r>
      </w:hyperlink>
      <w:r w:rsidR="007010B4">
        <w:rPr>
          <w:sz w:val="20"/>
          <w:szCs w:val="20"/>
        </w:rPr>
        <w:t xml:space="preserve"> </w:t>
      </w:r>
    </w:p>
  </w:footnote>
  <w:footnote w:id="4">
    <w:p w14:paraId="4D3A17B1" w14:textId="25968247"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Wanda Bedard, “2009 – Honduras,” 60 million girls, accessed January 20, 2024, </w:t>
      </w:r>
      <w:hyperlink r:id="rId4" w:history="1">
        <w:r w:rsidR="007010B4" w:rsidRPr="00D673E1">
          <w:rPr>
            <w:rStyle w:val="Kpr"/>
            <w:sz w:val="20"/>
            <w:szCs w:val="20"/>
          </w:rPr>
          <w:t>https://60millionsdefilles.org/en/our-projects/2009-honduras/</w:t>
        </w:r>
      </w:hyperlink>
      <w:r w:rsidR="007010B4">
        <w:rPr>
          <w:sz w:val="20"/>
          <w:szCs w:val="20"/>
        </w:rPr>
        <w:t xml:space="preserve"> </w:t>
      </w:r>
    </w:p>
  </w:footnote>
  <w:footnote w:id="5">
    <w:p w14:paraId="48ABB3A6" w14:textId="385A8BF2"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Wanda Bedard, “2009 – Honduras,” 60 million girls, accessed January 20, 2024, </w:t>
      </w:r>
      <w:hyperlink r:id="rId5" w:history="1">
        <w:r w:rsidR="007010B4" w:rsidRPr="00D673E1">
          <w:rPr>
            <w:rStyle w:val="Kpr"/>
            <w:sz w:val="20"/>
            <w:szCs w:val="20"/>
          </w:rPr>
          <w:t>https://60millionsdefilles.org/en/our-projects/2009-honduras/</w:t>
        </w:r>
      </w:hyperlink>
      <w:r w:rsidR="007010B4">
        <w:rPr>
          <w:sz w:val="20"/>
          <w:szCs w:val="20"/>
        </w:rPr>
        <w:t xml:space="preserve"> </w:t>
      </w:r>
    </w:p>
  </w:footnote>
  <w:footnote w:id="6">
    <w:p w14:paraId="7E17B2AE" w14:textId="29DC9B7F"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Rodrigo Barraza Garcia, “Promoting Healthy Masculinities Is Key to Gender Equality. But How Do We Achieve This?,” Global Fund for Children, March 5, 2021, </w:t>
      </w:r>
      <w:hyperlink r:id="rId6" w:history="1">
        <w:r w:rsidR="007010B4" w:rsidRPr="00D673E1">
          <w:rPr>
            <w:rStyle w:val="Kpr"/>
            <w:sz w:val="20"/>
            <w:szCs w:val="20"/>
          </w:rPr>
          <w:t>https://globalfundforchildren.org/story/promoting-healthy-masculinities-is-key-to-gender-equality-but-how-do-we-achieve-this/</w:t>
        </w:r>
      </w:hyperlink>
      <w:r w:rsidR="007010B4">
        <w:rPr>
          <w:sz w:val="20"/>
          <w:szCs w:val="20"/>
        </w:rPr>
        <w:t xml:space="preserve"> </w:t>
      </w:r>
    </w:p>
  </w:footnote>
  <w:footnote w:id="7">
    <w:p w14:paraId="6E2EB312" w14:textId="7EF38D36"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“The Importance of Education For Girls in Honduras - Our Little Roses,” June 22, 2023, </w:t>
      </w:r>
      <w:hyperlink r:id="rId7" w:history="1">
        <w:r w:rsidR="007010B4" w:rsidRPr="00D673E1">
          <w:rPr>
            <w:rStyle w:val="Kpr"/>
            <w:sz w:val="20"/>
            <w:szCs w:val="20"/>
          </w:rPr>
          <w:t>https://www.ourlittleroses.org/blog/education-for-girls-in-honduras/</w:t>
        </w:r>
      </w:hyperlink>
      <w:r w:rsidR="007010B4">
        <w:rPr>
          <w:sz w:val="20"/>
          <w:szCs w:val="20"/>
        </w:rPr>
        <w:t xml:space="preserve"> </w:t>
      </w:r>
    </w:p>
  </w:footnote>
  <w:footnote w:id="8">
    <w:p w14:paraId="1098AF1B" w14:textId="7E37B5AC" w:rsidR="00F17B03" w:rsidRPr="007010B4" w:rsidRDefault="00F17B03" w:rsidP="00347268">
      <w:pPr>
        <w:spacing w:line="240" w:lineRule="auto"/>
        <w:rPr>
          <w:sz w:val="20"/>
          <w:szCs w:val="20"/>
          <w:vertAlign w:val="superscript"/>
        </w:rPr>
      </w:pPr>
      <w:r w:rsidRPr="007010B4">
        <w:rPr>
          <w:sz w:val="20"/>
          <w:szCs w:val="20"/>
          <w:vertAlign w:val="superscript"/>
        </w:rPr>
        <w:footnoteRef/>
      </w:r>
      <w:r w:rsidRPr="007010B4">
        <w:rPr>
          <w:sz w:val="20"/>
          <w:szCs w:val="20"/>
          <w:vertAlign w:val="superscript"/>
        </w:rPr>
        <w:t xml:space="preserve"> </w:t>
      </w:r>
      <w:r w:rsidRPr="007010B4">
        <w:rPr>
          <w:sz w:val="20"/>
          <w:szCs w:val="20"/>
        </w:rPr>
        <w:t xml:space="preserve">Rodrigo Barraza Garcia, “Promoting Healthy Masculinities Is Key to Gender Equality. But How Do We Achieve This?,” Global Fund for Children, March 5, 2021, </w:t>
      </w:r>
      <w:hyperlink r:id="rId8" w:history="1">
        <w:r w:rsidR="007010B4" w:rsidRPr="00D673E1">
          <w:rPr>
            <w:rStyle w:val="Kpr"/>
            <w:sz w:val="20"/>
            <w:szCs w:val="20"/>
          </w:rPr>
          <w:t>https://globalfundforchildren.org/story/promoting-healthy-masculinities-is-key-to-gender-equality-but-how-do-we-achieve-this/</w:t>
        </w:r>
      </w:hyperlink>
      <w:r w:rsidR="007010B4">
        <w:rPr>
          <w:sz w:val="20"/>
          <w:szCs w:val="20"/>
        </w:rPr>
        <w:t xml:space="preserve"> </w:t>
      </w:r>
    </w:p>
  </w:footnote>
  <w:footnote w:id="9">
    <w:p w14:paraId="4C825222" w14:textId="2FFDD372"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Claire </w:t>
      </w:r>
      <w:proofErr w:type="spellStart"/>
      <w:r w:rsidRPr="007010B4">
        <w:rPr>
          <w:sz w:val="20"/>
          <w:szCs w:val="20"/>
        </w:rPr>
        <w:t>Mcgilley</w:t>
      </w:r>
      <w:proofErr w:type="spellEnd"/>
      <w:r w:rsidRPr="007010B4">
        <w:rPr>
          <w:sz w:val="20"/>
          <w:szCs w:val="20"/>
        </w:rPr>
        <w:t xml:space="preserve"> and </w:t>
      </w:r>
      <w:proofErr w:type="spellStart"/>
      <w:r w:rsidRPr="007010B4">
        <w:rPr>
          <w:sz w:val="20"/>
          <w:szCs w:val="20"/>
        </w:rPr>
        <w:t>Lylli</w:t>
      </w:r>
      <w:proofErr w:type="spellEnd"/>
      <w:r w:rsidRPr="007010B4">
        <w:rPr>
          <w:sz w:val="20"/>
          <w:szCs w:val="20"/>
        </w:rPr>
        <w:t xml:space="preserve"> Moya, “Mainstreaming Gender Equity and Inclusion in Honduran Schools · DAI Publications,” September 19, 2023, </w:t>
      </w:r>
      <w:hyperlink r:id="rId9" w:history="1">
        <w:r w:rsidR="007010B4" w:rsidRPr="00D673E1">
          <w:rPr>
            <w:rStyle w:val="Kpr"/>
            <w:sz w:val="20"/>
            <w:szCs w:val="20"/>
          </w:rPr>
          <w:t>https://dai-global-developments.com/articles/mainstreaming-gender-equity-and-inclusion-in-honduran-schools/</w:t>
        </w:r>
      </w:hyperlink>
      <w:r w:rsidR="007010B4">
        <w:rPr>
          <w:sz w:val="20"/>
          <w:szCs w:val="20"/>
        </w:rPr>
        <w:t xml:space="preserve"> </w:t>
      </w:r>
    </w:p>
  </w:footnote>
  <w:footnote w:id="10">
    <w:p w14:paraId="3E95CC73" w14:textId="77777777"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w:t>
      </w:r>
      <w:r w:rsidRPr="007010B4">
        <w:rPr>
          <w:color w:val="222222"/>
          <w:sz w:val="20"/>
          <w:szCs w:val="20"/>
          <w:highlight w:val="white"/>
        </w:rPr>
        <w:t xml:space="preserve">McKenzie, S., &amp; </w:t>
      </w:r>
      <w:proofErr w:type="spellStart"/>
      <w:r w:rsidRPr="007010B4">
        <w:rPr>
          <w:color w:val="222222"/>
          <w:sz w:val="20"/>
          <w:szCs w:val="20"/>
          <w:highlight w:val="white"/>
        </w:rPr>
        <w:t>Menjívar</w:t>
      </w:r>
      <w:proofErr w:type="spellEnd"/>
      <w:r w:rsidRPr="007010B4">
        <w:rPr>
          <w:color w:val="222222"/>
          <w:sz w:val="20"/>
          <w:szCs w:val="20"/>
          <w:highlight w:val="white"/>
        </w:rPr>
        <w:t xml:space="preserve">, C. (2011). The meanings of migration, remittances and gifts: Views of Honduran women who stay. </w:t>
      </w:r>
      <w:r w:rsidRPr="007010B4">
        <w:rPr>
          <w:i/>
          <w:color w:val="222222"/>
          <w:sz w:val="20"/>
          <w:szCs w:val="20"/>
        </w:rPr>
        <w:t>Global networks</w:t>
      </w:r>
      <w:r w:rsidRPr="007010B4">
        <w:rPr>
          <w:color w:val="222222"/>
          <w:sz w:val="20"/>
          <w:szCs w:val="20"/>
          <w:highlight w:val="white"/>
        </w:rPr>
        <w:t xml:space="preserve">, </w:t>
      </w:r>
      <w:r w:rsidRPr="007010B4">
        <w:rPr>
          <w:i/>
          <w:color w:val="222222"/>
          <w:sz w:val="20"/>
          <w:szCs w:val="20"/>
        </w:rPr>
        <w:t>11</w:t>
      </w:r>
      <w:r w:rsidRPr="007010B4">
        <w:rPr>
          <w:color w:val="222222"/>
          <w:sz w:val="20"/>
          <w:szCs w:val="20"/>
          <w:highlight w:val="white"/>
        </w:rPr>
        <w:t>(1), 63-81.Available at:</w:t>
      </w:r>
      <w:hyperlink r:id="rId10">
        <w:r w:rsidRPr="007010B4">
          <w:rPr>
            <w:color w:val="1155CC"/>
            <w:sz w:val="20"/>
            <w:szCs w:val="20"/>
            <w:highlight w:val="white"/>
            <w:u w:val="single"/>
          </w:rPr>
          <w:t>https://onlinelibrary.wiley.com/doi/abs/10.1111/j.1471-0374.2011.00307.x</w:t>
        </w:r>
      </w:hyperlink>
    </w:p>
  </w:footnote>
  <w:footnote w:id="11">
    <w:p w14:paraId="13D13969" w14:textId="77777777"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Ibid.</w:t>
      </w:r>
    </w:p>
  </w:footnote>
  <w:footnote w:id="12">
    <w:p w14:paraId="5C943E9E" w14:textId="77777777"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Ibid.</w:t>
      </w:r>
    </w:p>
  </w:footnote>
  <w:footnote w:id="13">
    <w:p w14:paraId="3E332C8F" w14:textId="77777777"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Ibid.</w:t>
      </w:r>
    </w:p>
  </w:footnote>
  <w:footnote w:id="14">
    <w:p w14:paraId="4C4138C6" w14:textId="77777777"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w:t>
      </w:r>
      <w:r w:rsidRPr="007010B4">
        <w:rPr>
          <w:color w:val="222222"/>
          <w:sz w:val="20"/>
          <w:szCs w:val="20"/>
          <w:highlight w:val="white"/>
        </w:rPr>
        <w:t xml:space="preserve">Heffron, L. C. (2015). </w:t>
      </w:r>
      <w:r w:rsidRPr="007010B4">
        <w:rPr>
          <w:i/>
          <w:color w:val="222222"/>
          <w:sz w:val="20"/>
          <w:szCs w:val="20"/>
        </w:rPr>
        <w:t>“</w:t>
      </w:r>
      <w:proofErr w:type="spellStart"/>
      <w:r w:rsidRPr="007010B4">
        <w:rPr>
          <w:i/>
          <w:color w:val="222222"/>
          <w:sz w:val="20"/>
          <w:szCs w:val="20"/>
        </w:rPr>
        <w:t>Salía</w:t>
      </w:r>
      <w:proofErr w:type="spellEnd"/>
      <w:r w:rsidRPr="007010B4">
        <w:rPr>
          <w:i/>
          <w:color w:val="222222"/>
          <w:sz w:val="20"/>
          <w:szCs w:val="20"/>
        </w:rPr>
        <w:t xml:space="preserve"> de </w:t>
      </w:r>
      <w:proofErr w:type="spellStart"/>
      <w:r w:rsidRPr="007010B4">
        <w:rPr>
          <w:i/>
          <w:color w:val="222222"/>
          <w:sz w:val="20"/>
          <w:szCs w:val="20"/>
        </w:rPr>
        <w:t>uno</w:t>
      </w:r>
      <w:proofErr w:type="spellEnd"/>
      <w:r w:rsidRPr="007010B4">
        <w:rPr>
          <w:i/>
          <w:color w:val="222222"/>
          <w:sz w:val="20"/>
          <w:szCs w:val="20"/>
        </w:rPr>
        <w:t xml:space="preserve"> y me </w:t>
      </w:r>
      <w:proofErr w:type="spellStart"/>
      <w:r w:rsidRPr="007010B4">
        <w:rPr>
          <w:i/>
          <w:color w:val="222222"/>
          <w:sz w:val="20"/>
          <w:szCs w:val="20"/>
        </w:rPr>
        <w:t>metí</w:t>
      </w:r>
      <w:proofErr w:type="spellEnd"/>
      <w:r w:rsidRPr="007010B4">
        <w:rPr>
          <w:i/>
          <w:color w:val="222222"/>
          <w:sz w:val="20"/>
          <w:szCs w:val="20"/>
        </w:rPr>
        <w:t xml:space="preserve"> </w:t>
      </w:r>
      <w:proofErr w:type="spellStart"/>
      <w:r w:rsidRPr="007010B4">
        <w:rPr>
          <w:i/>
          <w:color w:val="222222"/>
          <w:sz w:val="20"/>
          <w:szCs w:val="20"/>
        </w:rPr>
        <w:t>en</w:t>
      </w:r>
      <w:proofErr w:type="spellEnd"/>
      <w:r w:rsidRPr="007010B4">
        <w:rPr>
          <w:i/>
          <w:color w:val="222222"/>
          <w:sz w:val="20"/>
          <w:szCs w:val="20"/>
        </w:rPr>
        <w:t xml:space="preserve"> </w:t>
      </w:r>
      <w:proofErr w:type="spellStart"/>
      <w:r w:rsidRPr="007010B4">
        <w:rPr>
          <w:i/>
          <w:color w:val="222222"/>
          <w:sz w:val="20"/>
          <w:szCs w:val="20"/>
        </w:rPr>
        <w:t>otro</w:t>
      </w:r>
      <w:proofErr w:type="spellEnd"/>
      <w:r w:rsidRPr="007010B4">
        <w:rPr>
          <w:i/>
          <w:color w:val="222222"/>
          <w:sz w:val="20"/>
          <w:szCs w:val="20"/>
        </w:rPr>
        <w:t>”: a grounded theory approach to understanding the violence-migration nexus among Central American women in the United States</w:t>
      </w:r>
      <w:r w:rsidRPr="007010B4">
        <w:rPr>
          <w:color w:val="222222"/>
          <w:sz w:val="20"/>
          <w:szCs w:val="20"/>
          <w:highlight w:val="white"/>
        </w:rPr>
        <w:t xml:space="preserve"> (Doctoral dissertation).</w:t>
      </w:r>
    </w:p>
  </w:footnote>
  <w:footnote w:id="15">
    <w:p w14:paraId="7D2BE110" w14:textId="77777777"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Ibid.</w:t>
      </w:r>
    </w:p>
  </w:footnote>
  <w:footnote w:id="16">
    <w:p w14:paraId="17661A8D" w14:textId="77777777"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w:t>
      </w:r>
      <w:r w:rsidRPr="007010B4">
        <w:rPr>
          <w:color w:val="222222"/>
          <w:sz w:val="20"/>
          <w:szCs w:val="20"/>
          <w:highlight w:val="white"/>
        </w:rPr>
        <w:t xml:space="preserve">Acosta, Y. Y. R. (2023). </w:t>
      </w:r>
      <w:r w:rsidRPr="007010B4">
        <w:rPr>
          <w:i/>
          <w:color w:val="222222"/>
          <w:sz w:val="20"/>
          <w:szCs w:val="20"/>
        </w:rPr>
        <w:t xml:space="preserve">Where Blood and Water Flow: Fighting the Exploitation and Privatisation of Water in Atlántida, </w:t>
      </w:r>
      <w:proofErr w:type="gramStart"/>
      <w:r w:rsidRPr="007010B4">
        <w:rPr>
          <w:i/>
          <w:color w:val="222222"/>
          <w:sz w:val="20"/>
          <w:szCs w:val="20"/>
        </w:rPr>
        <w:t>Honduras</w:t>
      </w:r>
      <w:r w:rsidRPr="007010B4">
        <w:rPr>
          <w:color w:val="222222"/>
          <w:sz w:val="20"/>
          <w:szCs w:val="20"/>
          <w:highlight w:val="white"/>
        </w:rPr>
        <w:t>(</w:t>
      </w:r>
      <w:proofErr w:type="gramEnd"/>
      <w:r w:rsidRPr="007010B4">
        <w:rPr>
          <w:color w:val="222222"/>
          <w:sz w:val="20"/>
          <w:szCs w:val="20"/>
          <w:highlight w:val="white"/>
        </w:rPr>
        <w:t>Doctoral dissertation, University of California, Davis). Available at:</w:t>
      </w:r>
      <w:r w:rsidRPr="007010B4">
        <w:rPr>
          <w:color w:val="222222"/>
          <w:sz w:val="20"/>
          <w:szCs w:val="20"/>
        </w:rPr>
        <w:t xml:space="preserve"> </w:t>
      </w:r>
      <w:hyperlink r:id="rId11">
        <w:r w:rsidRPr="007010B4">
          <w:rPr>
            <w:color w:val="0000FF"/>
            <w:sz w:val="20"/>
            <w:szCs w:val="20"/>
            <w:highlight w:val="white"/>
            <w:u w:val="single"/>
          </w:rPr>
          <w:t>https://www.proquest.com/openview/1cb64ee3963a6ecf9e67e6935a79c36f/1?pq-origsite=gscholar&amp;cbl=18750&amp;diss=y</w:t>
        </w:r>
      </w:hyperlink>
    </w:p>
  </w:footnote>
  <w:footnote w:id="17">
    <w:p w14:paraId="431550E4" w14:textId="77777777"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w:t>
      </w:r>
      <w:r w:rsidRPr="007010B4">
        <w:rPr>
          <w:color w:val="222222"/>
          <w:sz w:val="20"/>
          <w:szCs w:val="20"/>
          <w:highlight w:val="white"/>
        </w:rPr>
        <w:t>Ibid.</w:t>
      </w:r>
    </w:p>
  </w:footnote>
  <w:footnote w:id="18">
    <w:p w14:paraId="23CD011D" w14:textId="77777777"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Ibid.</w:t>
      </w:r>
    </w:p>
  </w:footnote>
  <w:footnote w:id="19">
    <w:p w14:paraId="0AB0778D" w14:textId="77777777"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w:t>
      </w:r>
      <w:r w:rsidRPr="007010B4">
        <w:rPr>
          <w:color w:val="222222"/>
          <w:sz w:val="20"/>
          <w:szCs w:val="20"/>
          <w:highlight w:val="white"/>
        </w:rPr>
        <w:t xml:space="preserve">Correa, E. (2015). Budgetary impact of social security privatisation: Women doubly unprotected. </w:t>
      </w:r>
      <w:r w:rsidRPr="007010B4">
        <w:rPr>
          <w:i/>
          <w:color w:val="222222"/>
          <w:sz w:val="20"/>
          <w:szCs w:val="20"/>
        </w:rPr>
        <w:t>International Journal of Political Economy</w:t>
      </w:r>
      <w:r w:rsidRPr="007010B4">
        <w:rPr>
          <w:color w:val="222222"/>
          <w:sz w:val="20"/>
          <w:szCs w:val="20"/>
          <w:highlight w:val="white"/>
        </w:rPr>
        <w:t xml:space="preserve">, </w:t>
      </w:r>
      <w:r w:rsidRPr="007010B4">
        <w:rPr>
          <w:i/>
          <w:color w:val="222222"/>
          <w:sz w:val="20"/>
          <w:szCs w:val="20"/>
        </w:rPr>
        <w:t>44</w:t>
      </w:r>
      <w:r w:rsidRPr="007010B4">
        <w:rPr>
          <w:color w:val="222222"/>
          <w:sz w:val="20"/>
          <w:szCs w:val="20"/>
          <w:highlight w:val="white"/>
        </w:rPr>
        <w:t xml:space="preserve">(4), 260-276. Available at: </w:t>
      </w:r>
      <w:hyperlink r:id="rId12">
        <w:r w:rsidRPr="007010B4">
          <w:rPr>
            <w:color w:val="1155CC"/>
            <w:sz w:val="20"/>
            <w:szCs w:val="20"/>
            <w:highlight w:val="white"/>
            <w:u w:val="single"/>
          </w:rPr>
          <w:t>https://www.tandfonline.com/doi/abs/10.1080/08911916.2015.1129839</w:t>
        </w:r>
      </w:hyperlink>
    </w:p>
  </w:footnote>
  <w:footnote w:id="20">
    <w:p w14:paraId="2EE710AD" w14:textId="77777777"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Ibid.</w:t>
      </w:r>
    </w:p>
  </w:footnote>
  <w:footnote w:id="21">
    <w:p w14:paraId="71777604" w14:textId="77777777"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w:t>
      </w:r>
      <w:r w:rsidRPr="007010B4">
        <w:rPr>
          <w:color w:val="222222"/>
          <w:sz w:val="20"/>
          <w:szCs w:val="20"/>
          <w:highlight w:val="white"/>
        </w:rPr>
        <w:t xml:space="preserve">Edwards Jr, D. B., Moschetti, M., &amp; </w:t>
      </w:r>
      <w:proofErr w:type="spellStart"/>
      <w:r w:rsidRPr="007010B4">
        <w:rPr>
          <w:color w:val="222222"/>
          <w:sz w:val="20"/>
          <w:szCs w:val="20"/>
          <w:highlight w:val="white"/>
        </w:rPr>
        <w:t>Caravaca</w:t>
      </w:r>
      <w:proofErr w:type="spellEnd"/>
      <w:r w:rsidRPr="007010B4">
        <w:rPr>
          <w:color w:val="222222"/>
          <w:sz w:val="20"/>
          <w:szCs w:val="20"/>
          <w:highlight w:val="white"/>
        </w:rPr>
        <w:t>, A. (2023). Globalisation and privatisation of education in Honduras—</w:t>
      </w:r>
      <w:proofErr w:type="gramStart"/>
      <w:r w:rsidRPr="007010B4">
        <w:rPr>
          <w:color w:val="222222"/>
          <w:sz w:val="20"/>
          <w:szCs w:val="20"/>
          <w:highlight w:val="white"/>
        </w:rPr>
        <w:t>Or</w:t>
      </w:r>
      <w:proofErr w:type="gramEnd"/>
      <w:r w:rsidRPr="007010B4">
        <w:rPr>
          <w:color w:val="222222"/>
          <w:sz w:val="20"/>
          <w:szCs w:val="20"/>
          <w:highlight w:val="white"/>
        </w:rPr>
        <w:t xml:space="preserve"> the need to reconsider the dynamics and legacy of state formation. </w:t>
      </w:r>
      <w:r w:rsidRPr="007010B4">
        <w:rPr>
          <w:i/>
          <w:color w:val="222222"/>
          <w:sz w:val="20"/>
          <w:szCs w:val="20"/>
        </w:rPr>
        <w:t>Discourse: Studies in the Cultural Politics of Education</w:t>
      </w:r>
      <w:r w:rsidRPr="007010B4">
        <w:rPr>
          <w:color w:val="222222"/>
          <w:sz w:val="20"/>
          <w:szCs w:val="20"/>
          <w:highlight w:val="white"/>
        </w:rPr>
        <w:t xml:space="preserve">, </w:t>
      </w:r>
      <w:r w:rsidRPr="007010B4">
        <w:rPr>
          <w:i/>
          <w:color w:val="222222"/>
          <w:sz w:val="20"/>
          <w:szCs w:val="20"/>
        </w:rPr>
        <w:t>44</w:t>
      </w:r>
      <w:r w:rsidRPr="007010B4">
        <w:rPr>
          <w:color w:val="222222"/>
          <w:sz w:val="20"/>
          <w:szCs w:val="20"/>
          <w:highlight w:val="white"/>
        </w:rPr>
        <w:t xml:space="preserve">(4), 635-649. Available at: </w:t>
      </w:r>
      <w:hyperlink r:id="rId13">
        <w:r w:rsidRPr="007010B4">
          <w:rPr>
            <w:color w:val="1155CC"/>
            <w:sz w:val="20"/>
            <w:szCs w:val="20"/>
            <w:highlight w:val="white"/>
            <w:u w:val="single"/>
          </w:rPr>
          <w:t>https://www.tandfonline.com/doi/abs/10.1080/01596306.2020.1852181</w:t>
        </w:r>
      </w:hyperlink>
    </w:p>
  </w:footnote>
  <w:footnote w:id="22">
    <w:p w14:paraId="0EF76800" w14:textId="77777777"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w:t>
      </w:r>
      <w:r w:rsidRPr="007010B4">
        <w:rPr>
          <w:color w:val="222222"/>
          <w:sz w:val="20"/>
          <w:szCs w:val="20"/>
          <w:highlight w:val="white"/>
        </w:rPr>
        <w:t xml:space="preserve">Murphy-Graham, E. (2007). Promoting participation in public life through secondary education: evidence from Honduras. </w:t>
      </w:r>
      <w:r w:rsidRPr="007010B4">
        <w:rPr>
          <w:i/>
          <w:color w:val="222222"/>
          <w:sz w:val="20"/>
          <w:szCs w:val="20"/>
        </w:rPr>
        <w:t>Prospects</w:t>
      </w:r>
      <w:r w:rsidRPr="007010B4">
        <w:rPr>
          <w:color w:val="222222"/>
          <w:sz w:val="20"/>
          <w:szCs w:val="20"/>
          <w:highlight w:val="white"/>
        </w:rPr>
        <w:t xml:space="preserve">, </w:t>
      </w:r>
      <w:r w:rsidRPr="007010B4">
        <w:rPr>
          <w:i/>
          <w:color w:val="222222"/>
          <w:sz w:val="20"/>
          <w:szCs w:val="20"/>
        </w:rPr>
        <w:t>37</w:t>
      </w:r>
      <w:r w:rsidRPr="007010B4">
        <w:rPr>
          <w:color w:val="222222"/>
          <w:sz w:val="20"/>
          <w:szCs w:val="20"/>
          <w:highlight w:val="white"/>
        </w:rPr>
        <w:t>(1), 95-111. Available at:</w:t>
      </w:r>
      <w:r w:rsidRPr="007010B4">
        <w:rPr>
          <w:color w:val="222222"/>
          <w:sz w:val="20"/>
          <w:szCs w:val="20"/>
        </w:rPr>
        <w:t xml:space="preserve"> </w:t>
      </w:r>
      <w:hyperlink r:id="rId14">
        <w:r w:rsidRPr="007010B4">
          <w:rPr>
            <w:color w:val="0000FF"/>
            <w:sz w:val="20"/>
            <w:szCs w:val="20"/>
            <w:highlight w:val="white"/>
            <w:u w:val="single"/>
          </w:rPr>
          <w:t>https://link.springer.com/article/10.1007/s11125-007-9013-2</w:t>
        </w:r>
      </w:hyperlink>
    </w:p>
  </w:footnote>
  <w:footnote w:id="23">
    <w:p w14:paraId="445D74E2" w14:textId="7177AD10"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w:t>
      </w:r>
      <w:proofErr w:type="spellStart"/>
      <w:r w:rsidRPr="007010B4">
        <w:rPr>
          <w:color w:val="222222"/>
          <w:sz w:val="20"/>
          <w:szCs w:val="20"/>
          <w:highlight w:val="white"/>
        </w:rPr>
        <w:t>Hasemann</w:t>
      </w:r>
      <w:proofErr w:type="spellEnd"/>
      <w:r w:rsidRPr="007010B4">
        <w:rPr>
          <w:color w:val="222222"/>
          <w:sz w:val="20"/>
          <w:szCs w:val="20"/>
          <w:highlight w:val="white"/>
        </w:rPr>
        <w:t xml:space="preserve"> Lara, J. E. (2023). Health Sector Reform in Honduras: Privatisation as Institutional Bad Faith. </w:t>
      </w:r>
      <w:r w:rsidRPr="007010B4">
        <w:rPr>
          <w:i/>
          <w:color w:val="222222"/>
          <w:sz w:val="20"/>
          <w:szCs w:val="20"/>
        </w:rPr>
        <w:t>Medical Anthropology</w:t>
      </w:r>
      <w:r w:rsidRPr="007010B4">
        <w:rPr>
          <w:color w:val="222222"/>
          <w:sz w:val="20"/>
          <w:szCs w:val="20"/>
          <w:highlight w:val="white"/>
        </w:rPr>
        <w:t>, </w:t>
      </w:r>
      <w:r w:rsidRPr="007010B4">
        <w:rPr>
          <w:i/>
          <w:color w:val="222222"/>
          <w:sz w:val="20"/>
          <w:szCs w:val="20"/>
        </w:rPr>
        <w:t>42</w:t>
      </w:r>
      <w:r w:rsidRPr="007010B4">
        <w:rPr>
          <w:color w:val="222222"/>
          <w:sz w:val="20"/>
          <w:szCs w:val="20"/>
          <w:highlight w:val="white"/>
        </w:rPr>
        <w:t xml:space="preserve">(1), 62-75. Available at: </w:t>
      </w:r>
      <w:hyperlink r:id="rId15" w:history="1">
        <w:r w:rsidR="007010B4" w:rsidRPr="00D673E1">
          <w:rPr>
            <w:rStyle w:val="Kpr"/>
            <w:sz w:val="20"/>
            <w:szCs w:val="20"/>
            <w:highlight w:val="white"/>
          </w:rPr>
          <w:t>https://www.tandfonline.com/doi/abs/10.1080/01459740.2022.2125388</w:t>
        </w:r>
      </w:hyperlink>
      <w:r w:rsidR="007010B4">
        <w:rPr>
          <w:color w:val="222222"/>
          <w:sz w:val="20"/>
          <w:szCs w:val="20"/>
        </w:rPr>
        <w:t xml:space="preserve"> </w:t>
      </w:r>
    </w:p>
  </w:footnote>
  <w:footnote w:id="24">
    <w:p w14:paraId="5059D45F" w14:textId="77777777"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w:t>
      </w:r>
      <w:r w:rsidRPr="007010B4">
        <w:rPr>
          <w:color w:val="222222"/>
          <w:sz w:val="20"/>
          <w:szCs w:val="20"/>
          <w:highlight w:val="white"/>
        </w:rPr>
        <w:t xml:space="preserve">Gideon, J. (2014). </w:t>
      </w:r>
      <w:r w:rsidRPr="007010B4">
        <w:rPr>
          <w:i/>
          <w:color w:val="222222"/>
          <w:sz w:val="20"/>
          <w:szCs w:val="20"/>
        </w:rPr>
        <w:t>Gender, globalisation, and health in a Latin American context</w:t>
      </w:r>
      <w:r w:rsidRPr="007010B4">
        <w:rPr>
          <w:color w:val="222222"/>
          <w:sz w:val="20"/>
          <w:szCs w:val="20"/>
          <w:highlight w:val="white"/>
        </w:rPr>
        <w:t>. New York: Palgrave Macmillan.</w:t>
      </w:r>
    </w:p>
  </w:footnote>
  <w:footnote w:id="25">
    <w:p w14:paraId="21352B49" w14:textId="77777777"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Ibid.</w:t>
      </w:r>
    </w:p>
  </w:footnote>
  <w:footnote w:id="26">
    <w:p w14:paraId="0FCA6325" w14:textId="77777777"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w:t>
      </w:r>
      <w:r w:rsidRPr="007010B4">
        <w:rPr>
          <w:color w:val="222222"/>
          <w:sz w:val="20"/>
          <w:szCs w:val="20"/>
          <w:highlight w:val="white"/>
        </w:rPr>
        <w:t xml:space="preserve">Correa, E. (2015). Budgetary impact of social security privatisation: Women doubly unprotected. </w:t>
      </w:r>
      <w:r w:rsidRPr="007010B4">
        <w:rPr>
          <w:i/>
          <w:color w:val="222222"/>
          <w:sz w:val="20"/>
          <w:szCs w:val="20"/>
        </w:rPr>
        <w:t>International Journal of Political Economy</w:t>
      </w:r>
      <w:r w:rsidRPr="007010B4">
        <w:rPr>
          <w:color w:val="222222"/>
          <w:sz w:val="20"/>
          <w:szCs w:val="20"/>
          <w:highlight w:val="white"/>
        </w:rPr>
        <w:t xml:space="preserve">, </w:t>
      </w:r>
      <w:r w:rsidRPr="007010B4">
        <w:rPr>
          <w:i/>
          <w:color w:val="222222"/>
          <w:sz w:val="20"/>
          <w:szCs w:val="20"/>
        </w:rPr>
        <w:t>44</w:t>
      </w:r>
      <w:r w:rsidRPr="007010B4">
        <w:rPr>
          <w:color w:val="222222"/>
          <w:sz w:val="20"/>
          <w:szCs w:val="20"/>
          <w:highlight w:val="white"/>
        </w:rPr>
        <w:t>(4), 260-276. Available at:</w:t>
      </w:r>
      <w:hyperlink r:id="rId16">
        <w:r w:rsidRPr="007010B4">
          <w:rPr>
            <w:color w:val="1155CC"/>
            <w:sz w:val="20"/>
            <w:szCs w:val="20"/>
            <w:highlight w:val="white"/>
            <w:u w:val="single"/>
          </w:rPr>
          <w:t>https://www.tandfonline.com/doi/abs/10.1080/08911916.2015.1129839</w:t>
        </w:r>
      </w:hyperlink>
    </w:p>
  </w:footnote>
  <w:footnote w:id="27">
    <w:p w14:paraId="624A2AD3" w14:textId="77777777"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w:t>
      </w:r>
      <w:r w:rsidRPr="007010B4">
        <w:rPr>
          <w:sz w:val="20"/>
          <w:szCs w:val="20"/>
          <w:highlight w:val="white"/>
        </w:rPr>
        <w:t xml:space="preserve">Ventura-Dias, V. (2009). Market Forces, State Action and Social Institutions in the Dynamics of Gender (In) Equality in Latin America. </w:t>
      </w:r>
      <w:r w:rsidRPr="007010B4">
        <w:rPr>
          <w:i/>
          <w:sz w:val="20"/>
          <w:szCs w:val="20"/>
        </w:rPr>
        <w:t>New York: RBLAC-UNDP</w:t>
      </w:r>
      <w:r w:rsidRPr="007010B4">
        <w:rPr>
          <w:sz w:val="20"/>
          <w:szCs w:val="20"/>
          <w:highlight w:val="white"/>
        </w:rPr>
        <w:t>.</w:t>
      </w:r>
    </w:p>
  </w:footnote>
  <w:footnote w:id="28">
    <w:p w14:paraId="5259DD2F" w14:textId="77777777"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Ibid.</w:t>
      </w:r>
    </w:p>
  </w:footnote>
  <w:footnote w:id="29">
    <w:p w14:paraId="5C872991" w14:textId="77777777"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ECLAC. “Statistics and Indicators: Multi-Domain - CEPALSTAT Statistical Databases and Publications.” CEPALSTAT, November 30, 2023. </w:t>
      </w:r>
      <w:hyperlink r:id="rId17">
        <w:r w:rsidRPr="007010B4">
          <w:rPr>
            <w:color w:val="0000FF"/>
            <w:sz w:val="20"/>
            <w:szCs w:val="20"/>
            <w:u w:val="single"/>
          </w:rPr>
          <w:t>https://statistics.cepal.org/portal/cepalstat/dashboard.html?theme=4&amp;lang=en</w:t>
        </w:r>
      </w:hyperlink>
      <w:r w:rsidRPr="007010B4">
        <w:rPr>
          <w:sz w:val="20"/>
          <w:szCs w:val="20"/>
        </w:rPr>
        <w:t xml:space="preserve">. </w:t>
      </w:r>
    </w:p>
  </w:footnote>
  <w:footnote w:id="30">
    <w:p w14:paraId="4852832E" w14:textId="77777777"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Reporting on 2023 statistics is still preliminary. More concrete data should be available later in 2024.</w:t>
      </w:r>
    </w:p>
  </w:footnote>
  <w:footnote w:id="31">
    <w:p w14:paraId="207F5DF2" w14:textId="77777777" w:rsidR="00F17B03" w:rsidRPr="007010B4" w:rsidRDefault="00F17B03" w:rsidP="00347268">
      <w:pPr>
        <w:spacing w:line="240" w:lineRule="auto"/>
        <w:rPr>
          <w:sz w:val="20"/>
          <w:szCs w:val="20"/>
          <w:highlight w:val="yellow"/>
        </w:rPr>
      </w:pPr>
      <w:r w:rsidRPr="007010B4">
        <w:rPr>
          <w:sz w:val="20"/>
          <w:szCs w:val="20"/>
          <w:vertAlign w:val="superscript"/>
        </w:rPr>
        <w:footnoteRef/>
      </w:r>
      <w:r w:rsidRPr="007010B4">
        <w:rPr>
          <w:sz w:val="20"/>
          <w:szCs w:val="20"/>
        </w:rPr>
        <w:t xml:space="preserve"> </w:t>
      </w:r>
      <w:proofErr w:type="spellStart"/>
      <w:r w:rsidRPr="007010B4">
        <w:rPr>
          <w:sz w:val="20"/>
          <w:szCs w:val="20"/>
        </w:rPr>
        <w:t>Instituto</w:t>
      </w:r>
      <w:proofErr w:type="spellEnd"/>
      <w:r w:rsidRPr="007010B4">
        <w:rPr>
          <w:sz w:val="20"/>
          <w:szCs w:val="20"/>
        </w:rPr>
        <w:t xml:space="preserve"> </w:t>
      </w:r>
      <w:proofErr w:type="spellStart"/>
      <w:r w:rsidRPr="007010B4">
        <w:rPr>
          <w:sz w:val="20"/>
          <w:szCs w:val="20"/>
        </w:rPr>
        <w:t>Universitario</w:t>
      </w:r>
      <w:proofErr w:type="spellEnd"/>
      <w:r w:rsidRPr="007010B4">
        <w:rPr>
          <w:sz w:val="20"/>
          <w:szCs w:val="20"/>
        </w:rPr>
        <w:t xml:space="preserve"> </w:t>
      </w:r>
      <w:proofErr w:type="spellStart"/>
      <w:r w:rsidRPr="007010B4">
        <w:rPr>
          <w:sz w:val="20"/>
          <w:szCs w:val="20"/>
        </w:rPr>
        <w:t>en</w:t>
      </w:r>
      <w:proofErr w:type="spellEnd"/>
      <w:r w:rsidRPr="007010B4">
        <w:rPr>
          <w:sz w:val="20"/>
          <w:szCs w:val="20"/>
        </w:rPr>
        <w:t xml:space="preserve"> </w:t>
      </w:r>
      <w:proofErr w:type="spellStart"/>
      <w:r w:rsidRPr="007010B4">
        <w:rPr>
          <w:sz w:val="20"/>
          <w:szCs w:val="20"/>
        </w:rPr>
        <w:t>Democracia</w:t>
      </w:r>
      <w:proofErr w:type="spellEnd"/>
      <w:r w:rsidRPr="007010B4">
        <w:rPr>
          <w:sz w:val="20"/>
          <w:szCs w:val="20"/>
        </w:rPr>
        <w:t xml:space="preserve">, Paz y </w:t>
      </w:r>
      <w:proofErr w:type="spellStart"/>
      <w:r w:rsidRPr="007010B4">
        <w:rPr>
          <w:sz w:val="20"/>
          <w:szCs w:val="20"/>
        </w:rPr>
        <w:t>Seguridad</w:t>
      </w:r>
      <w:proofErr w:type="spellEnd"/>
      <w:r w:rsidRPr="007010B4">
        <w:rPr>
          <w:sz w:val="20"/>
          <w:szCs w:val="20"/>
        </w:rPr>
        <w:t>. “</w:t>
      </w:r>
      <w:proofErr w:type="spellStart"/>
      <w:r w:rsidRPr="007010B4">
        <w:rPr>
          <w:sz w:val="20"/>
          <w:szCs w:val="20"/>
        </w:rPr>
        <w:t>Observatorio</w:t>
      </w:r>
      <w:proofErr w:type="spellEnd"/>
      <w:r w:rsidRPr="007010B4">
        <w:rPr>
          <w:sz w:val="20"/>
          <w:szCs w:val="20"/>
        </w:rPr>
        <w:t xml:space="preserve"> de </w:t>
      </w:r>
      <w:proofErr w:type="spellStart"/>
      <w:r w:rsidRPr="007010B4">
        <w:rPr>
          <w:sz w:val="20"/>
          <w:szCs w:val="20"/>
        </w:rPr>
        <w:t>Muertes</w:t>
      </w:r>
      <w:proofErr w:type="spellEnd"/>
      <w:r w:rsidRPr="007010B4">
        <w:rPr>
          <w:sz w:val="20"/>
          <w:szCs w:val="20"/>
        </w:rPr>
        <w:t xml:space="preserve"> </w:t>
      </w:r>
      <w:proofErr w:type="spellStart"/>
      <w:r w:rsidRPr="007010B4">
        <w:rPr>
          <w:sz w:val="20"/>
          <w:szCs w:val="20"/>
        </w:rPr>
        <w:t>Violentas</w:t>
      </w:r>
      <w:proofErr w:type="spellEnd"/>
      <w:r w:rsidRPr="007010B4">
        <w:rPr>
          <w:sz w:val="20"/>
          <w:szCs w:val="20"/>
        </w:rPr>
        <w:t xml:space="preserve"> de </w:t>
      </w:r>
      <w:proofErr w:type="spellStart"/>
      <w:r w:rsidRPr="007010B4">
        <w:rPr>
          <w:sz w:val="20"/>
          <w:szCs w:val="20"/>
        </w:rPr>
        <w:t>Mujeres</w:t>
      </w:r>
      <w:proofErr w:type="spellEnd"/>
      <w:r w:rsidRPr="007010B4">
        <w:rPr>
          <w:sz w:val="20"/>
          <w:szCs w:val="20"/>
        </w:rPr>
        <w:t xml:space="preserve"> y </w:t>
      </w:r>
      <w:proofErr w:type="spellStart"/>
      <w:r w:rsidRPr="007010B4">
        <w:rPr>
          <w:sz w:val="20"/>
          <w:szCs w:val="20"/>
        </w:rPr>
        <w:t>Femicidios</w:t>
      </w:r>
      <w:proofErr w:type="spellEnd"/>
      <w:r w:rsidRPr="007010B4">
        <w:rPr>
          <w:sz w:val="20"/>
          <w:szCs w:val="20"/>
        </w:rPr>
        <w:t xml:space="preserve">: </w:t>
      </w:r>
      <w:proofErr w:type="spellStart"/>
      <w:r w:rsidRPr="007010B4">
        <w:rPr>
          <w:sz w:val="20"/>
          <w:szCs w:val="20"/>
        </w:rPr>
        <w:t>Resultados</w:t>
      </w:r>
      <w:proofErr w:type="spellEnd"/>
      <w:r w:rsidRPr="007010B4">
        <w:rPr>
          <w:sz w:val="20"/>
          <w:szCs w:val="20"/>
        </w:rPr>
        <w:t xml:space="preserve"> Del </w:t>
      </w:r>
      <w:proofErr w:type="spellStart"/>
      <w:r w:rsidRPr="007010B4">
        <w:rPr>
          <w:sz w:val="20"/>
          <w:szCs w:val="20"/>
        </w:rPr>
        <w:t>Análisis</w:t>
      </w:r>
      <w:proofErr w:type="spellEnd"/>
      <w:r w:rsidRPr="007010B4">
        <w:rPr>
          <w:sz w:val="20"/>
          <w:szCs w:val="20"/>
        </w:rPr>
        <w:t xml:space="preserve"> </w:t>
      </w:r>
      <w:proofErr w:type="spellStart"/>
      <w:r w:rsidRPr="007010B4">
        <w:rPr>
          <w:sz w:val="20"/>
          <w:szCs w:val="20"/>
        </w:rPr>
        <w:t>Enero-Diciembre</w:t>
      </w:r>
      <w:proofErr w:type="spellEnd"/>
      <w:r w:rsidRPr="007010B4">
        <w:rPr>
          <w:sz w:val="20"/>
          <w:szCs w:val="20"/>
        </w:rPr>
        <w:t xml:space="preserve"> 2018.” Universidad Nacional </w:t>
      </w:r>
      <w:proofErr w:type="spellStart"/>
      <w:r w:rsidRPr="007010B4">
        <w:rPr>
          <w:sz w:val="20"/>
          <w:szCs w:val="20"/>
        </w:rPr>
        <w:t>Autónoma</w:t>
      </w:r>
      <w:proofErr w:type="spellEnd"/>
      <w:r w:rsidRPr="007010B4">
        <w:rPr>
          <w:sz w:val="20"/>
          <w:szCs w:val="20"/>
        </w:rPr>
        <w:t xml:space="preserve"> de Honduras, 2018. </w:t>
      </w:r>
      <w:hyperlink r:id="rId18">
        <w:r w:rsidRPr="007010B4">
          <w:rPr>
            <w:color w:val="0000FF"/>
            <w:sz w:val="20"/>
            <w:szCs w:val="20"/>
            <w:u w:val="single"/>
          </w:rPr>
          <w:t>https://iudpas.unah.edu.hn/dmsdocument/9027-boletin-muerte-violenta-de-mujeres-y-femicidios-enero-diciembre-2018-ed-14</w:t>
        </w:r>
      </w:hyperlink>
      <w:r w:rsidRPr="007010B4">
        <w:rPr>
          <w:sz w:val="20"/>
          <w:szCs w:val="20"/>
        </w:rPr>
        <w:t xml:space="preserve">. ; </w:t>
      </w:r>
      <w:proofErr w:type="spellStart"/>
      <w:r w:rsidRPr="007010B4">
        <w:rPr>
          <w:sz w:val="20"/>
          <w:szCs w:val="20"/>
        </w:rPr>
        <w:t>Instituto</w:t>
      </w:r>
      <w:proofErr w:type="spellEnd"/>
      <w:r w:rsidRPr="007010B4">
        <w:rPr>
          <w:sz w:val="20"/>
          <w:szCs w:val="20"/>
        </w:rPr>
        <w:t xml:space="preserve"> </w:t>
      </w:r>
      <w:proofErr w:type="spellStart"/>
      <w:r w:rsidRPr="007010B4">
        <w:rPr>
          <w:sz w:val="20"/>
          <w:szCs w:val="20"/>
        </w:rPr>
        <w:t>Universitario</w:t>
      </w:r>
      <w:proofErr w:type="spellEnd"/>
      <w:r w:rsidRPr="007010B4">
        <w:rPr>
          <w:sz w:val="20"/>
          <w:szCs w:val="20"/>
        </w:rPr>
        <w:t xml:space="preserve"> </w:t>
      </w:r>
      <w:proofErr w:type="spellStart"/>
      <w:r w:rsidRPr="007010B4">
        <w:rPr>
          <w:sz w:val="20"/>
          <w:szCs w:val="20"/>
        </w:rPr>
        <w:t>en</w:t>
      </w:r>
      <w:proofErr w:type="spellEnd"/>
      <w:r w:rsidRPr="007010B4">
        <w:rPr>
          <w:sz w:val="20"/>
          <w:szCs w:val="20"/>
        </w:rPr>
        <w:t xml:space="preserve"> </w:t>
      </w:r>
      <w:proofErr w:type="spellStart"/>
      <w:r w:rsidRPr="007010B4">
        <w:rPr>
          <w:sz w:val="20"/>
          <w:szCs w:val="20"/>
        </w:rPr>
        <w:t>Democracia</w:t>
      </w:r>
      <w:proofErr w:type="spellEnd"/>
      <w:r w:rsidRPr="007010B4">
        <w:rPr>
          <w:sz w:val="20"/>
          <w:szCs w:val="20"/>
        </w:rPr>
        <w:t xml:space="preserve">, Paz y </w:t>
      </w:r>
      <w:proofErr w:type="spellStart"/>
      <w:r w:rsidRPr="007010B4">
        <w:rPr>
          <w:sz w:val="20"/>
          <w:szCs w:val="20"/>
        </w:rPr>
        <w:t>Seguridad</w:t>
      </w:r>
      <w:proofErr w:type="spellEnd"/>
      <w:r w:rsidRPr="007010B4">
        <w:rPr>
          <w:sz w:val="20"/>
          <w:szCs w:val="20"/>
        </w:rPr>
        <w:t>. “</w:t>
      </w:r>
      <w:proofErr w:type="spellStart"/>
      <w:r w:rsidRPr="007010B4">
        <w:rPr>
          <w:sz w:val="20"/>
          <w:szCs w:val="20"/>
        </w:rPr>
        <w:t>Observatorio</w:t>
      </w:r>
      <w:proofErr w:type="spellEnd"/>
      <w:r w:rsidRPr="007010B4">
        <w:rPr>
          <w:sz w:val="20"/>
          <w:szCs w:val="20"/>
        </w:rPr>
        <w:t xml:space="preserve"> de </w:t>
      </w:r>
      <w:proofErr w:type="spellStart"/>
      <w:r w:rsidRPr="007010B4">
        <w:rPr>
          <w:sz w:val="20"/>
          <w:szCs w:val="20"/>
        </w:rPr>
        <w:t>Muertes</w:t>
      </w:r>
      <w:proofErr w:type="spellEnd"/>
      <w:r w:rsidRPr="007010B4">
        <w:rPr>
          <w:sz w:val="20"/>
          <w:szCs w:val="20"/>
        </w:rPr>
        <w:t xml:space="preserve"> </w:t>
      </w:r>
      <w:proofErr w:type="spellStart"/>
      <w:r w:rsidRPr="007010B4">
        <w:rPr>
          <w:sz w:val="20"/>
          <w:szCs w:val="20"/>
        </w:rPr>
        <w:t>Violentas</w:t>
      </w:r>
      <w:proofErr w:type="spellEnd"/>
      <w:r w:rsidRPr="007010B4">
        <w:rPr>
          <w:sz w:val="20"/>
          <w:szCs w:val="20"/>
        </w:rPr>
        <w:t xml:space="preserve"> de </w:t>
      </w:r>
      <w:proofErr w:type="spellStart"/>
      <w:r w:rsidRPr="007010B4">
        <w:rPr>
          <w:sz w:val="20"/>
          <w:szCs w:val="20"/>
        </w:rPr>
        <w:t>Mujeres</w:t>
      </w:r>
      <w:proofErr w:type="spellEnd"/>
      <w:r w:rsidRPr="007010B4">
        <w:rPr>
          <w:sz w:val="20"/>
          <w:szCs w:val="20"/>
        </w:rPr>
        <w:t xml:space="preserve"> y </w:t>
      </w:r>
      <w:proofErr w:type="spellStart"/>
      <w:r w:rsidRPr="007010B4">
        <w:rPr>
          <w:sz w:val="20"/>
          <w:szCs w:val="20"/>
        </w:rPr>
        <w:t>Femicidios</w:t>
      </w:r>
      <w:proofErr w:type="spellEnd"/>
      <w:r w:rsidRPr="007010B4">
        <w:rPr>
          <w:sz w:val="20"/>
          <w:szCs w:val="20"/>
        </w:rPr>
        <w:t xml:space="preserve">: </w:t>
      </w:r>
      <w:proofErr w:type="spellStart"/>
      <w:r w:rsidRPr="007010B4">
        <w:rPr>
          <w:sz w:val="20"/>
          <w:szCs w:val="20"/>
        </w:rPr>
        <w:t>Resultados</w:t>
      </w:r>
      <w:proofErr w:type="spellEnd"/>
      <w:r w:rsidRPr="007010B4">
        <w:rPr>
          <w:sz w:val="20"/>
          <w:szCs w:val="20"/>
        </w:rPr>
        <w:t xml:space="preserve"> Del </w:t>
      </w:r>
      <w:proofErr w:type="spellStart"/>
      <w:r w:rsidRPr="007010B4">
        <w:rPr>
          <w:sz w:val="20"/>
          <w:szCs w:val="20"/>
        </w:rPr>
        <w:t>Análisis</w:t>
      </w:r>
      <w:proofErr w:type="spellEnd"/>
      <w:r w:rsidRPr="007010B4">
        <w:rPr>
          <w:sz w:val="20"/>
          <w:szCs w:val="20"/>
        </w:rPr>
        <w:t xml:space="preserve"> </w:t>
      </w:r>
      <w:proofErr w:type="spellStart"/>
      <w:r w:rsidRPr="007010B4">
        <w:rPr>
          <w:sz w:val="20"/>
          <w:szCs w:val="20"/>
        </w:rPr>
        <w:t>Enero-Diciembre</w:t>
      </w:r>
      <w:proofErr w:type="spellEnd"/>
      <w:r w:rsidRPr="007010B4">
        <w:rPr>
          <w:sz w:val="20"/>
          <w:szCs w:val="20"/>
        </w:rPr>
        <w:t xml:space="preserve"> 2022.” Universidad Nacional </w:t>
      </w:r>
      <w:proofErr w:type="spellStart"/>
      <w:r w:rsidRPr="007010B4">
        <w:rPr>
          <w:sz w:val="20"/>
          <w:szCs w:val="20"/>
        </w:rPr>
        <w:t>Autónoma</w:t>
      </w:r>
      <w:proofErr w:type="spellEnd"/>
      <w:r w:rsidRPr="007010B4">
        <w:rPr>
          <w:sz w:val="20"/>
          <w:szCs w:val="20"/>
        </w:rPr>
        <w:t xml:space="preserve"> de Honduras, 2022. </w:t>
      </w:r>
      <w:hyperlink r:id="rId19">
        <w:r w:rsidRPr="007010B4">
          <w:rPr>
            <w:color w:val="0000FF"/>
            <w:sz w:val="20"/>
            <w:szCs w:val="20"/>
            <w:u w:val="single"/>
          </w:rPr>
          <w:t>https://iudpas.unah.edu.hn/dmsdocument/15724-boletin-muerte-violenta-de-mujeres-y-femicidios-ene-dic-2022-ed-no-18</w:t>
        </w:r>
      </w:hyperlink>
      <w:r w:rsidRPr="007010B4">
        <w:rPr>
          <w:sz w:val="20"/>
          <w:szCs w:val="20"/>
        </w:rPr>
        <w:t>.</w:t>
      </w:r>
    </w:p>
  </w:footnote>
  <w:footnote w:id="32">
    <w:p w14:paraId="5143C569" w14:textId="77777777"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Transgender Europe (TGEU). “TMM Numbers.” </w:t>
      </w:r>
      <w:proofErr w:type="spellStart"/>
      <w:r w:rsidRPr="007010B4">
        <w:rPr>
          <w:sz w:val="20"/>
          <w:szCs w:val="20"/>
        </w:rPr>
        <w:t>TransRepect</w:t>
      </w:r>
      <w:proofErr w:type="spellEnd"/>
      <w:r w:rsidRPr="007010B4">
        <w:rPr>
          <w:sz w:val="20"/>
          <w:szCs w:val="20"/>
        </w:rPr>
        <w:t xml:space="preserve">, 2024. </w:t>
      </w:r>
      <w:hyperlink r:id="rId20">
        <w:r w:rsidRPr="007010B4">
          <w:rPr>
            <w:color w:val="1155CC"/>
            <w:sz w:val="20"/>
            <w:szCs w:val="20"/>
            <w:u w:val="single"/>
          </w:rPr>
          <w:t>https://transrespect.org/en/map/trans-murder-monitoring/</w:t>
        </w:r>
      </w:hyperlink>
      <w:r w:rsidRPr="007010B4">
        <w:rPr>
          <w:sz w:val="20"/>
          <w:szCs w:val="20"/>
        </w:rPr>
        <w:t>.</w:t>
      </w:r>
    </w:p>
  </w:footnote>
  <w:footnote w:id="33">
    <w:p w14:paraId="2FF92556" w14:textId="77777777"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PBI Honduras. “Gender-Based Violence: Another Pandemic for Women,” 2020. </w:t>
      </w:r>
      <w:hyperlink r:id="rId21">
        <w:r w:rsidRPr="007010B4">
          <w:rPr>
            <w:color w:val="1155CC"/>
            <w:sz w:val="20"/>
            <w:szCs w:val="20"/>
            <w:u w:val="single"/>
          </w:rPr>
          <w:t>https://pbi-honduras.org/news/2020-10/gender-based-violence-another-pandemic-women</w:t>
        </w:r>
      </w:hyperlink>
      <w:r w:rsidRPr="007010B4">
        <w:rPr>
          <w:sz w:val="20"/>
          <w:szCs w:val="20"/>
        </w:rPr>
        <w:t>.</w:t>
      </w:r>
    </w:p>
  </w:footnote>
  <w:footnote w:id="34">
    <w:p w14:paraId="041A2611" w14:textId="77777777"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w:t>
      </w:r>
      <w:proofErr w:type="spellStart"/>
      <w:r w:rsidRPr="007010B4">
        <w:rPr>
          <w:sz w:val="20"/>
          <w:szCs w:val="20"/>
        </w:rPr>
        <w:t>Instituto</w:t>
      </w:r>
      <w:proofErr w:type="spellEnd"/>
      <w:r w:rsidRPr="007010B4">
        <w:rPr>
          <w:sz w:val="20"/>
          <w:szCs w:val="20"/>
        </w:rPr>
        <w:t xml:space="preserve"> </w:t>
      </w:r>
      <w:proofErr w:type="spellStart"/>
      <w:r w:rsidRPr="007010B4">
        <w:rPr>
          <w:sz w:val="20"/>
          <w:szCs w:val="20"/>
        </w:rPr>
        <w:t>Universitario</w:t>
      </w:r>
      <w:proofErr w:type="spellEnd"/>
      <w:r w:rsidRPr="007010B4">
        <w:rPr>
          <w:sz w:val="20"/>
          <w:szCs w:val="20"/>
        </w:rPr>
        <w:t xml:space="preserve"> </w:t>
      </w:r>
      <w:proofErr w:type="spellStart"/>
      <w:r w:rsidRPr="007010B4">
        <w:rPr>
          <w:sz w:val="20"/>
          <w:szCs w:val="20"/>
        </w:rPr>
        <w:t>en</w:t>
      </w:r>
      <w:proofErr w:type="spellEnd"/>
      <w:r w:rsidRPr="007010B4">
        <w:rPr>
          <w:sz w:val="20"/>
          <w:szCs w:val="20"/>
        </w:rPr>
        <w:t xml:space="preserve"> </w:t>
      </w:r>
      <w:proofErr w:type="spellStart"/>
      <w:r w:rsidRPr="007010B4">
        <w:rPr>
          <w:sz w:val="20"/>
          <w:szCs w:val="20"/>
        </w:rPr>
        <w:t>Democracia</w:t>
      </w:r>
      <w:proofErr w:type="spellEnd"/>
      <w:r w:rsidRPr="007010B4">
        <w:rPr>
          <w:sz w:val="20"/>
          <w:szCs w:val="20"/>
        </w:rPr>
        <w:t xml:space="preserve">, Paz y </w:t>
      </w:r>
      <w:proofErr w:type="spellStart"/>
      <w:r w:rsidRPr="007010B4">
        <w:rPr>
          <w:sz w:val="20"/>
          <w:szCs w:val="20"/>
        </w:rPr>
        <w:t>Seguridad</w:t>
      </w:r>
      <w:proofErr w:type="spellEnd"/>
      <w:r w:rsidRPr="007010B4">
        <w:rPr>
          <w:sz w:val="20"/>
          <w:szCs w:val="20"/>
        </w:rPr>
        <w:t>. “</w:t>
      </w:r>
      <w:proofErr w:type="spellStart"/>
      <w:r w:rsidRPr="007010B4">
        <w:rPr>
          <w:sz w:val="20"/>
          <w:szCs w:val="20"/>
        </w:rPr>
        <w:t>Observatorio</w:t>
      </w:r>
      <w:proofErr w:type="spellEnd"/>
      <w:r w:rsidRPr="007010B4">
        <w:rPr>
          <w:sz w:val="20"/>
          <w:szCs w:val="20"/>
        </w:rPr>
        <w:t xml:space="preserve"> de </w:t>
      </w:r>
      <w:proofErr w:type="spellStart"/>
      <w:r w:rsidRPr="007010B4">
        <w:rPr>
          <w:sz w:val="20"/>
          <w:szCs w:val="20"/>
        </w:rPr>
        <w:t>Muertes</w:t>
      </w:r>
      <w:proofErr w:type="spellEnd"/>
      <w:r w:rsidRPr="007010B4">
        <w:rPr>
          <w:sz w:val="20"/>
          <w:szCs w:val="20"/>
        </w:rPr>
        <w:t xml:space="preserve"> </w:t>
      </w:r>
      <w:proofErr w:type="spellStart"/>
      <w:r w:rsidRPr="007010B4">
        <w:rPr>
          <w:sz w:val="20"/>
          <w:szCs w:val="20"/>
        </w:rPr>
        <w:t>Violentas</w:t>
      </w:r>
      <w:proofErr w:type="spellEnd"/>
      <w:r w:rsidRPr="007010B4">
        <w:rPr>
          <w:sz w:val="20"/>
          <w:szCs w:val="20"/>
        </w:rPr>
        <w:t xml:space="preserve"> de </w:t>
      </w:r>
      <w:proofErr w:type="spellStart"/>
      <w:r w:rsidRPr="007010B4">
        <w:rPr>
          <w:sz w:val="20"/>
          <w:szCs w:val="20"/>
        </w:rPr>
        <w:t>Mujeres</w:t>
      </w:r>
      <w:proofErr w:type="spellEnd"/>
      <w:r w:rsidRPr="007010B4">
        <w:rPr>
          <w:sz w:val="20"/>
          <w:szCs w:val="20"/>
        </w:rPr>
        <w:t xml:space="preserve"> y </w:t>
      </w:r>
      <w:proofErr w:type="spellStart"/>
      <w:r w:rsidRPr="007010B4">
        <w:rPr>
          <w:sz w:val="20"/>
          <w:szCs w:val="20"/>
        </w:rPr>
        <w:t>Femicidios</w:t>
      </w:r>
      <w:proofErr w:type="spellEnd"/>
      <w:r w:rsidRPr="007010B4">
        <w:rPr>
          <w:sz w:val="20"/>
          <w:szCs w:val="20"/>
        </w:rPr>
        <w:t xml:space="preserve">: </w:t>
      </w:r>
      <w:proofErr w:type="spellStart"/>
      <w:r w:rsidRPr="007010B4">
        <w:rPr>
          <w:sz w:val="20"/>
          <w:szCs w:val="20"/>
        </w:rPr>
        <w:t>Resultados</w:t>
      </w:r>
      <w:proofErr w:type="spellEnd"/>
      <w:r w:rsidRPr="007010B4">
        <w:rPr>
          <w:sz w:val="20"/>
          <w:szCs w:val="20"/>
        </w:rPr>
        <w:t xml:space="preserve"> Del </w:t>
      </w:r>
      <w:proofErr w:type="spellStart"/>
      <w:r w:rsidRPr="007010B4">
        <w:rPr>
          <w:sz w:val="20"/>
          <w:szCs w:val="20"/>
        </w:rPr>
        <w:t>Análisis</w:t>
      </w:r>
      <w:proofErr w:type="spellEnd"/>
      <w:r w:rsidRPr="007010B4">
        <w:rPr>
          <w:sz w:val="20"/>
          <w:szCs w:val="20"/>
        </w:rPr>
        <w:t xml:space="preserve"> </w:t>
      </w:r>
      <w:proofErr w:type="spellStart"/>
      <w:r w:rsidRPr="007010B4">
        <w:rPr>
          <w:sz w:val="20"/>
          <w:szCs w:val="20"/>
        </w:rPr>
        <w:t>Enero-Diciembre</w:t>
      </w:r>
      <w:proofErr w:type="spellEnd"/>
      <w:r w:rsidRPr="007010B4">
        <w:rPr>
          <w:sz w:val="20"/>
          <w:szCs w:val="20"/>
        </w:rPr>
        <w:t xml:space="preserve"> 2019.” Universidad Nacional </w:t>
      </w:r>
      <w:proofErr w:type="spellStart"/>
      <w:r w:rsidRPr="007010B4">
        <w:rPr>
          <w:sz w:val="20"/>
          <w:szCs w:val="20"/>
        </w:rPr>
        <w:t>Autónoma</w:t>
      </w:r>
      <w:proofErr w:type="spellEnd"/>
      <w:r w:rsidRPr="007010B4">
        <w:rPr>
          <w:sz w:val="20"/>
          <w:szCs w:val="20"/>
        </w:rPr>
        <w:t xml:space="preserve"> de Honduras, 2019. </w:t>
      </w:r>
      <w:hyperlink r:id="rId22">
        <w:r w:rsidRPr="007010B4">
          <w:rPr>
            <w:color w:val="1155CC"/>
            <w:sz w:val="20"/>
            <w:szCs w:val="20"/>
            <w:u w:val="single"/>
          </w:rPr>
          <w:t>https://iudpas.unah.edu.hn/dmsdocument/10950-boletin-muerte-violenta-de-mujeres-y-femicidios-enero-diciembre-2019-ed-15</w:t>
        </w:r>
      </w:hyperlink>
      <w:r w:rsidRPr="007010B4">
        <w:rPr>
          <w:sz w:val="20"/>
          <w:szCs w:val="20"/>
        </w:rPr>
        <w:t>.</w:t>
      </w:r>
    </w:p>
  </w:footnote>
  <w:footnote w:id="35">
    <w:p w14:paraId="7A331B23" w14:textId="77777777"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PBI Honduras. “Gender-Based Violence: Another Pandemic for Women,” 2020. </w:t>
      </w:r>
      <w:hyperlink r:id="rId23">
        <w:r w:rsidRPr="007010B4">
          <w:rPr>
            <w:color w:val="1155CC"/>
            <w:sz w:val="20"/>
            <w:szCs w:val="20"/>
            <w:u w:val="single"/>
          </w:rPr>
          <w:t>https://pbi-honduras.org/news/2020-10/gender-based-violence-another-pandemic-women</w:t>
        </w:r>
      </w:hyperlink>
      <w:r w:rsidRPr="007010B4">
        <w:rPr>
          <w:sz w:val="20"/>
          <w:szCs w:val="20"/>
        </w:rPr>
        <w:t>.</w:t>
      </w:r>
    </w:p>
  </w:footnote>
  <w:footnote w:id="36">
    <w:p w14:paraId="15A4FA10" w14:textId="77777777"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Bureau of Democracy, Human Rights and </w:t>
      </w:r>
      <w:proofErr w:type="spellStart"/>
      <w:r w:rsidRPr="007010B4">
        <w:rPr>
          <w:sz w:val="20"/>
          <w:szCs w:val="20"/>
        </w:rPr>
        <w:t>Labor</w:t>
      </w:r>
      <w:proofErr w:type="spellEnd"/>
      <w:r w:rsidRPr="007010B4">
        <w:rPr>
          <w:sz w:val="20"/>
          <w:szCs w:val="20"/>
        </w:rPr>
        <w:t xml:space="preserve">. “Honduras 2022 Human Rights Report.” Country Reports on Human Rights Practices for 2022. United States Department of State, 2022. </w:t>
      </w:r>
      <w:hyperlink r:id="rId24">
        <w:r w:rsidRPr="007010B4">
          <w:rPr>
            <w:color w:val="0000FF"/>
            <w:sz w:val="20"/>
            <w:szCs w:val="20"/>
            <w:u w:val="single"/>
          </w:rPr>
          <w:t>https://www.state.gov/wp-content/uploads/2023/02/415610_HONDURAS-2022-HUMAN-RIGHTS-REPORT.pdf</w:t>
        </w:r>
      </w:hyperlink>
      <w:r w:rsidRPr="007010B4">
        <w:rPr>
          <w:sz w:val="20"/>
          <w:szCs w:val="20"/>
        </w:rPr>
        <w:t xml:space="preserve">. ; PBI Honduras. “Gender-Based Violence: Another Pandemic for Women,” 2020. </w:t>
      </w:r>
      <w:hyperlink r:id="rId25">
        <w:r w:rsidRPr="007010B4">
          <w:rPr>
            <w:color w:val="1155CC"/>
            <w:sz w:val="20"/>
            <w:szCs w:val="20"/>
            <w:u w:val="single"/>
          </w:rPr>
          <w:t>https://pbi-honduras.org/news/2020-10/gender-based-violence-another-pandemic-women</w:t>
        </w:r>
      </w:hyperlink>
      <w:r w:rsidRPr="007010B4">
        <w:rPr>
          <w:sz w:val="20"/>
          <w:szCs w:val="20"/>
        </w:rPr>
        <w:t>.</w:t>
      </w:r>
    </w:p>
  </w:footnote>
  <w:footnote w:id="37">
    <w:p w14:paraId="751A0476" w14:textId="77777777"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Zara, Georgia, and Sarah Gino. “Intimate Partner Violence and Its Escalation </w:t>
      </w:r>
      <w:proofErr w:type="gramStart"/>
      <w:r w:rsidRPr="007010B4">
        <w:rPr>
          <w:sz w:val="20"/>
          <w:szCs w:val="20"/>
        </w:rPr>
        <w:t>Into</w:t>
      </w:r>
      <w:proofErr w:type="gramEnd"/>
      <w:r w:rsidRPr="007010B4">
        <w:rPr>
          <w:sz w:val="20"/>
          <w:szCs w:val="20"/>
        </w:rPr>
        <w:t xml:space="preserve"> Femicide. Frailty Thy Name Is ‘Violence Against Women.’” Frontiers in Psychology 9 (2018). </w:t>
      </w:r>
      <w:hyperlink r:id="rId26">
        <w:r w:rsidRPr="007010B4">
          <w:rPr>
            <w:color w:val="1155CC"/>
            <w:sz w:val="20"/>
            <w:szCs w:val="20"/>
            <w:u w:val="single"/>
          </w:rPr>
          <w:t>https://www.frontiersin.org/articles/10.3389/fpsyg.2018.01777</w:t>
        </w:r>
      </w:hyperlink>
      <w:r w:rsidRPr="007010B4">
        <w:rPr>
          <w:sz w:val="20"/>
          <w:szCs w:val="20"/>
        </w:rPr>
        <w:t>.</w:t>
      </w:r>
    </w:p>
  </w:footnote>
  <w:footnote w:id="38">
    <w:p w14:paraId="022A1C1B" w14:textId="77777777"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Herrera, Vienna. “Femicide in Honduras: Women Dismissed by Their Own Government.” </w:t>
      </w:r>
      <w:proofErr w:type="spellStart"/>
      <w:r w:rsidRPr="007010B4">
        <w:rPr>
          <w:sz w:val="20"/>
          <w:szCs w:val="20"/>
        </w:rPr>
        <w:t>ContraCorriente</w:t>
      </w:r>
      <w:proofErr w:type="spellEnd"/>
      <w:r w:rsidRPr="007010B4">
        <w:rPr>
          <w:sz w:val="20"/>
          <w:szCs w:val="20"/>
        </w:rPr>
        <w:t xml:space="preserve">, August 8, 2020. </w:t>
      </w:r>
      <w:hyperlink r:id="rId27">
        <w:r w:rsidRPr="007010B4">
          <w:rPr>
            <w:color w:val="1155CC"/>
            <w:sz w:val="20"/>
            <w:szCs w:val="20"/>
            <w:u w:val="single"/>
          </w:rPr>
          <w:t>https://contracorriente.red/en/2020/08/08/femicide-in-honduras-women-dismissed-by-their-own-government/</w:t>
        </w:r>
      </w:hyperlink>
      <w:r w:rsidRPr="007010B4">
        <w:rPr>
          <w:sz w:val="20"/>
          <w:szCs w:val="20"/>
        </w:rPr>
        <w:t>.</w:t>
      </w:r>
    </w:p>
  </w:footnote>
  <w:footnote w:id="39">
    <w:p w14:paraId="2484E764" w14:textId="77777777"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Ibid.</w:t>
      </w:r>
    </w:p>
  </w:footnote>
  <w:footnote w:id="40">
    <w:p w14:paraId="19ADA7EC" w14:textId="77777777"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Lakhani, Nina. “Death of Nurse Detained over Covid Curfew Highlights Violence Faced by Honduran Women.” The Guardian, February 12, 2021, sec. World news. </w:t>
      </w:r>
      <w:hyperlink r:id="rId28">
        <w:r w:rsidRPr="007010B4">
          <w:rPr>
            <w:color w:val="1155CC"/>
            <w:sz w:val="20"/>
            <w:szCs w:val="20"/>
            <w:u w:val="single"/>
          </w:rPr>
          <w:t>https://www.theguardian.com/world/2021/feb/12/honduras-femicide-keyla-martinez-women-violence</w:t>
        </w:r>
      </w:hyperlink>
      <w:r w:rsidRPr="007010B4">
        <w:rPr>
          <w:sz w:val="20"/>
          <w:szCs w:val="20"/>
        </w:rPr>
        <w:t>.</w:t>
      </w:r>
    </w:p>
  </w:footnote>
  <w:footnote w:id="41">
    <w:p w14:paraId="360FC2E1" w14:textId="77777777"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Ibid. </w:t>
      </w:r>
    </w:p>
  </w:footnote>
  <w:footnote w:id="42">
    <w:p w14:paraId="15B409C8" w14:textId="77777777" w:rsidR="00F17B03" w:rsidRPr="007010B4" w:rsidRDefault="00F17B03" w:rsidP="00347268">
      <w:pPr>
        <w:spacing w:line="240" w:lineRule="auto"/>
        <w:rPr>
          <w:sz w:val="20"/>
          <w:szCs w:val="20"/>
          <w:highlight w:val="yellow"/>
        </w:rPr>
      </w:pPr>
      <w:r w:rsidRPr="007010B4">
        <w:rPr>
          <w:sz w:val="20"/>
          <w:szCs w:val="20"/>
          <w:vertAlign w:val="superscript"/>
        </w:rPr>
        <w:footnoteRef/>
      </w:r>
      <w:r w:rsidRPr="007010B4">
        <w:rPr>
          <w:sz w:val="20"/>
          <w:szCs w:val="20"/>
        </w:rPr>
        <w:t xml:space="preserve"> Hardin, Michael. “Altering Masculinities: The Spanish Conquest and the Evolution of the Latin American Machismo.” International Journal of Sexuality and Gender Studies 7, no. 1 (January 1, 2002): 1–22. </w:t>
      </w:r>
      <w:hyperlink r:id="rId29">
        <w:r w:rsidRPr="007010B4">
          <w:rPr>
            <w:color w:val="0000FF"/>
            <w:sz w:val="20"/>
            <w:szCs w:val="20"/>
            <w:u w:val="single"/>
          </w:rPr>
          <w:t>https://doi.org/10.1023/A:1013050829597</w:t>
        </w:r>
      </w:hyperlink>
      <w:r w:rsidRPr="007010B4">
        <w:rPr>
          <w:sz w:val="20"/>
          <w:szCs w:val="20"/>
        </w:rPr>
        <w:t>.</w:t>
      </w:r>
      <w:r w:rsidRPr="007010B4">
        <w:rPr>
          <w:sz w:val="20"/>
          <w:szCs w:val="20"/>
          <w:highlight w:val="yellow"/>
        </w:rPr>
        <w:t xml:space="preserve"> </w:t>
      </w:r>
    </w:p>
  </w:footnote>
  <w:footnote w:id="43">
    <w:p w14:paraId="36E8018B" w14:textId="77777777"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Charles, Jeanette. “Violence in Honduras </w:t>
      </w:r>
      <w:proofErr w:type="gramStart"/>
      <w:r w:rsidRPr="007010B4">
        <w:rPr>
          <w:sz w:val="20"/>
          <w:szCs w:val="20"/>
        </w:rPr>
        <w:t>Since</w:t>
      </w:r>
      <w:proofErr w:type="gramEnd"/>
      <w:r w:rsidRPr="007010B4">
        <w:rPr>
          <w:sz w:val="20"/>
          <w:szCs w:val="20"/>
        </w:rPr>
        <w:t xml:space="preserve"> the 2009 Coup.” </w:t>
      </w:r>
      <w:proofErr w:type="spellStart"/>
      <w:r w:rsidRPr="007010B4">
        <w:rPr>
          <w:sz w:val="20"/>
          <w:szCs w:val="20"/>
        </w:rPr>
        <w:t>TeleSUR</w:t>
      </w:r>
      <w:proofErr w:type="spellEnd"/>
      <w:r w:rsidRPr="007010B4">
        <w:rPr>
          <w:sz w:val="20"/>
          <w:szCs w:val="20"/>
        </w:rPr>
        <w:t xml:space="preserve">, July 17, 2014. </w:t>
      </w:r>
      <w:hyperlink r:id="rId30">
        <w:r w:rsidRPr="007010B4">
          <w:rPr>
            <w:color w:val="0000FF"/>
            <w:sz w:val="20"/>
            <w:szCs w:val="20"/>
            <w:u w:val="single"/>
          </w:rPr>
          <w:t>https://www.telesurenglish.net/analysis/Violence-in-Honduras-Since-the-2009-Coup-20140717-0132.html</w:t>
        </w:r>
      </w:hyperlink>
      <w:r w:rsidRPr="007010B4">
        <w:rPr>
          <w:sz w:val="20"/>
          <w:szCs w:val="20"/>
        </w:rPr>
        <w:t xml:space="preserve">. ; </w:t>
      </w:r>
      <w:proofErr w:type="spellStart"/>
      <w:r w:rsidRPr="007010B4">
        <w:rPr>
          <w:sz w:val="20"/>
          <w:szCs w:val="20"/>
        </w:rPr>
        <w:t>Turcios</w:t>
      </w:r>
      <w:proofErr w:type="spellEnd"/>
      <w:r w:rsidRPr="007010B4">
        <w:rPr>
          <w:sz w:val="20"/>
          <w:szCs w:val="20"/>
        </w:rPr>
        <w:t xml:space="preserve">, </w:t>
      </w:r>
      <w:proofErr w:type="spellStart"/>
      <w:r w:rsidRPr="007010B4">
        <w:rPr>
          <w:sz w:val="20"/>
          <w:szCs w:val="20"/>
        </w:rPr>
        <w:t>Ilma</w:t>
      </w:r>
      <w:proofErr w:type="spellEnd"/>
      <w:r w:rsidRPr="007010B4">
        <w:rPr>
          <w:sz w:val="20"/>
          <w:szCs w:val="20"/>
        </w:rPr>
        <w:t xml:space="preserve">. “Poverty as a Pipeline to </w:t>
      </w:r>
      <w:proofErr w:type="spellStart"/>
      <w:r w:rsidRPr="007010B4">
        <w:rPr>
          <w:sz w:val="20"/>
          <w:szCs w:val="20"/>
        </w:rPr>
        <w:t>Femicide</w:t>
      </w:r>
      <w:proofErr w:type="spellEnd"/>
      <w:r w:rsidRPr="007010B4">
        <w:rPr>
          <w:sz w:val="20"/>
          <w:szCs w:val="20"/>
        </w:rPr>
        <w:t xml:space="preserve"> in Honduras- </w:t>
      </w:r>
      <w:proofErr w:type="spellStart"/>
      <w:r w:rsidRPr="007010B4">
        <w:rPr>
          <w:sz w:val="20"/>
          <w:szCs w:val="20"/>
        </w:rPr>
        <w:t>Ilma</w:t>
      </w:r>
      <w:proofErr w:type="spellEnd"/>
      <w:r w:rsidRPr="007010B4">
        <w:rPr>
          <w:sz w:val="20"/>
          <w:szCs w:val="20"/>
        </w:rPr>
        <w:t xml:space="preserve"> </w:t>
      </w:r>
      <w:proofErr w:type="spellStart"/>
      <w:r w:rsidRPr="007010B4">
        <w:rPr>
          <w:sz w:val="20"/>
          <w:szCs w:val="20"/>
        </w:rPr>
        <w:t>Turcios</w:t>
      </w:r>
      <w:proofErr w:type="spellEnd"/>
      <w:r w:rsidRPr="007010B4">
        <w:rPr>
          <w:sz w:val="20"/>
          <w:szCs w:val="20"/>
        </w:rPr>
        <w:t xml:space="preserve">.” In Development in Latin America: An Examination of Women’s Autonomy, edited by Esther Hernández-Medina. Claremont Colleges Library, 2021. </w:t>
      </w:r>
      <w:hyperlink r:id="rId31">
        <w:r w:rsidRPr="007010B4">
          <w:rPr>
            <w:color w:val="1155CC"/>
            <w:sz w:val="20"/>
            <w:szCs w:val="20"/>
            <w:u w:val="single"/>
          </w:rPr>
          <w:t>https://pressbooks.claremont.edu/soc189pom001/chapter/ilma-relationship-between-womens-poverty-and-feminicides-in-honduras/</w:t>
        </w:r>
      </w:hyperlink>
      <w:r w:rsidRPr="007010B4">
        <w:rPr>
          <w:sz w:val="20"/>
          <w:szCs w:val="20"/>
        </w:rPr>
        <w:t>.</w:t>
      </w:r>
    </w:p>
  </w:footnote>
  <w:footnote w:id="44">
    <w:p w14:paraId="7D8FFAB3" w14:textId="77777777"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w:t>
      </w:r>
      <w:proofErr w:type="spellStart"/>
      <w:r w:rsidRPr="007010B4">
        <w:rPr>
          <w:sz w:val="20"/>
          <w:szCs w:val="20"/>
        </w:rPr>
        <w:t>Turcios</w:t>
      </w:r>
      <w:proofErr w:type="spellEnd"/>
      <w:r w:rsidRPr="007010B4">
        <w:rPr>
          <w:sz w:val="20"/>
          <w:szCs w:val="20"/>
        </w:rPr>
        <w:t xml:space="preserve">, </w:t>
      </w:r>
      <w:proofErr w:type="spellStart"/>
      <w:r w:rsidRPr="007010B4">
        <w:rPr>
          <w:sz w:val="20"/>
          <w:szCs w:val="20"/>
        </w:rPr>
        <w:t>Ilma</w:t>
      </w:r>
      <w:proofErr w:type="spellEnd"/>
      <w:r w:rsidRPr="007010B4">
        <w:rPr>
          <w:sz w:val="20"/>
          <w:szCs w:val="20"/>
        </w:rPr>
        <w:t xml:space="preserve">. “Poverty as a Pipeline to </w:t>
      </w:r>
      <w:proofErr w:type="spellStart"/>
      <w:r w:rsidRPr="007010B4">
        <w:rPr>
          <w:sz w:val="20"/>
          <w:szCs w:val="20"/>
        </w:rPr>
        <w:t>Femicide</w:t>
      </w:r>
      <w:proofErr w:type="spellEnd"/>
      <w:r w:rsidRPr="007010B4">
        <w:rPr>
          <w:sz w:val="20"/>
          <w:szCs w:val="20"/>
        </w:rPr>
        <w:t xml:space="preserve"> in Honduras- </w:t>
      </w:r>
      <w:proofErr w:type="spellStart"/>
      <w:r w:rsidRPr="007010B4">
        <w:rPr>
          <w:sz w:val="20"/>
          <w:szCs w:val="20"/>
        </w:rPr>
        <w:t>Ilma</w:t>
      </w:r>
      <w:proofErr w:type="spellEnd"/>
      <w:r w:rsidRPr="007010B4">
        <w:rPr>
          <w:sz w:val="20"/>
          <w:szCs w:val="20"/>
        </w:rPr>
        <w:t xml:space="preserve"> </w:t>
      </w:r>
      <w:proofErr w:type="spellStart"/>
      <w:r w:rsidRPr="007010B4">
        <w:rPr>
          <w:sz w:val="20"/>
          <w:szCs w:val="20"/>
        </w:rPr>
        <w:t>Turcios</w:t>
      </w:r>
      <w:proofErr w:type="spellEnd"/>
      <w:r w:rsidRPr="007010B4">
        <w:rPr>
          <w:sz w:val="20"/>
          <w:szCs w:val="20"/>
        </w:rPr>
        <w:t xml:space="preserve">.” In Development in Latin America: An Examination of Women’s Autonomy, edited by Esther Hernández-Medina. Claremont Colleges Library, 2021. </w:t>
      </w:r>
      <w:hyperlink r:id="rId32">
        <w:r w:rsidRPr="007010B4">
          <w:rPr>
            <w:color w:val="1155CC"/>
            <w:sz w:val="20"/>
            <w:szCs w:val="20"/>
            <w:u w:val="single"/>
          </w:rPr>
          <w:t>https://pressbooks.claremont.edu/soc189pom001/chapter/ilma-relationship-between-womens-poverty-and-feminicides-in-honduras/</w:t>
        </w:r>
      </w:hyperlink>
      <w:r w:rsidRPr="007010B4">
        <w:rPr>
          <w:sz w:val="20"/>
          <w:szCs w:val="20"/>
        </w:rPr>
        <w:t>.</w:t>
      </w:r>
    </w:p>
  </w:footnote>
  <w:footnote w:id="45">
    <w:p w14:paraId="179190A1" w14:textId="77777777"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Lakhani, Nina. “Death of Nurse Detained over Covid Curfew Highlights Violence Faced by Honduran Women.” The Guardian, February 12, 2021, sec. World news. </w:t>
      </w:r>
      <w:hyperlink r:id="rId33">
        <w:r w:rsidRPr="007010B4">
          <w:rPr>
            <w:color w:val="1155CC"/>
            <w:sz w:val="20"/>
            <w:szCs w:val="20"/>
            <w:u w:val="single"/>
          </w:rPr>
          <w:t>https://www.theguardian.com/world/2021/feb/12/honduras-femicide-keyla-martinez-women-violence</w:t>
        </w:r>
      </w:hyperlink>
      <w:r w:rsidRPr="007010B4">
        <w:rPr>
          <w:sz w:val="20"/>
          <w:szCs w:val="20"/>
        </w:rPr>
        <w:t>.</w:t>
      </w:r>
    </w:p>
  </w:footnote>
  <w:footnote w:id="46">
    <w:p w14:paraId="46661DAC" w14:textId="77777777"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Herrera, Vienna. “</w:t>
      </w:r>
      <w:proofErr w:type="spellStart"/>
      <w:r w:rsidRPr="007010B4">
        <w:rPr>
          <w:sz w:val="20"/>
          <w:szCs w:val="20"/>
        </w:rPr>
        <w:t>Muerte</w:t>
      </w:r>
      <w:proofErr w:type="spellEnd"/>
      <w:r w:rsidRPr="007010B4">
        <w:rPr>
          <w:sz w:val="20"/>
          <w:szCs w:val="20"/>
        </w:rPr>
        <w:t xml:space="preserve"> de </w:t>
      </w:r>
      <w:proofErr w:type="spellStart"/>
      <w:r w:rsidRPr="007010B4">
        <w:rPr>
          <w:sz w:val="20"/>
          <w:szCs w:val="20"/>
        </w:rPr>
        <w:t>estudiante</w:t>
      </w:r>
      <w:proofErr w:type="spellEnd"/>
      <w:r w:rsidRPr="007010B4">
        <w:rPr>
          <w:sz w:val="20"/>
          <w:szCs w:val="20"/>
        </w:rPr>
        <w:t xml:space="preserve"> de </w:t>
      </w:r>
      <w:proofErr w:type="spellStart"/>
      <w:r w:rsidRPr="007010B4">
        <w:rPr>
          <w:sz w:val="20"/>
          <w:szCs w:val="20"/>
        </w:rPr>
        <w:t>enfermería</w:t>
      </w:r>
      <w:proofErr w:type="spellEnd"/>
      <w:r w:rsidRPr="007010B4">
        <w:rPr>
          <w:sz w:val="20"/>
          <w:szCs w:val="20"/>
        </w:rPr>
        <w:t xml:space="preserve"> </w:t>
      </w:r>
      <w:proofErr w:type="spellStart"/>
      <w:r w:rsidRPr="007010B4">
        <w:rPr>
          <w:sz w:val="20"/>
          <w:szCs w:val="20"/>
        </w:rPr>
        <w:t>en</w:t>
      </w:r>
      <w:proofErr w:type="spellEnd"/>
      <w:r w:rsidRPr="007010B4">
        <w:rPr>
          <w:sz w:val="20"/>
          <w:szCs w:val="20"/>
        </w:rPr>
        <w:t xml:space="preserve"> </w:t>
      </w:r>
      <w:proofErr w:type="spellStart"/>
      <w:r w:rsidRPr="007010B4">
        <w:rPr>
          <w:sz w:val="20"/>
          <w:szCs w:val="20"/>
        </w:rPr>
        <w:t>custodia</w:t>
      </w:r>
      <w:proofErr w:type="spellEnd"/>
      <w:r w:rsidRPr="007010B4">
        <w:rPr>
          <w:sz w:val="20"/>
          <w:szCs w:val="20"/>
        </w:rPr>
        <w:t xml:space="preserve"> </w:t>
      </w:r>
      <w:proofErr w:type="spellStart"/>
      <w:r w:rsidRPr="007010B4">
        <w:rPr>
          <w:sz w:val="20"/>
          <w:szCs w:val="20"/>
        </w:rPr>
        <w:t>policial</w:t>
      </w:r>
      <w:proofErr w:type="spellEnd"/>
      <w:r w:rsidRPr="007010B4">
        <w:rPr>
          <w:sz w:val="20"/>
          <w:szCs w:val="20"/>
        </w:rPr>
        <w:t xml:space="preserve"> se </w:t>
      </w:r>
      <w:proofErr w:type="spellStart"/>
      <w:r w:rsidRPr="007010B4">
        <w:rPr>
          <w:sz w:val="20"/>
          <w:szCs w:val="20"/>
        </w:rPr>
        <w:t>perfila</w:t>
      </w:r>
      <w:proofErr w:type="spellEnd"/>
      <w:r w:rsidRPr="007010B4">
        <w:rPr>
          <w:sz w:val="20"/>
          <w:szCs w:val="20"/>
        </w:rPr>
        <w:t xml:space="preserve"> </w:t>
      </w:r>
      <w:proofErr w:type="spellStart"/>
      <w:proofErr w:type="gramStart"/>
      <w:r w:rsidRPr="007010B4">
        <w:rPr>
          <w:sz w:val="20"/>
          <w:szCs w:val="20"/>
        </w:rPr>
        <w:t>como</w:t>
      </w:r>
      <w:proofErr w:type="spellEnd"/>
      <w:proofErr w:type="gramEnd"/>
      <w:r w:rsidRPr="007010B4">
        <w:rPr>
          <w:sz w:val="20"/>
          <w:szCs w:val="20"/>
        </w:rPr>
        <w:t xml:space="preserve"> </w:t>
      </w:r>
      <w:proofErr w:type="spellStart"/>
      <w:r w:rsidRPr="007010B4">
        <w:rPr>
          <w:sz w:val="20"/>
          <w:szCs w:val="20"/>
        </w:rPr>
        <w:t>femicidio</w:t>
      </w:r>
      <w:proofErr w:type="spellEnd"/>
      <w:r w:rsidRPr="007010B4">
        <w:rPr>
          <w:sz w:val="20"/>
          <w:szCs w:val="20"/>
        </w:rPr>
        <w:t xml:space="preserve"> de Estado - Contra </w:t>
      </w:r>
      <w:proofErr w:type="spellStart"/>
      <w:r w:rsidRPr="007010B4">
        <w:rPr>
          <w:sz w:val="20"/>
          <w:szCs w:val="20"/>
        </w:rPr>
        <w:t>Corriente</w:t>
      </w:r>
      <w:proofErr w:type="spellEnd"/>
      <w:r w:rsidRPr="007010B4">
        <w:rPr>
          <w:sz w:val="20"/>
          <w:szCs w:val="20"/>
        </w:rPr>
        <w:t xml:space="preserve">.” </w:t>
      </w:r>
      <w:proofErr w:type="spellStart"/>
      <w:r w:rsidRPr="007010B4">
        <w:rPr>
          <w:sz w:val="20"/>
          <w:szCs w:val="20"/>
        </w:rPr>
        <w:t>ContraCorriente</w:t>
      </w:r>
      <w:proofErr w:type="spellEnd"/>
      <w:r w:rsidRPr="007010B4">
        <w:rPr>
          <w:sz w:val="20"/>
          <w:szCs w:val="20"/>
        </w:rPr>
        <w:t xml:space="preserve">, February 13, 2021, sec. </w:t>
      </w:r>
      <w:proofErr w:type="spellStart"/>
      <w:r w:rsidRPr="007010B4">
        <w:rPr>
          <w:sz w:val="20"/>
          <w:szCs w:val="20"/>
        </w:rPr>
        <w:t>Actualidad</w:t>
      </w:r>
      <w:proofErr w:type="spellEnd"/>
      <w:r w:rsidRPr="007010B4">
        <w:rPr>
          <w:sz w:val="20"/>
          <w:szCs w:val="20"/>
        </w:rPr>
        <w:t xml:space="preserve">. </w:t>
      </w:r>
      <w:hyperlink r:id="rId34">
        <w:r w:rsidRPr="007010B4">
          <w:rPr>
            <w:color w:val="0000FF"/>
            <w:sz w:val="20"/>
            <w:szCs w:val="20"/>
            <w:u w:val="single"/>
          </w:rPr>
          <w:t>https://contracorriente.red/2021/02/13/muerte-de-estudiante-de-enfermeria-en-custodia-policial-se-perfila-como-femicidio-de-estado/</w:t>
        </w:r>
      </w:hyperlink>
      <w:r w:rsidRPr="007010B4">
        <w:rPr>
          <w:sz w:val="20"/>
          <w:szCs w:val="20"/>
        </w:rPr>
        <w:t xml:space="preserve">. ; Herrera, Vienna. “In-Custody Death Sparks Allegations of Femicide against Honduran Police.” El Faro, February 19, 2021. </w:t>
      </w:r>
      <w:hyperlink r:id="rId35">
        <w:r w:rsidRPr="007010B4">
          <w:rPr>
            <w:color w:val="0000FF"/>
            <w:sz w:val="20"/>
            <w:szCs w:val="20"/>
            <w:u w:val="single"/>
          </w:rPr>
          <w:t>https://www.elfaro.net/en/202102/centroamerica/25262/In-Custody-Death-Sparks-Allegations-of-Femicide-against-Honduran-Police.htm</w:t>
        </w:r>
      </w:hyperlink>
      <w:r w:rsidRPr="007010B4">
        <w:rPr>
          <w:sz w:val="20"/>
          <w:szCs w:val="20"/>
        </w:rPr>
        <w:t>.</w:t>
      </w:r>
    </w:p>
  </w:footnote>
  <w:footnote w:id="47">
    <w:p w14:paraId="568D1744" w14:textId="77777777"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Lakhani, Nina. “Death of Nurse Detained over Covid Curfew Highlights Violence Faced by Honduran Women.” The Guardian, February 12, 2021, sec. World news. </w:t>
      </w:r>
      <w:hyperlink r:id="rId36">
        <w:r w:rsidRPr="007010B4">
          <w:rPr>
            <w:color w:val="1155CC"/>
            <w:sz w:val="20"/>
            <w:szCs w:val="20"/>
            <w:u w:val="single"/>
          </w:rPr>
          <w:t>https://www.theguardian.com/world/2021/feb/12/honduras-femicide-keyla-martinez-women-violence</w:t>
        </w:r>
      </w:hyperlink>
      <w:r w:rsidRPr="007010B4">
        <w:rPr>
          <w:sz w:val="20"/>
          <w:szCs w:val="20"/>
        </w:rPr>
        <w:t>.</w:t>
      </w:r>
    </w:p>
  </w:footnote>
  <w:footnote w:id="48">
    <w:p w14:paraId="7DC265FD" w14:textId="77777777"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w:t>
      </w:r>
      <w:proofErr w:type="spellStart"/>
      <w:r w:rsidRPr="007010B4">
        <w:rPr>
          <w:sz w:val="20"/>
          <w:szCs w:val="20"/>
        </w:rPr>
        <w:t>Hallock</w:t>
      </w:r>
      <w:proofErr w:type="spellEnd"/>
      <w:r w:rsidRPr="007010B4">
        <w:rPr>
          <w:sz w:val="20"/>
          <w:szCs w:val="20"/>
        </w:rPr>
        <w:t xml:space="preserve">, Jeffrey, and Ben </w:t>
      </w:r>
      <w:proofErr w:type="spellStart"/>
      <w:r w:rsidRPr="007010B4">
        <w:rPr>
          <w:sz w:val="20"/>
          <w:szCs w:val="20"/>
        </w:rPr>
        <w:t>Corson</w:t>
      </w:r>
      <w:proofErr w:type="spellEnd"/>
      <w:r w:rsidRPr="007010B4">
        <w:rPr>
          <w:sz w:val="20"/>
          <w:szCs w:val="20"/>
        </w:rPr>
        <w:t xml:space="preserve">. “Intersecting Crises: Pandemic and Hurricanes Add to Political Instability Driving Migration from Honduras.” Migration Policy Institute, June 10, 2021. </w:t>
      </w:r>
      <w:hyperlink r:id="rId37">
        <w:r w:rsidRPr="007010B4">
          <w:rPr>
            <w:color w:val="1155CC"/>
            <w:sz w:val="20"/>
            <w:szCs w:val="20"/>
            <w:u w:val="single"/>
          </w:rPr>
          <w:t>https://www.migrationpolicy.org/article/pandemic-hurricanes-political-instability-migration-honduras</w:t>
        </w:r>
      </w:hyperlink>
      <w:r w:rsidRPr="007010B4">
        <w:rPr>
          <w:sz w:val="20"/>
          <w:szCs w:val="20"/>
        </w:rPr>
        <w:t>.</w:t>
      </w:r>
    </w:p>
  </w:footnote>
  <w:footnote w:id="49">
    <w:p w14:paraId="25CF9665" w14:textId="77777777"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Ibid.</w:t>
      </w:r>
    </w:p>
  </w:footnote>
  <w:footnote w:id="50">
    <w:p w14:paraId="27C9615B" w14:textId="77777777"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Ross, Ingrid. “The End of Honduras’ Narco-Dictatorship.” International Politics and Society, February 4, 2022, sec. Future of Social Democracy. </w:t>
      </w:r>
      <w:hyperlink r:id="rId38">
        <w:r w:rsidRPr="007010B4">
          <w:rPr>
            <w:color w:val="1155CC"/>
            <w:sz w:val="20"/>
            <w:szCs w:val="20"/>
            <w:u w:val="single"/>
          </w:rPr>
          <w:t>https://www.ips-journal.eu/topics/future-of-social-democracy/the-end-of-honduras-narco-state-5697/</w:t>
        </w:r>
      </w:hyperlink>
      <w:r w:rsidRPr="007010B4">
        <w:rPr>
          <w:sz w:val="20"/>
          <w:szCs w:val="20"/>
        </w:rPr>
        <w:t>.</w:t>
      </w:r>
    </w:p>
  </w:footnote>
  <w:footnote w:id="51">
    <w:p w14:paraId="73A8B087" w14:textId="77777777"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International Crisis Group. “New Dawn or Old Habits? Resolving Honduras’ Security Dilemmas.” Latin America Report. Brussels, July 10, 2023. </w:t>
      </w:r>
      <w:hyperlink r:id="rId39">
        <w:r w:rsidRPr="007010B4">
          <w:rPr>
            <w:color w:val="1155CC"/>
            <w:sz w:val="20"/>
            <w:szCs w:val="20"/>
            <w:u w:val="single"/>
          </w:rPr>
          <w:t>https://www.crisisgroup.org/latin-america-caribbean/central-america/honduras/100-new-dawn-or-old-habits-resolving-honduras-security</w:t>
        </w:r>
      </w:hyperlink>
      <w:r w:rsidRPr="007010B4">
        <w:rPr>
          <w:sz w:val="20"/>
          <w:szCs w:val="20"/>
        </w:rPr>
        <w:t>.</w:t>
      </w:r>
    </w:p>
  </w:footnote>
  <w:footnote w:id="52">
    <w:p w14:paraId="29892E65" w14:textId="77777777"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Bureau of Democracy, Human Rights and </w:t>
      </w:r>
      <w:proofErr w:type="spellStart"/>
      <w:r w:rsidRPr="007010B4">
        <w:rPr>
          <w:sz w:val="20"/>
          <w:szCs w:val="20"/>
        </w:rPr>
        <w:t>Labor</w:t>
      </w:r>
      <w:proofErr w:type="spellEnd"/>
      <w:r w:rsidRPr="007010B4">
        <w:rPr>
          <w:sz w:val="20"/>
          <w:szCs w:val="20"/>
        </w:rPr>
        <w:t xml:space="preserve">. “Honduras 2022 Human Rights Report.” Country Reports on Human Rights Practices for 2022. United States Department of State, 2022. </w:t>
      </w:r>
      <w:hyperlink r:id="rId40">
        <w:r w:rsidRPr="007010B4">
          <w:rPr>
            <w:color w:val="1155CC"/>
            <w:sz w:val="20"/>
            <w:szCs w:val="20"/>
            <w:u w:val="single"/>
          </w:rPr>
          <w:t>https://www.state.gov/wp-content/uploads/2023/02/415610_HONDURAS-2022-HUMAN-RIGHTS-REPORT.pdf</w:t>
        </w:r>
      </w:hyperlink>
      <w:r w:rsidRPr="007010B4">
        <w:rPr>
          <w:sz w:val="20"/>
          <w:szCs w:val="20"/>
        </w:rPr>
        <w:t>.</w:t>
      </w:r>
    </w:p>
  </w:footnote>
  <w:footnote w:id="53">
    <w:p w14:paraId="0EC59C35" w14:textId="77777777"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International Crisis Group. “New Dawn or Old Habits? Resolving Honduras’ Security Dilemmas.” Latin America Report. Brussels, July 10, 2023. </w:t>
      </w:r>
      <w:hyperlink r:id="rId41">
        <w:r w:rsidRPr="007010B4">
          <w:rPr>
            <w:color w:val="1155CC"/>
            <w:sz w:val="20"/>
            <w:szCs w:val="20"/>
            <w:u w:val="single"/>
          </w:rPr>
          <w:t>https://www.crisisgroup.org/latin-america-caribbean/central-america/honduras/100-new-dawn-or-old-habits-resolving-honduras-security</w:t>
        </w:r>
      </w:hyperlink>
      <w:r w:rsidRPr="007010B4">
        <w:rPr>
          <w:sz w:val="20"/>
          <w:szCs w:val="20"/>
        </w:rPr>
        <w:t>.</w:t>
      </w:r>
    </w:p>
  </w:footnote>
  <w:footnote w:id="54">
    <w:p w14:paraId="4E06439E" w14:textId="77777777"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w:t>
      </w:r>
      <w:proofErr w:type="spellStart"/>
      <w:r w:rsidRPr="007010B4">
        <w:rPr>
          <w:sz w:val="20"/>
          <w:szCs w:val="20"/>
        </w:rPr>
        <w:t>Turcios</w:t>
      </w:r>
      <w:proofErr w:type="spellEnd"/>
      <w:r w:rsidRPr="007010B4">
        <w:rPr>
          <w:sz w:val="20"/>
          <w:szCs w:val="20"/>
        </w:rPr>
        <w:t xml:space="preserve">, </w:t>
      </w:r>
      <w:proofErr w:type="spellStart"/>
      <w:r w:rsidRPr="007010B4">
        <w:rPr>
          <w:sz w:val="20"/>
          <w:szCs w:val="20"/>
        </w:rPr>
        <w:t>Ilma</w:t>
      </w:r>
      <w:proofErr w:type="spellEnd"/>
      <w:r w:rsidRPr="007010B4">
        <w:rPr>
          <w:sz w:val="20"/>
          <w:szCs w:val="20"/>
        </w:rPr>
        <w:t xml:space="preserve">. “Poverty as a Pipeline to </w:t>
      </w:r>
      <w:proofErr w:type="spellStart"/>
      <w:r w:rsidRPr="007010B4">
        <w:rPr>
          <w:sz w:val="20"/>
          <w:szCs w:val="20"/>
        </w:rPr>
        <w:t>Femicide</w:t>
      </w:r>
      <w:proofErr w:type="spellEnd"/>
      <w:r w:rsidRPr="007010B4">
        <w:rPr>
          <w:sz w:val="20"/>
          <w:szCs w:val="20"/>
        </w:rPr>
        <w:t xml:space="preserve"> in Honduras- </w:t>
      </w:r>
      <w:proofErr w:type="spellStart"/>
      <w:r w:rsidRPr="007010B4">
        <w:rPr>
          <w:sz w:val="20"/>
          <w:szCs w:val="20"/>
        </w:rPr>
        <w:t>Ilma</w:t>
      </w:r>
      <w:proofErr w:type="spellEnd"/>
      <w:r w:rsidRPr="007010B4">
        <w:rPr>
          <w:sz w:val="20"/>
          <w:szCs w:val="20"/>
        </w:rPr>
        <w:t xml:space="preserve"> </w:t>
      </w:r>
      <w:proofErr w:type="spellStart"/>
      <w:r w:rsidRPr="007010B4">
        <w:rPr>
          <w:sz w:val="20"/>
          <w:szCs w:val="20"/>
        </w:rPr>
        <w:t>Turcios</w:t>
      </w:r>
      <w:proofErr w:type="spellEnd"/>
      <w:r w:rsidRPr="007010B4">
        <w:rPr>
          <w:sz w:val="20"/>
          <w:szCs w:val="20"/>
        </w:rPr>
        <w:t xml:space="preserve">.” In Development in Latin America: An Examination of Women’s Autonomy, edited by Esther Hernández-Medina. Claremont Colleges Library, 2021. </w:t>
      </w:r>
      <w:hyperlink r:id="rId42">
        <w:r w:rsidRPr="007010B4">
          <w:rPr>
            <w:color w:val="1155CC"/>
            <w:sz w:val="20"/>
            <w:szCs w:val="20"/>
            <w:u w:val="single"/>
          </w:rPr>
          <w:t>https://pressbooks.claremont.edu/soc189pom001/chapter/ilma-relationship-between-womens-poverty-and-feminicides-in-honduras/</w:t>
        </w:r>
      </w:hyperlink>
      <w:r w:rsidRPr="007010B4">
        <w:rPr>
          <w:sz w:val="20"/>
          <w:szCs w:val="20"/>
        </w:rPr>
        <w:t>.</w:t>
      </w:r>
    </w:p>
  </w:footnote>
  <w:footnote w:id="55">
    <w:p w14:paraId="615CDE3C" w14:textId="77777777"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w:t>
      </w:r>
      <w:proofErr w:type="spellStart"/>
      <w:r w:rsidRPr="007010B4">
        <w:rPr>
          <w:sz w:val="20"/>
          <w:szCs w:val="20"/>
        </w:rPr>
        <w:t>Hallock</w:t>
      </w:r>
      <w:proofErr w:type="spellEnd"/>
      <w:r w:rsidRPr="007010B4">
        <w:rPr>
          <w:sz w:val="20"/>
          <w:szCs w:val="20"/>
        </w:rPr>
        <w:t xml:space="preserve">, Jeffrey, and Ben </w:t>
      </w:r>
      <w:proofErr w:type="spellStart"/>
      <w:r w:rsidRPr="007010B4">
        <w:rPr>
          <w:sz w:val="20"/>
          <w:szCs w:val="20"/>
        </w:rPr>
        <w:t>Corson</w:t>
      </w:r>
      <w:proofErr w:type="spellEnd"/>
      <w:r w:rsidRPr="007010B4">
        <w:rPr>
          <w:sz w:val="20"/>
          <w:szCs w:val="20"/>
        </w:rPr>
        <w:t xml:space="preserve">. “Intersecting Crises: Pandemic and Hurricanes Add to Political Instability Driving Migration from Honduras.” Migration Policy Institute, June 10, 2021. </w:t>
      </w:r>
      <w:hyperlink r:id="rId43">
        <w:r w:rsidRPr="007010B4">
          <w:rPr>
            <w:color w:val="0000FF"/>
            <w:sz w:val="20"/>
            <w:szCs w:val="20"/>
            <w:u w:val="single"/>
          </w:rPr>
          <w:t>https://www.migrationpolicy.org/article/pandemic-hurricanes-political-instability-migration-honduras</w:t>
        </w:r>
      </w:hyperlink>
      <w:r w:rsidRPr="007010B4">
        <w:rPr>
          <w:sz w:val="20"/>
          <w:szCs w:val="20"/>
        </w:rPr>
        <w:t xml:space="preserve">. ; </w:t>
      </w:r>
      <w:proofErr w:type="spellStart"/>
      <w:r w:rsidRPr="007010B4">
        <w:rPr>
          <w:sz w:val="20"/>
          <w:szCs w:val="20"/>
        </w:rPr>
        <w:t>Turcios</w:t>
      </w:r>
      <w:proofErr w:type="spellEnd"/>
      <w:r w:rsidRPr="007010B4">
        <w:rPr>
          <w:sz w:val="20"/>
          <w:szCs w:val="20"/>
        </w:rPr>
        <w:t xml:space="preserve">, </w:t>
      </w:r>
      <w:proofErr w:type="spellStart"/>
      <w:r w:rsidRPr="007010B4">
        <w:rPr>
          <w:sz w:val="20"/>
          <w:szCs w:val="20"/>
        </w:rPr>
        <w:t>Ilma</w:t>
      </w:r>
      <w:proofErr w:type="spellEnd"/>
      <w:r w:rsidRPr="007010B4">
        <w:rPr>
          <w:sz w:val="20"/>
          <w:szCs w:val="20"/>
        </w:rPr>
        <w:t xml:space="preserve">. “Poverty as a Pipeline to </w:t>
      </w:r>
      <w:proofErr w:type="spellStart"/>
      <w:r w:rsidRPr="007010B4">
        <w:rPr>
          <w:sz w:val="20"/>
          <w:szCs w:val="20"/>
        </w:rPr>
        <w:t>Femicide</w:t>
      </w:r>
      <w:proofErr w:type="spellEnd"/>
      <w:r w:rsidRPr="007010B4">
        <w:rPr>
          <w:sz w:val="20"/>
          <w:szCs w:val="20"/>
        </w:rPr>
        <w:t xml:space="preserve"> in Honduras- </w:t>
      </w:r>
      <w:proofErr w:type="spellStart"/>
      <w:r w:rsidRPr="007010B4">
        <w:rPr>
          <w:sz w:val="20"/>
          <w:szCs w:val="20"/>
        </w:rPr>
        <w:t>Ilma</w:t>
      </w:r>
      <w:proofErr w:type="spellEnd"/>
      <w:r w:rsidRPr="007010B4">
        <w:rPr>
          <w:sz w:val="20"/>
          <w:szCs w:val="20"/>
        </w:rPr>
        <w:t xml:space="preserve"> </w:t>
      </w:r>
      <w:proofErr w:type="spellStart"/>
      <w:r w:rsidRPr="007010B4">
        <w:rPr>
          <w:sz w:val="20"/>
          <w:szCs w:val="20"/>
        </w:rPr>
        <w:t>Turcios</w:t>
      </w:r>
      <w:proofErr w:type="spellEnd"/>
      <w:r w:rsidRPr="007010B4">
        <w:rPr>
          <w:sz w:val="20"/>
          <w:szCs w:val="20"/>
        </w:rPr>
        <w:t xml:space="preserve">.” In Development in Latin America: An Examination of Women’s Autonomy, edited by Esther Hernández-Medina. Claremont Colleges Library, 2021. </w:t>
      </w:r>
      <w:hyperlink r:id="rId44">
        <w:r w:rsidRPr="007010B4">
          <w:rPr>
            <w:color w:val="1155CC"/>
            <w:sz w:val="20"/>
            <w:szCs w:val="20"/>
            <w:u w:val="single"/>
          </w:rPr>
          <w:t>https://pressbooks.claremont.edu/soc189pom001/chapter/ilma-relationship-between-womens-poverty-and-feminicides-in-honduras/</w:t>
        </w:r>
      </w:hyperlink>
      <w:r w:rsidRPr="007010B4">
        <w:rPr>
          <w:sz w:val="20"/>
          <w:szCs w:val="20"/>
        </w:rPr>
        <w:t>.</w:t>
      </w:r>
    </w:p>
  </w:footnote>
  <w:footnote w:id="56">
    <w:p w14:paraId="42C69BD5" w14:textId="77777777"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w:t>
      </w:r>
      <w:proofErr w:type="spellStart"/>
      <w:r w:rsidRPr="007010B4">
        <w:rPr>
          <w:sz w:val="20"/>
          <w:szCs w:val="20"/>
        </w:rPr>
        <w:t>Hallock</w:t>
      </w:r>
      <w:proofErr w:type="spellEnd"/>
      <w:r w:rsidRPr="007010B4">
        <w:rPr>
          <w:sz w:val="20"/>
          <w:szCs w:val="20"/>
        </w:rPr>
        <w:t xml:space="preserve">, Jeffrey, and Ben </w:t>
      </w:r>
      <w:proofErr w:type="spellStart"/>
      <w:r w:rsidRPr="007010B4">
        <w:rPr>
          <w:sz w:val="20"/>
          <w:szCs w:val="20"/>
        </w:rPr>
        <w:t>Corson</w:t>
      </w:r>
      <w:proofErr w:type="spellEnd"/>
      <w:r w:rsidRPr="007010B4">
        <w:rPr>
          <w:sz w:val="20"/>
          <w:szCs w:val="20"/>
        </w:rPr>
        <w:t xml:space="preserve">. “Intersecting Crises: Pandemic and Hurricanes Add to Political Instability Driving Migration from Honduras.” Migration Policy Institute, June 10, 2021. </w:t>
      </w:r>
      <w:hyperlink r:id="rId45">
        <w:r w:rsidRPr="007010B4">
          <w:rPr>
            <w:color w:val="1155CC"/>
            <w:sz w:val="20"/>
            <w:szCs w:val="20"/>
            <w:u w:val="single"/>
          </w:rPr>
          <w:t>https://www.migrationpolicy.org/article/pandemic-hurricanes-political-instability-migration-honduras</w:t>
        </w:r>
      </w:hyperlink>
      <w:r w:rsidRPr="007010B4">
        <w:rPr>
          <w:sz w:val="20"/>
          <w:szCs w:val="20"/>
        </w:rPr>
        <w:t>.</w:t>
      </w:r>
    </w:p>
  </w:footnote>
  <w:footnote w:id="57">
    <w:p w14:paraId="585513C4" w14:textId="77777777"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Fundación ETEA. “Why Are We Fighting for a Law on Safe Houses in Honduras?” Fundación ETEA </w:t>
      </w:r>
      <w:proofErr w:type="spellStart"/>
      <w:r w:rsidRPr="007010B4">
        <w:rPr>
          <w:sz w:val="20"/>
          <w:szCs w:val="20"/>
        </w:rPr>
        <w:t>Instituto</w:t>
      </w:r>
      <w:proofErr w:type="spellEnd"/>
      <w:r w:rsidRPr="007010B4">
        <w:rPr>
          <w:sz w:val="20"/>
          <w:szCs w:val="20"/>
        </w:rPr>
        <w:t xml:space="preserve"> de </w:t>
      </w:r>
      <w:proofErr w:type="spellStart"/>
      <w:r w:rsidRPr="007010B4">
        <w:rPr>
          <w:sz w:val="20"/>
          <w:szCs w:val="20"/>
        </w:rPr>
        <w:t>Desarollo</w:t>
      </w:r>
      <w:proofErr w:type="spellEnd"/>
      <w:r w:rsidRPr="007010B4">
        <w:rPr>
          <w:sz w:val="20"/>
          <w:szCs w:val="20"/>
        </w:rPr>
        <w:t xml:space="preserve"> Universidad Loyola (blog), August 18, 2022. </w:t>
      </w:r>
      <w:hyperlink r:id="rId46">
        <w:r w:rsidRPr="007010B4">
          <w:rPr>
            <w:color w:val="1155CC"/>
            <w:sz w:val="20"/>
            <w:szCs w:val="20"/>
            <w:u w:val="single"/>
          </w:rPr>
          <w:t>https://fundacionetea.org/en/2022/08/18/why-are-we-fighting-for-a-law-on-safe-houses-in-honduras/</w:t>
        </w:r>
      </w:hyperlink>
      <w:r w:rsidRPr="007010B4">
        <w:rPr>
          <w:sz w:val="20"/>
          <w:szCs w:val="20"/>
        </w:rPr>
        <w:t>.</w:t>
      </w:r>
    </w:p>
  </w:footnote>
  <w:footnote w:id="58">
    <w:p w14:paraId="52E43ACA" w14:textId="77777777"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Meza, </w:t>
      </w:r>
      <w:proofErr w:type="spellStart"/>
      <w:r w:rsidRPr="007010B4">
        <w:rPr>
          <w:sz w:val="20"/>
          <w:szCs w:val="20"/>
        </w:rPr>
        <w:t>Darlyn</w:t>
      </w:r>
      <w:proofErr w:type="spellEnd"/>
      <w:r w:rsidRPr="007010B4">
        <w:rPr>
          <w:sz w:val="20"/>
          <w:szCs w:val="20"/>
        </w:rPr>
        <w:t xml:space="preserve">, and </w:t>
      </w:r>
      <w:proofErr w:type="spellStart"/>
      <w:r w:rsidRPr="007010B4">
        <w:rPr>
          <w:sz w:val="20"/>
          <w:szCs w:val="20"/>
        </w:rPr>
        <w:t>Nidia</w:t>
      </w:r>
      <w:proofErr w:type="spellEnd"/>
      <w:r w:rsidRPr="007010B4">
        <w:rPr>
          <w:sz w:val="20"/>
          <w:szCs w:val="20"/>
        </w:rPr>
        <w:t xml:space="preserve"> Hidalgo. “</w:t>
      </w:r>
      <w:proofErr w:type="spellStart"/>
      <w:r w:rsidRPr="007010B4">
        <w:rPr>
          <w:sz w:val="20"/>
          <w:szCs w:val="20"/>
        </w:rPr>
        <w:t>Informe</w:t>
      </w:r>
      <w:proofErr w:type="spellEnd"/>
      <w:r w:rsidRPr="007010B4">
        <w:rPr>
          <w:sz w:val="20"/>
          <w:szCs w:val="20"/>
        </w:rPr>
        <w:t xml:space="preserve"> Final: </w:t>
      </w:r>
      <w:proofErr w:type="spellStart"/>
      <w:r w:rsidRPr="007010B4">
        <w:rPr>
          <w:sz w:val="20"/>
          <w:szCs w:val="20"/>
        </w:rPr>
        <w:t>Situación</w:t>
      </w:r>
      <w:proofErr w:type="spellEnd"/>
      <w:r w:rsidRPr="007010B4">
        <w:rPr>
          <w:sz w:val="20"/>
          <w:szCs w:val="20"/>
        </w:rPr>
        <w:t xml:space="preserve">, </w:t>
      </w:r>
      <w:proofErr w:type="spellStart"/>
      <w:r w:rsidRPr="007010B4">
        <w:rPr>
          <w:sz w:val="20"/>
          <w:szCs w:val="20"/>
        </w:rPr>
        <w:t>Fortalezas</w:t>
      </w:r>
      <w:proofErr w:type="spellEnd"/>
      <w:r w:rsidRPr="007010B4">
        <w:rPr>
          <w:sz w:val="20"/>
          <w:szCs w:val="20"/>
        </w:rPr>
        <w:t xml:space="preserve"> y </w:t>
      </w:r>
      <w:proofErr w:type="spellStart"/>
      <w:r w:rsidRPr="007010B4">
        <w:rPr>
          <w:sz w:val="20"/>
          <w:szCs w:val="20"/>
        </w:rPr>
        <w:t>Desafíos</w:t>
      </w:r>
      <w:proofErr w:type="spellEnd"/>
      <w:r w:rsidRPr="007010B4">
        <w:rPr>
          <w:sz w:val="20"/>
          <w:szCs w:val="20"/>
        </w:rPr>
        <w:t xml:space="preserve"> Del </w:t>
      </w:r>
      <w:proofErr w:type="spellStart"/>
      <w:r w:rsidRPr="007010B4">
        <w:rPr>
          <w:sz w:val="20"/>
          <w:szCs w:val="20"/>
        </w:rPr>
        <w:t>Programa</w:t>
      </w:r>
      <w:proofErr w:type="spellEnd"/>
      <w:r w:rsidRPr="007010B4">
        <w:rPr>
          <w:sz w:val="20"/>
          <w:szCs w:val="20"/>
        </w:rPr>
        <w:t xml:space="preserve"> Ciudad </w:t>
      </w:r>
      <w:proofErr w:type="spellStart"/>
      <w:r w:rsidRPr="007010B4">
        <w:rPr>
          <w:sz w:val="20"/>
          <w:szCs w:val="20"/>
        </w:rPr>
        <w:t>Mujer</w:t>
      </w:r>
      <w:proofErr w:type="spellEnd"/>
      <w:r w:rsidRPr="007010B4">
        <w:rPr>
          <w:sz w:val="20"/>
          <w:szCs w:val="20"/>
        </w:rPr>
        <w:t xml:space="preserve"> Honduras,” 5–40. </w:t>
      </w:r>
      <w:proofErr w:type="spellStart"/>
      <w:r w:rsidRPr="007010B4">
        <w:rPr>
          <w:sz w:val="20"/>
          <w:szCs w:val="20"/>
        </w:rPr>
        <w:t>Equipo</w:t>
      </w:r>
      <w:proofErr w:type="spellEnd"/>
      <w:r w:rsidRPr="007010B4">
        <w:rPr>
          <w:sz w:val="20"/>
          <w:szCs w:val="20"/>
        </w:rPr>
        <w:t xml:space="preserve"> </w:t>
      </w:r>
      <w:proofErr w:type="spellStart"/>
      <w:r w:rsidRPr="007010B4">
        <w:rPr>
          <w:sz w:val="20"/>
          <w:szCs w:val="20"/>
        </w:rPr>
        <w:t>Contrapate</w:t>
      </w:r>
      <w:proofErr w:type="spellEnd"/>
      <w:r w:rsidRPr="007010B4">
        <w:rPr>
          <w:sz w:val="20"/>
          <w:szCs w:val="20"/>
        </w:rPr>
        <w:t xml:space="preserve"> Del </w:t>
      </w:r>
      <w:proofErr w:type="spellStart"/>
      <w:r w:rsidRPr="007010B4">
        <w:rPr>
          <w:sz w:val="20"/>
          <w:szCs w:val="20"/>
        </w:rPr>
        <w:t>Programa</w:t>
      </w:r>
      <w:proofErr w:type="spellEnd"/>
      <w:r w:rsidRPr="007010B4">
        <w:rPr>
          <w:sz w:val="20"/>
          <w:szCs w:val="20"/>
        </w:rPr>
        <w:t xml:space="preserve"> Ciudad </w:t>
      </w:r>
      <w:proofErr w:type="spellStart"/>
      <w:r w:rsidRPr="007010B4">
        <w:rPr>
          <w:sz w:val="20"/>
          <w:szCs w:val="20"/>
        </w:rPr>
        <w:t>Mujer</w:t>
      </w:r>
      <w:proofErr w:type="spellEnd"/>
      <w:r w:rsidRPr="007010B4">
        <w:rPr>
          <w:sz w:val="20"/>
          <w:szCs w:val="20"/>
        </w:rPr>
        <w:t xml:space="preserve"> Honduras, 2018. </w:t>
      </w:r>
      <w:hyperlink r:id="rId47">
        <w:r w:rsidRPr="007010B4">
          <w:rPr>
            <w:color w:val="1155CC"/>
            <w:sz w:val="20"/>
            <w:szCs w:val="20"/>
            <w:u w:val="single"/>
          </w:rPr>
          <w:t>https://www.researchgate.net/profile/Darlyn-Meza/publication/349963425_Situacion_fortalezas_y_desafios_del_Programa_Ciudad_Mujer_Honduras/links/60498ecd45851543166b8ce3/Situacion-fortalezas-y-desafios-del-Programa-Ciudad-Mujer-Honduras.pdf?_tp=eyJjb250ZXh0Ijp7ImZpcnN0UGFnZSI6InB1YmxpY2F0aW9uIiwicGFnZSI6InB1YmxpY2F0aW9uIn19</w:t>
        </w:r>
      </w:hyperlink>
    </w:p>
  </w:footnote>
  <w:footnote w:id="59">
    <w:p w14:paraId="18B04980" w14:textId="77777777" w:rsidR="00F17B03" w:rsidRPr="007010B4"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Ibid. </w:t>
      </w:r>
    </w:p>
  </w:footnote>
  <w:footnote w:id="60">
    <w:p w14:paraId="3E007F7A" w14:textId="77777777" w:rsidR="00F17B03" w:rsidRDefault="00F17B03" w:rsidP="00347268">
      <w:pPr>
        <w:spacing w:line="240" w:lineRule="auto"/>
        <w:rPr>
          <w:sz w:val="20"/>
          <w:szCs w:val="20"/>
        </w:rPr>
      </w:pPr>
      <w:r w:rsidRPr="007010B4">
        <w:rPr>
          <w:sz w:val="20"/>
          <w:szCs w:val="20"/>
          <w:vertAlign w:val="superscript"/>
        </w:rPr>
        <w:footnoteRef/>
      </w:r>
      <w:r w:rsidRPr="007010B4">
        <w:rPr>
          <w:sz w:val="20"/>
          <w:szCs w:val="20"/>
        </w:rP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00C8B0"/>
      <w:tblCellMar>
        <w:top w:w="115" w:type="dxa"/>
        <w:left w:w="115" w:type="dxa"/>
        <w:bottom w:w="115" w:type="dxa"/>
        <w:right w:w="115" w:type="dxa"/>
      </w:tblCellMar>
      <w:tblLook w:val="04A0" w:firstRow="1" w:lastRow="0" w:firstColumn="1" w:lastColumn="0" w:noHBand="0" w:noVBand="1"/>
    </w:tblPr>
    <w:tblGrid>
      <w:gridCol w:w="8848"/>
      <w:gridCol w:w="236"/>
    </w:tblGrid>
    <w:tr w:rsidR="00503B9B" w14:paraId="4BDB6DE3" w14:textId="77777777" w:rsidTr="001200C3">
      <w:trPr>
        <w:jc w:val="right"/>
      </w:trPr>
      <w:tc>
        <w:tcPr>
          <w:tcW w:w="0" w:type="auto"/>
          <w:shd w:val="clear" w:color="auto" w:fill="00C8B0"/>
          <w:vAlign w:val="center"/>
        </w:tcPr>
        <w:p w14:paraId="698AE6C5" w14:textId="531A7223" w:rsidR="002F2C5D" w:rsidRPr="00347268" w:rsidRDefault="00503B9B" w:rsidP="00B63BFB">
          <w:pPr>
            <w:pStyle w:val="stBilgi"/>
            <w:rPr>
              <w:b/>
              <w:bCs/>
              <w:caps/>
              <w:color w:val="FFFFFF" w:themeColor="background1"/>
              <w:sz w:val="18"/>
              <w:szCs w:val="18"/>
              <w:lang w:val="en-AE"/>
            </w:rPr>
          </w:pPr>
          <w:r w:rsidRPr="00347268">
            <w:rPr>
              <w:b/>
              <w:bCs/>
              <w:caps/>
              <w:color w:val="FFFFFF" w:themeColor="background1"/>
              <w:sz w:val="18"/>
              <w:szCs w:val="18"/>
              <w:lang w:val="en-AE"/>
            </w:rPr>
            <w:t>Follow-up to the Working Group on discrimination against women and girls’ country visits to Kyrgyzstan, Romania, Greece, Poland, Honduras, Chad, Samoa, Kuwait and Hungary</w:t>
          </w:r>
        </w:p>
      </w:tc>
      <w:tc>
        <w:tcPr>
          <w:tcW w:w="0" w:type="auto"/>
          <w:shd w:val="clear" w:color="auto" w:fill="00C8B0"/>
          <w:vAlign w:val="center"/>
        </w:tcPr>
        <w:p w14:paraId="10C40AB5" w14:textId="18270E24" w:rsidR="002F2C5D" w:rsidRPr="000630F9" w:rsidRDefault="002F2C5D" w:rsidP="00377371">
          <w:pPr>
            <w:pStyle w:val="stBilgi"/>
            <w:jc w:val="right"/>
            <w:rPr>
              <w:caps/>
              <w:color w:val="FFFFFF" w:themeColor="background1"/>
            </w:rPr>
          </w:pPr>
        </w:p>
      </w:tc>
    </w:tr>
  </w:tbl>
  <w:p w14:paraId="3C1376C8" w14:textId="7210BD55" w:rsidR="002F2C5D" w:rsidRDefault="002F2C5D">
    <w:pPr>
      <w:pStyle w:val="stBilgi"/>
    </w:pPr>
    <w:r w:rsidRPr="00F27C5C">
      <w:rPr>
        <w:noProof/>
        <w:sz w:val="2"/>
        <w:szCs w:val="2"/>
        <w:lang w:eastAsia="en-GB"/>
      </w:rPr>
      <mc:AlternateContent>
        <mc:Choice Requires="wps">
          <w:drawing>
            <wp:anchor distT="0" distB="0" distL="114300" distR="114300" simplePos="0" relativeHeight="251663360" behindDoc="0" locked="0" layoutInCell="1" allowOverlap="1" wp14:anchorId="182AF887" wp14:editId="7479A437">
              <wp:simplePos x="0" y="0"/>
              <wp:positionH relativeFrom="page">
                <wp:posOffset>895350</wp:posOffset>
              </wp:positionH>
              <wp:positionV relativeFrom="page">
                <wp:posOffset>257175</wp:posOffset>
              </wp:positionV>
              <wp:extent cx="4724400" cy="200025"/>
              <wp:effectExtent l="0" t="0" r="0" b="9525"/>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244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20A6B" w14:textId="62BE5E5E" w:rsidR="002F2C5D" w:rsidRPr="00387B8C" w:rsidRDefault="002F2C5D" w:rsidP="00DF4F8B">
                          <w:pPr>
                            <w:tabs>
                              <w:tab w:val="left" w:pos="1638"/>
                            </w:tabs>
                            <w:spacing w:line="245" w:lineRule="exact"/>
                            <w:ind w:left="20"/>
                            <w:rPr>
                              <w:b/>
                            </w:rPr>
                          </w:pPr>
                          <w:r w:rsidRPr="000630F9">
                            <w:rPr>
                              <w:b/>
                            </w:rPr>
                            <w:t xml:space="preserve">CALL FOR INPUT | </w:t>
                          </w:r>
                          <w:r w:rsidR="00347268" w:rsidRPr="00347268">
                            <w:rPr>
                              <w:b/>
                            </w:rPr>
                            <w:t>SPECIAL 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AF887" id="_x0000_t202" coordsize="21600,21600" o:spt="202" path="m,l,21600r21600,l21600,xe">
              <v:stroke joinstyle="miter"/>
              <v:path gradientshapeok="t" o:connecttype="rect"/>
            </v:shapetype>
            <v:shape id="Text Box 1" o:spid="_x0000_s1026" type="#_x0000_t202" style="position:absolute;margin-left:70.5pt;margin-top:20.25pt;width:372pt;height:15.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" filled="f" stroked="f">
              <v:path arrowok="t"/>
              <v:textbox inset="0,0,0,0">
                <w:txbxContent>
                  <w:p w14:paraId="2FB20A6B" w14:textId="62BE5E5E" w:rsidR="002F2C5D" w:rsidRPr="00387B8C" w:rsidRDefault="002F2C5D" w:rsidP="00DF4F8B">
                    <w:pPr>
                      <w:tabs>
                        <w:tab w:val="left" w:pos="1638"/>
                      </w:tabs>
                      <w:spacing w:line="245" w:lineRule="exact"/>
                      <w:ind w:left="20"/>
                      <w:rPr>
                        <w:b/>
                      </w:rPr>
                    </w:pPr>
                    <w:r w:rsidRPr="000630F9">
                      <w:rPr>
                        <w:b/>
                      </w:rPr>
                      <w:t xml:space="preserve">CALL FOR INPUT | </w:t>
                    </w:r>
                    <w:r w:rsidR="00347268" w:rsidRPr="00347268">
                      <w:rPr>
                        <w:b/>
                      </w:rPr>
                      <w:t>SPECIAL PROCEDURES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C4E57" w14:textId="1BC51058" w:rsidR="002F2C5D" w:rsidRDefault="002F2C5D">
    <w:pPr>
      <w:pStyle w:val="stBilgi"/>
    </w:pPr>
    <w:r w:rsidRPr="00DF4F8B">
      <w:rPr>
        <w:noProof/>
        <w:lang w:eastAsia="en-GB"/>
      </w:rPr>
      <w:drawing>
        <wp:anchor distT="0" distB="0" distL="114300" distR="114300" simplePos="0" relativeHeight="251659264" behindDoc="0" locked="0" layoutInCell="1" allowOverlap="1" wp14:anchorId="06C3FB56" wp14:editId="3C27011D">
          <wp:simplePos x="0" y="0"/>
          <wp:positionH relativeFrom="column">
            <wp:posOffset>-914400</wp:posOffset>
          </wp:positionH>
          <wp:positionV relativeFrom="paragraph">
            <wp:posOffset>-438150</wp:posOffset>
          </wp:positionV>
          <wp:extent cx="2602865" cy="10674985"/>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jpeg"/>
                  <pic:cNvPicPr>
                    <a:picLocks noChangeAspect="1"/>
                  </pic:cNvPicPr>
                </pic:nvPicPr>
                <pic:blipFill>
                  <a:blip r:embed="rId1" cstate="print"/>
                  <a:stretch>
                    <a:fillRect/>
                  </a:stretch>
                </pic:blipFill>
                <pic:spPr>
                  <a:xfrm>
                    <a:off x="0" y="0"/>
                    <a:ext cx="2602865" cy="10674985"/>
                  </a:xfrm>
                  <a:prstGeom prst="rect">
                    <a:avLst/>
                  </a:prstGeom>
                </pic:spPr>
              </pic:pic>
            </a:graphicData>
          </a:graphic>
        </wp:anchor>
      </w:drawing>
    </w:r>
    <w:r w:rsidRPr="00DF4F8B">
      <w:rPr>
        <w:noProof/>
        <w:lang w:eastAsia="en-GB"/>
      </w:rPr>
      <mc:AlternateContent>
        <mc:Choice Requires="wps">
          <w:drawing>
            <wp:anchor distT="0" distB="0" distL="114300" distR="114300" simplePos="0" relativeHeight="251661312" behindDoc="0" locked="0" layoutInCell="1" allowOverlap="1" wp14:anchorId="1335A944" wp14:editId="5BBAB4D0">
              <wp:simplePos x="0" y="0"/>
              <wp:positionH relativeFrom="column">
                <wp:posOffset>-885825</wp:posOffset>
              </wp:positionH>
              <wp:positionV relativeFrom="paragraph">
                <wp:posOffset>7981950</wp:posOffset>
              </wp:positionV>
              <wp:extent cx="2561590" cy="1779270"/>
              <wp:effectExtent l="0" t="0" r="0"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1590" cy="1779270"/>
                      </a:xfrm>
                      <a:prstGeom prst="rect">
                        <a:avLst/>
                      </a:prstGeom>
                      <a:noFill/>
                      <a:ln w="9525">
                        <a:noFill/>
                        <a:miter lim="800000"/>
                        <a:headEnd/>
                        <a:tailEnd/>
                      </a:ln>
                    </wps:spPr>
                    <wps:txbx>
                      <w:txbxContent>
                        <w:p w14:paraId="7FD9D0E5" w14:textId="77777777" w:rsidR="002F2C5D" w:rsidRPr="005A5A60" w:rsidRDefault="002F2C5D" w:rsidP="00DF4F8B">
                          <w:pPr>
                            <w:ind w:right="53"/>
                            <w:jc w:val="center"/>
                            <w:rPr>
                              <w:rFonts w:eastAsia="Adobe Devanagari" w:cstheme="minorHAnsi"/>
                              <w:b/>
                              <w:color w:val="FFFFFF" w:themeColor="background1"/>
                              <w:sz w:val="28"/>
                              <w:szCs w:val="28"/>
                              <w:lang w:val="nl-NL"/>
                            </w:rPr>
                          </w:pPr>
                          <w:r w:rsidRPr="005A5A60">
                            <w:rPr>
                              <w:rFonts w:eastAsia="Adobe Devanagari" w:cstheme="minorHAnsi"/>
                              <w:b/>
                              <w:color w:val="FFFFFF" w:themeColor="background1"/>
                              <w:sz w:val="28"/>
                              <w:szCs w:val="28"/>
                              <w:lang w:val="nl-NL"/>
                            </w:rPr>
                            <w:t>Kingsfordweg 151, 1043 GR</w:t>
                          </w:r>
                        </w:p>
                        <w:p w14:paraId="622FEE34" w14:textId="77777777" w:rsidR="002F2C5D" w:rsidRPr="005A5A60" w:rsidRDefault="002F2C5D" w:rsidP="00DF4F8B">
                          <w:pPr>
                            <w:ind w:right="53"/>
                            <w:jc w:val="center"/>
                            <w:rPr>
                              <w:rFonts w:eastAsia="Adobe Devanagari" w:cstheme="minorHAnsi"/>
                              <w:b/>
                              <w:color w:val="FFFFFF" w:themeColor="background1"/>
                              <w:sz w:val="28"/>
                              <w:szCs w:val="28"/>
                              <w:lang w:val="nl-NL"/>
                            </w:rPr>
                          </w:pPr>
                          <w:r w:rsidRPr="005A5A60">
                            <w:rPr>
                              <w:rFonts w:eastAsia="Adobe Devanagari" w:cstheme="minorHAnsi"/>
                              <w:b/>
                              <w:color w:val="FFFFFF" w:themeColor="background1"/>
                              <w:sz w:val="28"/>
                              <w:szCs w:val="28"/>
                              <w:lang w:val="nl-NL"/>
                            </w:rPr>
                            <w:t>Amsterdam, Netherlands</w:t>
                          </w:r>
                        </w:p>
                        <w:p w14:paraId="63D23B66" w14:textId="77777777" w:rsidR="002F2C5D" w:rsidRPr="005A5A60" w:rsidRDefault="002F2C5D" w:rsidP="00DF4F8B">
                          <w:pPr>
                            <w:ind w:right="53"/>
                            <w:jc w:val="center"/>
                            <w:rPr>
                              <w:rFonts w:cstheme="minorHAnsi"/>
                              <w:color w:val="FFFFFF" w:themeColor="background1"/>
                              <w:spacing w:val="53"/>
                              <w:sz w:val="28"/>
                              <w:szCs w:val="28"/>
                              <w:lang w:val="nl-NL"/>
                            </w:rPr>
                          </w:pPr>
                          <w:r w:rsidRPr="005A5A60">
                            <w:rPr>
                              <w:rFonts w:cstheme="minorHAnsi"/>
                              <w:color w:val="FFFFFF" w:themeColor="background1"/>
                              <w:sz w:val="28"/>
                              <w:szCs w:val="28"/>
                              <w:lang w:val="nl-NL"/>
                            </w:rPr>
                            <w:t>+31687406567</w:t>
                          </w:r>
                        </w:p>
                        <w:p w14:paraId="133D9139" w14:textId="77777777" w:rsidR="002F2C5D" w:rsidRPr="005A5A60" w:rsidRDefault="003E45F4" w:rsidP="00DF4F8B">
                          <w:pPr>
                            <w:ind w:right="53"/>
                            <w:jc w:val="center"/>
                            <w:rPr>
                              <w:rFonts w:cstheme="minorHAnsi"/>
                              <w:color w:val="FFFFFF" w:themeColor="background1"/>
                              <w:spacing w:val="1"/>
                              <w:sz w:val="28"/>
                              <w:szCs w:val="28"/>
                              <w:lang w:val="nl-NL"/>
                            </w:rPr>
                          </w:pPr>
                          <w:hyperlink r:id="rId2" w:history="1">
                            <w:r w:rsidR="002F2C5D" w:rsidRPr="005A5A60">
                              <w:rPr>
                                <w:rFonts w:cstheme="minorHAnsi"/>
                                <w:color w:val="FFFFFF" w:themeColor="background1"/>
                                <w:sz w:val="28"/>
                                <w:szCs w:val="28"/>
                                <w:u w:color="000000"/>
                                <w:lang w:val="nl-NL"/>
                              </w:rPr>
                              <w:t>upr@brokenchalk.org</w:t>
                            </w:r>
                          </w:hyperlink>
                        </w:p>
                        <w:p w14:paraId="3BF8F107" w14:textId="77777777" w:rsidR="002F2C5D" w:rsidRPr="005A5A60" w:rsidRDefault="003E45F4" w:rsidP="00DF4F8B">
                          <w:pPr>
                            <w:ind w:right="53"/>
                            <w:jc w:val="center"/>
                            <w:rPr>
                              <w:rFonts w:eastAsia="Adobe Devanagari" w:cstheme="minorHAnsi"/>
                              <w:b/>
                              <w:color w:val="FFFFFF" w:themeColor="background1"/>
                              <w:sz w:val="28"/>
                              <w:szCs w:val="28"/>
                              <w:lang w:val="nl-NL"/>
                            </w:rPr>
                          </w:pPr>
                          <w:hyperlink r:id="rId3">
                            <w:r w:rsidR="002F2C5D" w:rsidRPr="005A5A60">
                              <w:rPr>
                                <w:rFonts w:cstheme="minorHAnsi"/>
                                <w:color w:val="FFFFFF" w:themeColor="background1"/>
                                <w:sz w:val="28"/>
                                <w:szCs w:val="28"/>
                                <w:u w:val="single" w:color="000000"/>
                                <w:lang w:val="nl-NL"/>
                              </w:rPr>
                              <w:t>www.brokenchalk.org</w:t>
                            </w:r>
                          </w:hyperlink>
                        </w:p>
                      </w:txbxContent>
                    </wps:txbx>
                    <wps:bodyPr rot="0" vert="horz" wrap="square" lIns="91440" tIns="45720" rIns="91440" bIns="45720" anchor="t" anchorCtr="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35A944" id="_x0000_t202" coordsize="21600,21600" o:spt="202" path="m,l,21600r21600,l21600,xe">
              <v:stroke joinstyle="miter"/>
              <v:path gradientshapeok="t" o:connecttype="rect"/>
            </v:shapetype>
            <v:shape id="Metin Kutusu 2" o:spid="_x0000_s1027" type="#_x0000_t202" style="position:absolute;margin-left:-69.75pt;margin-top:628.5pt;width:201.7pt;height:140.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" filled="f" stroked="f">
              <v:textbox style="mso-fit-shape-to-text:t">
                <w:txbxContent>
                  <w:p w14:paraId="7FD9D0E5" w14:textId="77777777" w:rsidR="002F2C5D" w:rsidRPr="005A5A60" w:rsidRDefault="002F2C5D" w:rsidP="00DF4F8B">
                    <w:pPr>
                      <w:ind w:right="53"/>
                      <w:jc w:val="center"/>
                      <w:rPr>
                        <w:rFonts w:eastAsia="Adobe Devanagari" w:cstheme="minorHAnsi"/>
                        <w:b/>
                        <w:color w:val="FFFFFF" w:themeColor="background1"/>
                        <w:sz w:val="28"/>
                        <w:szCs w:val="28"/>
                        <w:lang w:val="nl-NL"/>
                      </w:rPr>
                    </w:pPr>
                    <w:proofErr w:type="spellStart"/>
                    <w:r w:rsidRPr="005A5A60">
                      <w:rPr>
                        <w:rFonts w:eastAsia="Adobe Devanagari" w:cstheme="minorHAnsi"/>
                        <w:b/>
                        <w:color w:val="FFFFFF" w:themeColor="background1"/>
                        <w:sz w:val="28"/>
                        <w:szCs w:val="28"/>
                        <w:lang w:val="nl-NL"/>
                      </w:rPr>
                      <w:t>Kingsfordweg</w:t>
                    </w:r>
                    <w:proofErr w:type="spellEnd"/>
                    <w:r w:rsidRPr="005A5A60">
                      <w:rPr>
                        <w:rFonts w:eastAsia="Adobe Devanagari" w:cstheme="minorHAnsi"/>
                        <w:b/>
                        <w:color w:val="FFFFFF" w:themeColor="background1"/>
                        <w:sz w:val="28"/>
                        <w:szCs w:val="28"/>
                        <w:lang w:val="nl-NL"/>
                      </w:rPr>
                      <w:t xml:space="preserve"> 151, 1043 GR</w:t>
                    </w:r>
                  </w:p>
                  <w:p w14:paraId="622FEE34" w14:textId="77777777" w:rsidR="002F2C5D" w:rsidRPr="005A5A60" w:rsidRDefault="002F2C5D" w:rsidP="00DF4F8B">
                    <w:pPr>
                      <w:ind w:right="53"/>
                      <w:jc w:val="center"/>
                      <w:rPr>
                        <w:rFonts w:eastAsia="Adobe Devanagari" w:cstheme="minorHAnsi"/>
                        <w:b/>
                        <w:color w:val="FFFFFF" w:themeColor="background1"/>
                        <w:sz w:val="28"/>
                        <w:szCs w:val="28"/>
                        <w:lang w:val="nl-NL"/>
                      </w:rPr>
                    </w:pPr>
                    <w:r w:rsidRPr="005A5A60">
                      <w:rPr>
                        <w:rFonts w:eastAsia="Adobe Devanagari" w:cstheme="minorHAnsi"/>
                        <w:b/>
                        <w:color w:val="FFFFFF" w:themeColor="background1"/>
                        <w:sz w:val="28"/>
                        <w:szCs w:val="28"/>
                        <w:lang w:val="nl-NL"/>
                      </w:rPr>
                      <w:t>Amsterdam, Netherlands</w:t>
                    </w:r>
                  </w:p>
                  <w:p w14:paraId="63D23B66" w14:textId="77777777" w:rsidR="002F2C5D" w:rsidRPr="005A5A60" w:rsidRDefault="002F2C5D" w:rsidP="00DF4F8B">
                    <w:pPr>
                      <w:ind w:right="53"/>
                      <w:jc w:val="center"/>
                      <w:rPr>
                        <w:rFonts w:cstheme="minorHAnsi"/>
                        <w:color w:val="FFFFFF" w:themeColor="background1"/>
                        <w:spacing w:val="53"/>
                        <w:sz w:val="28"/>
                        <w:szCs w:val="28"/>
                        <w:lang w:val="nl-NL"/>
                      </w:rPr>
                    </w:pPr>
                    <w:r w:rsidRPr="005A5A60">
                      <w:rPr>
                        <w:rFonts w:cstheme="minorHAnsi"/>
                        <w:color w:val="FFFFFF" w:themeColor="background1"/>
                        <w:sz w:val="28"/>
                        <w:szCs w:val="28"/>
                        <w:lang w:val="nl-NL"/>
                      </w:rPr>
                      <w:t>+31687406567</w:t>
                    </w:r>
                  </w:p>
                  <w:p w14:paraId="133D9139" w14:textId="77777777" w:rsidR="002F2C5D" w:rsidRPr="005A5A60" w:rsidRDefault="00000000" w:rsidP="00DF4F8B">
                    <w:pPr>
                      <w:ind w:right="53"/>
                      <w:jc w:val="center"/>
                      <w:rPr>
                        <w:rFonts w:cstheme="minorHAnsi"/>
                        <w:color w:val="FFFFFF" w:themeColor="background1"/>
                        <w:spacing w:val="1"/>
                        <w:sz w:val="28"/>
                        <w:szCs w:val="28"/>
                        <w:lang w:val="nl-NL"/>
                      </w:rPr>
                    </w:pPr>
                    <w:hyperlink r:id="rId4" w:history="1">
                      <w:r w:rsidR="002F2C5D" w:rsidRPr="005A5A60">
                        <w:rPr>
                          <w:rFonts w:cstheme="minorHAnsi"/>
                          <w:color w:val="FFFFFF" w:themeColor="background1"/>
                          <w:sz w:val="28"/>
                          <w:szCs w:val="28"/>
                          <w:u w:color="000000"/>
                          <w:lang w:val="nl-NL"/>
                        </w:rPr>
                        <w:t>upr@brokenchalk.org</w:t>
                      </w:r>
                    </w:hyperlink>
                  </w:p>
                  <w:p w14:paraId="3BF8F107" w14:textId="77777777" w:rsidR="002F2C5D" w:rsidRPr="005A5A60" w:rsidRDefault="00000000" w:rsidP="00DF4F8B">
                    <w:pPr>
                      <w:ind w:right="53"/>
                      <w:jc w:val="center"/>
                      <w:rPr>
                        <w:rFonts w:eastAsia="Adobe Devanagari" w:cstheme="minorHAnsi"/>
                        <w:b/>
                        <w:color w:val="FFFFFF" w:themeColor="background1"/>
                        <w:sz w:val="28"/>
                        <w:szCs w:val="28"/>
                        <w:lang w:val="nl-NL"/>
                      </w:rPr>
                    </w:pPr>
                    <w:hyperlink r:id="rId5">
                      <w:r w:rsidR="002F2C5D" w:rsidRPr="005A5A60">
                        <w:rPr>
                          <w:rFonts w:cstheme="minorHAnsi"/>
                          <w:color w:val="FFFFFF" w:themeColor="background1"/>
                          <w:sz w:val="28"/>
                          <w:szCs w:val="28"/>
                          <w:u w:val="single" w:color="000000"/>
                          <w:lang w:val="nl-NL"/>
                        </w:rPr>
                        <w:t>www.brokenchalk.org</w:t>
                      </w:r>
                    </w:hyperlink>
                  </w:p>
                </w:txbxContent>
              </v:textbox>
            </v:shape>
          </w:pict>
        </mc:Fallback>
      </mc:AlternateContent>
    </w:r>
    <w:r w:rsidRPr="00DF4F8B">
      <w:rPr>
        <w:noProof/>
        <w:lang w:eastAsia="en-GB"/>
      </w:rPr>
      <w:drawing>
        <wp:anchor distT="0" distB="0" distL="114300" distR="114300" simplePos="0" relativeHeight="251660288" behindDoc="0" locked="0" layoutInCell="1" allowOverlap="1" wp14:anchorId="079E9639" wp14:editId="3F0C57E1">
          <wp:simplePos x="0" y="0"/>
          <wp:positionH relativeFrom="column">
            <wp:posOffset>4581525</wp:posOffset>
          </wp:positionH>
          <wp:positionV relativeFrom="paragraph">
            <wp:posOffset>-133350</wp:posOffset>
          </wp:positionV>
          <wp:extent cx="1661160" cy="736600"/>
          <wp:effectExtent l="0" t="0" r="0" b="0"/>
          <wp:wrapNone/>
          <wp:docPr id="15" name="Imagen 1" descr="About Us - Broken Ch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 1" descr="About Us - Broken Chalk"/>
                  <pic:cNvPicPr>
                    <a:picLocks noChangeAspect="1"/>
                  </pic:cNvPicPr>
                </pic:nvPicPr>
                <pic:blipFill rotWithShape="1">
                  <a:blip r:embed="rId6" cstate="print">
                    <a:extLst>
                      <a:ext uri="{28A0092B-C50C-407E-A947-70E740481C1C}">
                        <a14:useLocalDpi xmlns:a14="http://schemas.microsoft.com/office/drawing/2010/main" val="0"/>
                      </a:ext>
                    </a:extLst>
                  </a:blip>
                  <a:srcRect t="17501" b="19977"/>
                  <a:stretch/>
                </pic:blipFill>
                <pic:spPr bwMode="auto">
                  <a:xfrm>
                    <a:off x="0" y="0"/>
                    <a:ext cx="1661160" cy="7366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023"/>
    <w:multiLevelType w:val="hybridMultilevel"/>
    <w:tmpl w:val="F9DC338A"/>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841A6"/>
    <w:multiLevelType w:val="hybridMultilevel"/>
    <w:tmpl w:val="529A5AEC"/>
    <w:lvl w:ilvl="0" w:tplc="BEBCA40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16C7D"/>
    <w:multiLevelType w:val="hybridMultilevel"/>
    <w:tmpl w:val="691E1BBC"/>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3A5C33"/>
    <w:multiLevelType w:val="hybridMultilevel"/>
    <w:tmpl w:val="7090A4F4"/>
    <w:lvl w:ilvl="0" w:tplc="C016B68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D42155"/>
    <w:multiLevelType w:val="hybridMultilevel"/>
    <w:tmpl w:val="876CC3FC"/>
    <w:lvl w:ilvl="0" w:tplc="0F7ED51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8614FC"/>
    <w:multiLevelType w:val="hybridMultilevel"/>
    <w:tmpl w:val="794026C4"/>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22323"/>
    <w:multiLevelType w:val="hybridMultilevel"/>
    <w:tmpl w:val="E50C8278"/>
    <w:lvl w:ilvl="0" w:tplc="0CFC8A0E">
      <w:start w:val="2"/>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093309"/>
    <w:multiLevelType w:val="hybridMultilevel"/>
    <w:tmpl w:val="3AA2B078"/>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B592F"/>
    <w:multiLevelType w:val="hybridMultilevel"/>
    <w:tmpl w:val="6450BA94"/>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A58E5"/>
    <w:multiLevelType w:val="hybridMultilevel"/>
    <w:tmpl w:val="0FA8E7C2"/>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43571"/>
    <w:multiLevelType w:val="hybridMultilevel"/>
    <w:tmpl w:val="D1B234D6"/>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A5760"/>
    <w:multiLevelType w:val="hybridMultilevel"/>
    <w:tmpl w:val="1E68D032"/>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55EC5"/>
    <w:multiLevelType w:val="hybridMultilevel"/>
    <w:tmpl w:val="EF1C9434"/>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33609F"/>
    <w:multiLevelType w:val="hybridMultilevel"/>
    <w:tmpl w:val="E4EA8D9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E41BC7"/>
    <w:multiLevelType w:val="hybridMultilevel"/>
    <w:tmpl w:val="B604311A"/>
    <w:lvl w:ilvl="0" w:tplc="E4C041A2">
      <w:start w:val="1"/>
      <w:numFmt w:val="bullet"/>
      <w:lvlText w:val=""/>
      <w:lvlJc w:val="left"/>
      <w:pPr>
        <w:ind w:left="720" w:hanging="360"/>
      </w:pPr>
      <w:rPr>
        <w:rFonts w:ascii="Symbol" w:hAnsi="Symbol"/>
      </w:rPr>
    </w:lvl>
    <w:lvl w:ilvl="1" w:tplc="563A5DA4" w:tentative="1">
      <w:start w:val="1"/>
      <w:numFmt w:val="bullet"/>
      <w:lvlText w:val="o"/>
      <w:lvlJc w:val="left"/>
      <w:pPr>
        <w:ind w:left="1440" w:hanging="360"/>
      </w:pPr>
      <w:rPr>
        <w:rFonts w:ascii="Courier New" w:hAnsi="Courier New" w:cs="Courier New"/>
      </w:rPr>
    </w:lvl>
    <w:lvl w:ilvl="2" w:tplc="F5880D1C" w:tentative="1">
      <w:start w:val="1"/>
      <w:numFmt w:val="bullet"/>
      <w:lvlText w:val=""/>
      <w:lvlJc w:val="left"/>
      <w:pPr>
        <w:ind w:left="2160" w:hanging="360"/>
      </w:pPr>
      <w:rPr>
        <w:rFonts w:ascii="Wingdings" w:hAnsi="Wingdings"/>
      </w:rPr>
    </w:lvl>
    <w:lvl w:ilvl="3" w:tplc="58960984" w:tentative="1">
      <w:start w:val="1"/>
      <w:numFmt w:val="bullet"/>
      <w:lvlText w:val=""/>
      <w:lvlJc w:val="left"/>
      <w:pPr>
        <w:ind w:left="2880" w:hanging="360"/>
      </w:pPr>
      <w:rPr>
        <w:rFonts w:ascii="Symbol" w:hAnsi="Symbol"/>
      </w:rPr>
    </w:lvl>
    <w:lvl w:ilvl="4" w:tplc="86FE6856" w:tentative="1">
      <w:start w:val="1"/>
      <w:numFmt w:val="bullet"/>
      <w:lvlText w:val="o"/>
      <w:lvlJc w:val="left"/>
      <w:pPr>
        <w:ind w:left="3600" w:hanging="360"/>
      </w:pPr>
      <w:rPr>
        <w:rFonts w:ascii="Courier New" w:hAnsi="Courier New" w:cs="Courier New"/>
      </w:rPr>
    </w:lvl>
    <w:lvl w:ilvl="5" w:tplc="2DFA447A" w:tentative="1">
      <w:start w:val="1"/>
      <w:numFmt w:val="bullet"/>
      <w:lvlText w:val=""/>
      <w:lvlJc w:val="left"/>
      <w:pPr>
        <w:ind w:left="4320" w:hanging="360"/>
      </w:pPr>
      <w:rPr>
        <w:rFonts w:ascii="Wingdings" w:hAnsi="Wingdings"/>
      </w:rPr>
    </w:lvl>
    <w:lvl w:ilvl="6" w:tplc="78D02872" w:tentative="1">
      <w:start w:val="1"/>
      <w:numFmt w:val="bullet"/>
      <w:lvlText w:val=""/>
      <w:lvlJc w:val="left"/>
      <w:pPr>
        <w:ind w:left="5040" w:hanging="360"/>
      </w:pPr>
      <w:rPr>
        <w:rFonts w:ascii="Symbol" w:hAnsi="Symbol"/>
      </w:rPr>
    </w:lvl>
    <w:lvl w:ilvl="7" w:tplc="275684F4" w:tentative="1">
      <w:start w:val="1"/>
      <w:numFmt w:val="bullet"/>
      <w:lvlText w:val="o"/>
      <w:lvlJc w:val="left"/>
      <w:pPr>
        <w:ind w:left="5760" w:hanging="360"/>
      </w:pPr>
      <w:rPr>
        <w:rFonts w:ascii="Courier New" w:hAnsi="Courier New" w:cs="Courier New"/>
      </w:rPr>
    </w:lvl>
    <w:lvl w:ilvl="8" w:tplc="2A6A6D5C" w:tentative="1">
      <w:start w:val="1"/>
      <w:numFmt w:val="bullet"/>
      <w:lvlText w:val=""/>
      <w:lvlJc w:val="left"/>
      <w:pPr>
        <w:ind w:left="6480" w:hanging="360"/>
      </w:pPr>
      <w:rPr>
        <w:rFonts w:ascii="Wingdings" w:hAnsi="Wingdings"/>
      </w:rPr>
    </w:lvl>
  </w:abstractNum>
  <w:abstractNum w:abstractNumId="15" w15:restartNumberingAfterBreak="0">
    <w:nsid w:val="320A69BB"/>
    <w:multiLevelType w:val="hybridMultilevel"/>
    <w:tmpl w:val="D4A6981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243A8B"/>
    <w:multiLevelType w:val="hybridMultilevel"/>
    <w:tmpl w:val="9A764598"/>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4267D5"/>
    <w:multiLevelType w:val="hybridMultilevel"/>
    <w:tmpl w:val="2638BABA"/>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B545FD"/>
    <w:multiLevelType w:val="hybridMultilevel"/>
    <w:tmpl w:val="7110F5B8"/>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439AC"/>
    <w:multiLevelType w:val="hybridMultilevel"/>
    <w:tmpl w:val="65EEF602"/>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60506"/>
    <w:multiLevelType w:val="hybridMultilevel"/>
    <w:tmpl w:val="CE44AE40"/>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1C6CE6"/>
    <w:multiLevelType w:val="hybridMultilevel"/>
    <w:tmpl w:val="11ECF1BC"/>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A4F56"/>
    <w:multiLevelType w:val="hybridMultilevel"/>
    <w:tmpl w:val="D4FEB556"/>
    <w:styleLink w:val="ImportedStyle2"/>
    <w:lvl w:ilvl="0" w:tplc="1272F23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5782BE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F407A9A">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63CF2A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F8BEB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B204408">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0F2B2B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BADE7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887574">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AE9096A"/>
    <w:multiLevelType w:val="hybridMultilevel"/>
    <w:tmpl w:val="CD40A24C"/>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6C28EE"/>
    <w:multiLevelType w:val="hybridMultilevel"/>
    <w:tmpl w:val="C212D198"/>
    <w:lvl w:ilvl="0" w:tplc="CEA06CEA">
      <w:start w:val="1"/>
      <w:numFmt w:val="bullet"/>
      <w:lvlText w:val=""/>
      <w:lvlJc w:val="left"/>
      <w:pPr>
        <w:ind w:left="720" w:hanging="360"/>
      </w:pPr>
      <w:rPr>
        <w:rFonts w:ascii="Symbol" w:hAnsi="Symbol" w:hint="default"/>
      </w:rPr>
    </w:lvl>
    <w:lvl w:ilvl="1" w:tplc="AB847AC0" w:tentative="1">
      <w:start w:val="1"/>
      <w:numFmt w:val="bullet"/>
      <w:lvlText w:val="o"/>
      <w:lvlJc w:val="left"/>
      <w:pPr>
        <w:ind w:left="1440" w:hanging="360"/>
      </w:pPr>
      <w:rPr>
        <w:rFonts w:ascii="Courier New" w:hAnsi="Courier New" w:cs="Courier New" w:hint="default"/>
      </w:rPr>
    </w:lvl>
    <w:lvl w:ilvl="2" w:tplc="B038ED42" w:tentative="1">
      <w:start w:val="1"/>
      <w:numFmt w:val="bullet"/>
      <w:lvlText w:val=""/>
      <w:lvlJc w:val="left"/>
      <w:pPr>
        <w:ind w:left="2160" w:hanging="360"/>
      </w:pPr>
      <w:rPr>
        <w:rFonts w:ascii="Wingdings" w:hAnsi="Wingdings" w:hint="default"/>
      </w:rPr>
    </w:lvl>
    <w:lvl w:ilvl="3" w:tplc="B9EE973E" w:tentative="1">
      <w:start w:val="1"/>
      <w:numFmt w:val="bullet"/>
      <w:lvlText w:val=""/>
      <w:lvlJc w:val="left"/>
      <w:pPr>
        <w:ind w:left="2880" w:hanging="360"/>
      </w:pPr>
      <w:rPr>
        <w:rFonts w:ascii="Symbol" w:hAnsi="Symbol" w:hint="default"/>
      </w:rPr>
    </w:lvl>
    <w:lvl w:ilvl="4" w:tplc="C840DEAC" w:tentative="1">
      <w:start w:val="1"/>
      <w:numFmt w:val="bullet"/>
      <w:lvlText w:val="o"/>
      <w:lvlJc w:val="left"/>
      <w:pPr>
        <w:ind w:left="3600" w:hanging="360"/>
      </w:pPr>
      <w:rPr>
        <w:rFonts w:ascii="Courier New" w:hAnsi="Courier New" w:cs="Courier New" w:hint="default"/>
      </w:rPr>
    </w:lvl>
    <w:lvl w:ilvl="5" w:tplc="1F9CF908" w:tentative="1">
      <w:start w:val="1"/>
      <w:numFmt w:val="bullet"/>
      <w:lvlText w:val=""/>
      <w:lvlJc w:val="left"/>
      <w:pPr>
        <w:ind w:left="4320" w:hanging="360"/>
      </w:pPr>
      <w:rPr>
        <w:rFonts w:ascii="Wingdings" w:hAnsi="Wingdings" w:hint="default"/>
      </w:rPr>
    </w:lvl>
    <w:lvl w:ilvl="6" w:tplc="38A8D73C" w:tentative="1">
      <w:start w:val="1"/>
      <w:numFmt w:val="bullet"/>
      <w:lvlText w:val=""/>
      <w:lvlJc w:val="left"/>
      <w:pPr>
        <w:ind w:left="5040" w:hanging="360"/>
      </w:pPr>
      <w:rPr>
        <w:rFonts w:ascii="Symbol" w:hAnsi="Symbol" w:hint="default"/>
      </w:rPr>
    </w:lvl>
    <w:lvl w:ilvl="7" w:tplc="B8F62A82" w:tentative="1">
      <w:start w:val="1"/>
      <w:numFmt w:val="bullet"/>
      <w:lvlText w:val="o"/>
      <w:lvlJc w:val="left"/>
      <w:pPr>
        <w:ind w:left="5760" w:hanging="360"/>
      </w:pPr>
      <w:rPr>
        <w:rFonts w:ascii="Courier New" w:hAnsi="Courier New" w:cs="Courier New" w:hint="default"/>
      </w:rPr>
    </w:lvl>
    <w:lvl w:ilvl="8" w:tplc="29A2A202" w:tentative="1">
      <w:start w:val="1"/>
      <w:numFmt w:val="bullet"/>
      <w:lvlText w:val=""/>
      <w:lvlJc w:val="left"/>
      <w:pPr>
        <w:ind w:left="6480" w:hanging="360"/>
      </w:pPr>
      <w:rPr>
        <w:rFonts w:ascii="Wingdings" w:hAnsi="Wingdings" w:hint="default"/>
      </w:rPr>
    </w:lvl>
  </w:abstractNum>
  <w:abstractNum w:abstractNumId="25" w15:restartNumberingAfterBreak="0">
    <w:nsid w:val="54D8253E"/>
    <w:multiLevelType w:val="hybridMultilevel"/>
    <w:tmpl w:val="DB76FBB2"/>
    <w:lvl w:ilvl="0" w:tplc="0472C3D8">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A20109"/>
    <w:multiLevelType w:val="multilevel"/>
    <w:tmpl w:val="BCFCAC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9044328"/>
    <w:multiLevelType w:val="hybridMultilevel"/>
    <w:tmpl w:val="553E97D2"/>
    <w:lvl w:ilvl="0" w:tplc="F684AD18">
      <w:start w:val="1"/>
      <w:numFmt w:val="bullet"/>
      <w:lvlText w:val=""/>
      <w:lvlJc w:val="left"/>
      <w:pPr>
        <w:ind w:left="720" w:hanging="360"/>
      </w:pPr>
      <w:rPr>
        <w:rFonts w:ascii="Symbol" w:hAnsi="Symbol" w:hint="default"/>
      </w:rPr>
    </w:lvl>
    <w:lvl w:ilvl="1" w:tplc="FA2AC74C" w:tentative="1">
      <w:start w:val="1"/>
      <w:numFmt w:val="bullet"/>
      <w:lvlText w:val="o"/>
      <w:lvlJc w:val="left"/>
      <w:pPr>
        <w:ind w:left="1440" w:hanging="360"/>
      </w:pPr>
      <w:rPr>
        <w:rFonts w:ascii="Courier New" w:hAnsi="Courier New" w:cs="Courier New" w:hint="default"/>
      </w:rPr>
    </w:lvl>
    <w:lvl w:ilvl="2" w:tplc="32821266" w:tentative="1">
      <w:start w:val="1"/>
      <w:numFmt w:val="bullet"/>
      <w:lvlText w:val=""/>
      <w:lvlJc w:val="left"/>
      <w:pPr>
        <w:ind w:left="2160" w:hanging="360"/>
      </w:pPr>
      <w:rPr>
        <w:rFonts w:ascii="Wingdings" w:hAnsi="Wingdings" w:hint="default"/>
      </w:rPr>
    </w:lvl>
    <w:lvl w:ilvl="3" w:tplc="28D00EDA" w:tentative="1">
      <w:start w:val="1"/>
      <w:numFmt w:val="bullet"/>
      <w:lvlText w:val=""/>
      <w:lvlJc w:val="left"/>
      <w:pPr>
        <w:ind w:left="2880" w:hanging="360"/>
      </w:pPr>
      <w:rPr>
        <w:rFonts w:ascii="Symbol" w:hAnsi="Symbol" w:hint="default"/>
      </w:rPr>
    </w:lvl>
    <w:lvl w:ilvl="4" w:tplc="0DCC93EC" w:tentative="1">
      <w:start w:val="1"/>
      <w:numFmt w:val="bullet"/>
      <w:lvlText w:val="o"/>
      <w:lvlJc w:val="left"/>
      <w:pPr>
        <w:ind w:left="3600" w:hanging="360"/>
      </w:pPr>
      <w:rPr>
        <w:rFonts w:ascii="Courier New" w:hAnsi="Courier New" w:cs="Courier New" w:hint="default"/>
      </w:rPr>
    </w:lvl>
    <w:lvl w:ilvl="5" w:tplc="6082ECC2" w:tentative="1">
      <w:start w:val="1"/>
      <w:numFmt w:val="bullet"/>
      <w:lvlText w:val=""/>
      <w:lvlJc w:val="left"/>
      <w:pPr>
        <w:ind w:left="4320" w:hanging="360"/>
      </w:pPr>
      <w:rPr>
        <w:rFonts w:ascii="Wingdings" w:hAnsi="Wingdings" w:hint="default"/>
      </w:rPr>
    </w:lvl>
    <w:lvl w:ilvl="6" w:tplc="60DE87E6" w:tentative="1">
      <w:start w:val="1"/>
      <w:numFmt w:val="bullet"/>
      <w:lvlText w:val=""/>
      <w:lvlJc w:val="left"/>
      <w:pPr>
        <w:ind w:left="5040" w:hanging="360"/>
      </w:pPr>
      <w:rPr>
        <w:rFonts w:ascii="Symbol" w:hAnsi="Symbol" w:hint="default"/>
      </w:rPr>
    </w:lvl>
    <w:lvl w:ilvl="7" w:tplc="FED4B4C0" w:tentative="1">
      <w:start w:val="1"/>
      <w:numFmt w:val="bullet"/>
      <w:lvlText w:val="o"/>
      <w:lvlJc w:val="left"/>
      <w:pPr>
        <w:ind w:left="5760" w:hanging="360"/>
      </w:pPr>
      <w:rPr>
        <w:rFonts w:ascii="Courier New" w:hAnsi="Courier New" w:cs="Courier New" w:hint="default"/>
      </w:rPr>
    </w:lvl>
    <w:lvl w:ilvl="8" w:tplc="992212DA" w:tentative="1">
      <w:start w:val="1"/>
      <w:numFmt w:val="bullet"/>
      <w:lvlText w:val=""/>
      <w:lvlJc w:val="left"/>
      <w:pPr>
        <w:ind w:left="6480" w:hanging="360"/>
      </w:pPr>
      <w:rPr>
        <w:rFonts w:ascii="Wingdings" w:hAnsi="Wingdings" w:hint="default"/>
      </w:rPr>
    </w:lvl>
  </w:abstractNum>
  <w:abstractNum w:abstractNumId="28" w15:restartNumberingAfterBreak="0">
    <w:nsid w:val="5EA81288"/>
    <w:multiLevelType w:val="hybridMultilevel"/>
    <w:tmpl w:val="75942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3B1DD7"/>
    <w:multiLevelType w:val="hybridMultilevel"/>
    <w:tmpl w:val="D3DC4982"/>
    <w:lvl w:ilvl="0" w:tplc="52A05AF8">
      <w:start w:val="1"/>
      <w:numFmt w:val="decimal"/>
      <w:suff w:val="space"/>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8067C3"/>
    <w:multiLevelType w:val="hybridMultilevel"/>
    <w:tmpl w:val="FDB0ED4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4F5EB7"/>
    <w:multiLevelType w:val="hybridMultilevel"/>
    <w:tmpl w:val="C9766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B251A3"/>
    <w:multiLevelType w:val="hybridMultilevel"/>
    <w:tmpl w:val="58F4E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487C1E"/>
    <w:multiLevelType w:val="hybridMultilevel"/>
    <w:tmpl w:val="D79C3BCE"/>
    <w:lvl w:ilvl="0" w:tplc="2738ED8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796055"/>
    <w:multiLevelType w:val="hybridMultilevel"/>
    <w:tmpl w:val="D91A75BE"/>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0248CA"/>
    <w:multiLevelType w:val="hybridMultilevel"/>
    <w:tmpl w:val="7152DE04"/>
    <w:lvl w:ilvl="0" w:tplc="A54CE11E">
      <w:start w:val="1"/>
      <w:numFmt w:val="decimal"/>
      <w:lvlText w:val="%1."/>
      <w:lvlJc w:val="left"/>
      <w:pPr>
        <w:ind w:left="12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E328ED2">
      <w:numFmt w:val="bullet"/>
      <w:lvlText w:val="•"/>
      <w:lvlJc w:val="left"/>
      <w:pPr>
        <w:ind w:left="2153" w:hanging="360"/>
      </w:pPr>
      <w:rPr>
        <w:rFonts w:hint="default"/>
        <w:lang w:val="en-US" w:eastAsia="en-US" w:bidi="ar-SA"/>
      </w:rPr>
    </w:lvl>
    <w:lvl w:ilvl="2" w:tplc="83F86260">
      <w:numFmt w:val="bullet"/>
      <w:lvlText w:val="•"/>
      <w:lvlJc w:val="left"/>
      <w:pPr>
        <w:ind w:left="3045" w:hanging="360"/>
      </w:pPr>
      <w:rPr>
        <w:rFonts w:hint="default"/>
        <w:lang w:val="en-US" w:eastAsia="en-US" w:bidi="ar-SA"/>
      </w:rPr>
    </w:lvl>
    <w:lvl w:ilvl="3" w:tplc="83AAB962">
      <w:numFmt w:val="bullet"/>
      <w:lvlText w:val="•"/>
      <w:lvlJc w:val="left"/>
      <w:pPr>
        <w:ind w:left="3937" w:hanging="360"/>
      </w:pPr>
      <w:rPr>
        <w:rFonts w:hint="default"/>
        <w:lang w:val="en-US" w:eastAsia="en-US" w:bidi="ar-SA"/>
      </w:rPr>
    </w:lvl>
    <w:lvl w:ilvl="4" w:tplc="9DA65354">
      <w:numFmt w:val="bullet"/>
      <w:lvlText w:val="•"/>
      <w:lvlJc w:val="left"/>
      <w:pPr>
        <w:ind w:left="4829" w:hanging="360"/>
      </w:pPr>
      <w:rPr>
        <w:rFonts w:hint="default"/>
        <w:lang w:val="en-US" w:eastAsia="en-US" w:bidi="ar-SA"/>
      </w:rPr>
    </w:lvl>
    <w:lvl w:ilvl="5" w:tplc="1CD6B4B8">
      <w:numFmt w:val="bullet"/>
      <w:lvlText w:val="•"/>
      <w:lvlJc w:val="left"/>
      <w:pPr>
        <w:ind w:left="5721" w:hanging="360"/>
      </w:pPr>
      <w:rPr>
        <w:rFonts w:hint="default"/>
        <w:lang w:val="en-US" w:eastAsia="en-US" w:bidi="ar-SA"/>
      </w:rPr>
    </w:lvl>
    <w:lvl w:ilvl="6" w:tplc="7DA81964">
      <w:numFmt w:val="bullet"/>
      <w:lvlText w:val="•"/>
      <w:lvlJc w:val="left"/>
      <w:pPr>
        <w:ind w:left="6613" w:hanging="360"/>
      </w:pPr>
      <w:rPr>
        <w:rFonts w:hint="default"/>
        <w:lang w:val="en-US" w:eastAsia="en-US" w:bidi="ar-SA"/>
      </w:rPr>
    </w:lvl>
    <w:lvl w:ilvl="7" w:tplc="76C84A82">
      <w:numFmt w:val="bullet"/>
      <w:lvlText w:val="•"/>
      <w:lvlJc w:val="left"/>
      <w:pPr>
        <w:ind w:left="7505" w:hanging="360"/>
      </w:pPr>
      <w:rPr>
        <w:rFonts w:hint="default"/>
        <w:lang w:val="en-US" w:eastAsia="en-US" w:bidi="ar-SA"/>
      </w:rPr>
    </w:lvl>
    <w:lvl w:ilvl="8" w:tplc="CA42EE02">
      <w:numFmt w:val="bullet"/>
      <w:lvlText w:val="•"/>
      <w:lvlJc w:val="left"/>
      <w:pPr>
        <w:ind w:left="8397" w:hanging="360"/>
      </w:pPr>
      <w:rPr>
        <w:rFonts w:hint="default"/>
        <w:lang w:val="en-US" w:eastAsia="en-US" w:bidi="ar-SA"/>
      </w:rPr>
    </w:lvl>
  </w:abstractNum>
  <w:abstractNum w:abstractNumId="36" w15:restartNumberingAfterBreak="0">
    <w:nsid w:val="700662FC"/>
    <w:multiLevelType w:val="multilevel"/>
    <w:tmpl w:val="2FC85AE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751164E4"/>
    <w:multiLevelType w:val="hybridMultilevel"/>
    <w:tmpl w:val="7A28EC0E"/>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8414C7"/>
    <w:multiLevelType w:val="hybridMultilevel"/>
    <w:tmpl w:val="92D0A09E"/>
    <w:lvl w:ilvl="0" w:tplc="2738ED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90C07BB"/>
    <w:multiLevelType w:val="hybridMultilevel"/>
    <w:tmpl w:val="22CE8756"/>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9D4D74"/>
    <w:multiLevelType w:val="multilevel"/>
    <w:tmpl w:val="21283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B8160E"/>
    <w:multiLevelType w:val="multilevel"/>
    <w:tmpl w:val="9B081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8A0CCA"/>
    <w:multiLevelType w:val="hybridMultilevel"/>
    <w:tmpl w:val="589CF1EA"/>
    <w:lvl w:ilvl="0" w:tplc="54EA29E4">
      <w:start w:val="10"/>
      <w:numFmt w:val="bullet"/>
      <w:lvlText w:val="•"/>
      <w:lvlJc w:val="left"/>
      <w:pPr>
        <w:ind w:left="1065" w:hanging="705"/>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7C353D"/>
    <w:multiLevelType w:val="hybridMultilevel"/>
    <w:tmpl w:val="3CC6DF44"/>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9"/>
  </w:num>
  <w:num w:numId="3">
    <w:abstractNumId w:val="36"/>
  </w:num>
  <w:num w:numId="4">
    <w:abstractNumId w:val="11"/>
  </w:num>
  <w:num w:numId="5">
    <w:abstractNumId w:val="37"/>
  </w:num>
  <w:num w:numId="6">
    <w:abstractNumId w:val="0"/>
  </w:num>
  <w:num w:numId="7">
    <w:abstractNumId w:val="33"/>
  </w:num>
  <w:num w:numId="8">
    <w:abstractNumId w:val="38"/>
  </w:num>
  <w:num w:numId="9">
    <w:abstractNumId w:val="34"/>
  </w:num>
  <w:num w:numId="10">
    <w:abstractNumId w:val="17"/>
  </w:num>
  <w:num w:numId="11">
    <w:abstractNumId w:val="19"/>
  </w:num>
  <w:num w:numId="12">
    <w:abstractNumId w:val="41"/>
  </w:num>
  <w:num w:numId="13">
    <w:abstractNumId w:val="16"/>
  </w:num>
  <w:num w:numId="14">
    <w:abstractNumId w:val="31"/>
  </w:num>
  <w:num w:numId="15">
    <w:abstractNumId w:val="43"/>
  </w:num>
  <w:num w:numId="16">
    <w:abstractNumId w:val="18"/>
  </w:num>
  <w:num w:numId="17">
    <w:abstractNumId w:val="40"/>
  </w:num>
  <w:num w:numId="18">
    <w:abstractNumId w:val="5"/>
  </w:num>
  <w:num w:numId="19">
    <w:abstractNumId w:val="20"/>
  </w:num>
  <w:num w:numId="20">
    <w:abstractNumId w:val="39"/>
  </w:num>
  <w:num w:numId="21">
    <w:abstractNumId w:val="23"/>
  </w:num>
  <w:num w:numId="22">
    <w:abstractNumId w:val="10"/>
  </w:num>
  <w:num w:numId="23">
    <w:abstractNumId w:val="9"/>
  </w:num>
  <w:num w:numId="24">
    <w:abstractNumId w:val="21"/>
  </w:num>
  <w:num w:numId="25">
    <w:abstractNumId w:val="12"/>
  </w:num>
  <w:num w:numId="26">
    <w:abstractNumId w:val="8"/>
  </w:num>
  <w:num w:numId="27">
    <w:abstractNumId w:val="7"/>
  </w:num>
  <w:num w:numId="28">
    <w:abstractNumId w:val="32"/>
  </w:num>
  <w:num w:numId="29">
    <w:abstractNumId w:val="13"/>
  </w:num>
  <w:num w:numId="30">
    <w:abstractNumId w:val="35"/>
  </w:num>
  <w:num w:numId="31">
    <w:abstractNumId w:val="27"/>
  </w:num>
  <w:num w:numId="32">
    <w:abstractNumId w:val="24"/>
  </w:num>
  <w:num w:numId="33">
    <w:abstractNumId w:val="28"/>
  </w:num>
  <w:num w:numId="34">
    <w:abstractNumId w:val="4"/>
  </w:num>
  <w:num w:numId="35">
    <w:abstractNumId w:val="25"/>
  </w:num>
  <w:num w:numId="36">
    <w:abstractNumId w:val="30"/>
  </w:num>
  <w:num w:numId="37">
    <w:abstractNumId w:val="15"/>
  </w:num>
  <w:num w:numId="38">
    <w:abstractNumId w:val="42"/>
  </w:num>
  <w:num w:numId="39">
    <w:abstractNumId w:val="3"/>
  </w:num>
  <w:num w:numId="40">
    <w:abstractNumId w:val="2"/>
  </w:num>
  <w:num w:numId="41">
    <w:abstractNumId w:val="6"/>
  </w:num>
  <w:num w:numId="42">
    <w:abstractNumId w:val="1"/>
  </w:num>
  <w:num w:numId="43">
    <w:abstractNumId w:val="14"/>
  </w:num>
  <w:num w:numId="44">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AICY0tTSwtLY3NzAyUdpeDU4uLM/DyQAsNaAPJYyFUsAAAA"/>
  </w:docVars>
  <w:rsids>
    <w:rsidRoot w:val="001200C3"/>
    <w:rsid w:val="000111BA"/>
    <w:rsid w:val="000135FC"/>
    <w:rsid w:val="000176F7"/>
    <w:rsid w:val="00017BBD"/>
    <w:rsid w:val="000205D3"/>
    <w:rsid w:val="00025C43"/>
    <w:rsid w:val="000315C1"/>
    <w:rsid w:val="00033D74"/>
    <w:rsid w:val="00041318"/>
    <w:rsid w:val="000477C9"/>
    <w:rsid w:val="0005136E"/>
    <w:rsid w:val="0005360C"/>
    <w:rsid w:val="0005518F"/>
    <w:rsid w:val="00057A0A"/>
    <w:rsid w:val="00062902"/>
    <w:rsid w:val="000630F9"/>
    <w:rsid w:val="000670B8"/>
    <w:rsid w:val="000712D6"/>
    <w:rsid w:val="00072AE0"/>
    <w:rsid w:val="0007559C"/>
    <w:rsid w:val="00080EC7"/>
    <w:rsid w:val="00081BA9"/>
    <w:rsid w:val="000820E8"/>
    <w:rsid w:val="0008352F"/>
    <w:rsid w:val="0009591D"/>
    <w:rsid w:val="00096062"/>
    <w:rsid w:val="000A355A"/>
    <w:rsid w:val="000A69B5"/>
    <w:rsid w:val="000B138B"/>
    <w:rsid w:val="000C53F2"/>
    <w:rsid w:val="000C5AD4"/>
    <w:rsid w:val="000C5B37"/>
    <w:rsid w:val="000C7C02"/>
    <w:rsid w:val="000D0262"/>
    <w:rsid w:val="000D0791"/>
    <w:rsid w:val="000E08E9"/>
    <w:rsid w:val="000E2A1F"/>
    <w:rsid w:val="000F14C4"/>
    <w:rsid w:val="000F39B5"/>
    <w:rsid w:val="001018A2"/>
    <w:rsid w:val="00106CBC"/>
    <w:rsid w:val="00114C41"/>
    <w:rsid w:val="001200C3"/>
    <w:rsid w:val="00127AC0"/>
    <w:rsid w:val="0013059C"/>
    <w:rsid w:val="001309EF"/>
    <w:rsid w:val="00131781"/>
    <w:rsid w:val="001348E7"/>
    <w:rsid w:val="00141F81"/>
    <w:rsid w:val="001437BC"/>
    <w:rsid w:val="001544A1"/>
    <w:rsid w:val="00164245"/>
    <w:rsid w:val="00164F06"/>
    <w:rsid w:val="00176C0D"/>
    <w:rsid w:val="001827CF"/>
    <w:rsid w:val="00183958"/>
    <w:rsid w:val="00192506"/>
    <w:rsid w:val="001936D6"/>
    <w:rsid w:val="00193F54"/>
    <w:rsid w:val="00196419"/>
    <w:rsid w:val="00196DED"/>
    <w:rsid w:val="001B528B"/>
    <w:rsid w:val="001C2D82"/>
    <w:rsid w:val="001D3A7E"/>
    <w:rsid w:val="001D787D"/>
    <w:rsid w:val="001E48D3"/>
    <w:rsid w:val="001F0BBE"/>
    <w:rsid w:val="001F3895"/>
    <w:rsid w:val="001F39C9"/>
    <w:rsid w:val="002002D9"/>
    <w:rsid w:val="00200E2A"/>
    <w:rsid w:val="002074ED"/>
    <w:rsid w:val="0021113D"/>
    <w:rsid w:val="00211919"/>
    <w:rsid w:val="00212892"/>
    <w:rsid w:val="00215914"/>
    <w:rsid w:val="0021775D"/>
    <w:rsid w:val="00217E4D"/>
    <w:rsid w:val="00225064"/>
    <w:rsid w:val="00230C6A"/>
    <w:rsid w:val="002312FC"/>
    <w:rsid w:val="00231455"/>
    <w:rsid w:val="00243367"/>
    <w:rsid w:val="00244688"/>
    <w:rsid w:val="0024577D"/>
    <w:rsid w:val="00260EDB"/>
    <w:rsid w:val="00262172"/>
    <w:rsid w:val="002719DB"/>
    <w:rsid w:val="00274B22"/>
    <w:rsid w:val="00276B5A"/>
    <w:rsid w:val="00280F84"/>
    <w:rsid w:val="00281EF7"/>
    <w:rsid w:val="00283727"/>
    <w:rsid w:val="00290BC9"/>
    <w:rsid w:val="002921E6"/>
    <w:rsid w:val="002A3CEE"/>
    <w:rsid w:val="002B4F18"/>
    <w:rsid w:val="002B6935"/>
    <w:rsid w:val="002B7859"/>
    <w:rsid w:val="002C7C44"/>
    <w:rsid w:val="002D1282"/>
    <w:rsid w:val="002D41EB"/>
    <w:rsid w:val="002D6ADE"/>
    <w:rsid w:val="002E0443"/>
    <w:rsid w:val="002E0D32"/>
    <w:rsid w:val="002E688D"/>
    <w:rsid w:val="002E6BCA"/>
    <w:rsid w:val="002F2C5D"/>
    <w:rsid w:val="002F791D"/>
    <w:rsid w:val="0030002F"/>
    <w:rsid w:val="00305D59"/>
    <w:rsid w:val="00312E75"/>
    <w:rsid w:val="00313344"/>
    <w:rsid w:val="00320E09"/>
    <w:rsid w:val="00330DF9"/>
    <w:rsid w:val="003372D5"/>
    <w:rsid w:val="00343CD9"/>
    <w:rsid w:val="00343FB8"/>
    <w:rsid w:val="003449A6"/>
    <w:rsid w:val="00347268"/>
    <w:rsid w:val="0035394F"/>
    <w:rsid w:val="00353FDD"/>
    <w:rsid w:val="00354351"/>
    <w:rsid w:val="00361454"/>
    <w:rsid w:val="00361BBB"/>
    <w:rsid w:val="00361BD4"/>
    <w:rsid w:val="00370BD5"/>
    <w:rsid w:val="00377034"/>
    <w:rsid w:val="00377371"/>
    <w:rsid w:val="0038272F"/>
    <w:rsid w:val="00393EB4"/>
    <w:rsid w:val="00396E8B"/>
    <w:rsid w:val="00397144"/>
    <w:rsid w:val="003A44CC"/>
    <w:rsid w:val="003A562E"/>
    <w:rsid w:val="003C3C3F"/>
    <w:rsid w:val="003C4950"/>
    <w:rsid w:val="003D1FA5"/>
    <w:rsid w:val="003D5806"/>
    <w:rsid w:val="003D7BF1"/>
    <w:rsid w:val="003E066B"/>
    <w:rsid w:val="003E0A51"/>
    <w:rsid w:val="003E20E5"/>
    <w:rsid w:val="003E24B6"/>
    <w:rsid w:val="003E2F1B"/>
    <w:rsid w:val="003E45F4"/>
    <w:rsid w:val="003E6677"/>
    <w:rsid w:val="003E6E28"/>
    <w:rsid w:val="003F19BA"/>
    <w:rsid w:val="003F7E6F"/>
    <w:rsid w:val="00401684"/>
    <w:rsid w:val="00411C50"/>
    <w:rsid w:val="00416FC0"/>
    <w:rsid w:val="0042650E"/>
    <w:rsid w:val="00427351"/>
    <w:rsid w:val="00432D98"/>
    <w:rsid w:val="0043402D"/>
    <w:rsid w:val="00435F96"/>
    <w:rsid w:val="00440494"/>
    <w:rsid w:val="004546D0"/>
    <w:rsid w:val="004549EF"/>
    <w:rsid w:val="004553A1"/>
    <w:rsid w:val="00457142"/>
    <w:rsid w:val="00465032"/>
    <w:rsid w:val="00465D82"/>
    <w:rsid w:val="0047410C"/>
    <w:rsid w:val="00475AB3"/>
    <w:rsid w:val="004767EF"/>
    <w:rsid w:val="0048156B"/>
    <w:rsid w:val="00483AAB"/>
    <w:rsid w:val="00484B09"/>
    <w:rsid w:val="00485AEE"/>
    <w:rsid w:val="00486D0D"/>
    <w:rsid w:val="004916B9"/>
    <w:rsid w:val="00496D28"/>
    <w:rsid w:val="004A073E"/>
    <w:rsid w:val="004A5EFD"/>
    <w:rsid w:val="004B29E9"/>
    <w:rsid w:val="004C1163"/>
    <w:rsid w:val="004C1DAD"/>
    <w:rsid w:val="004C4792"/>
    <w:rsid w:val="004C5DDC"/>
    <w:rsid w:val="004C6445"/>
    <w:rsid w:val="004D3569"/>
    <w:rsid w:val="004D46C5"/>
    <w:rsid w:val="004D747A"/>
    <w:rsid w:val="004E47C2"/>
    <w:rsid w:val="004F0632"/>
    <w:rsid w:val="004F6623"/>
    <w:rsid w:val="00503B9B"/>
    <w:rsid w:val="00504B65"/>
    <w:rsid w:val="00504BD3"/>
    <w:rsid w:val="005107A6"/>
    <w:rsid w:val="00520DB1"/>
    <w:rsid w:val="005302D6"/>
    <w:rsid w:val="005368D0"/>
    <w:rsid w:val="00550AD5"/>
    <w:rsid w:val="00554A44"/>
    <w:rsid w:val="00555885"/>
    <w:rsid w:val="00560CF7"/>
    <w:rsid w:val="0056540E"/>
    <w:rsid w:val="00581332"/>
    <w:rsid w:val="00585BB4"/>
    <w:rsid w:val="00590709"/>
    <w:rsid w:val="00592733"/>
    <w:rsid w:val="005931D7"/>
    <w:rsid w:val="00593F95"/>
    <w:rsid w:val="005A070B"/>
    <w:rsid w:val="005A3712"/>
    <w:rsid w:val="005A6238"/>
    <w:rsid w:val="005C0E03"/>
    <w:rsid w:val="005C3C03"/>
    <w:rsid w:val="005C4C4D"/>
    <w:rsid w:val="005D137A"/>
    <w:rsid w:val="005D35CE"/>
    <w:rsid w:val="005D393B"/>
    <w:rsid w:val="005D6765"/>
    <w:rsid w:val="005E260D"/>
    <w:rsid w:val="005E3700"/>
    <w:rsid w:val="005F1087"/>
    <w:rsid w:val="005F16A8"/>
    <w:rsid w:val="005F216E"/>
    <w:rsid w:val="00603312"/>
    <w:rsid w:val="0060336F"/>
    <w:rsid w:val="00612681"/>
    <w:rsid w:val="006179B0"/>
    <w:rsid w:val="00620DA4"/>
    <w:rsid w:val="006239D1"/>
    <w:rsid w:val="00626CED"/>
    <w:rsid w:val="006306B0"/>
    <w:rsid w:val="00631F04"/>
    <w:rsid w:val="00633E8A"/>
    <w:rsid w:val="00635A06"/>
    <w:rsid w:val="00646074"/>
    <w:rsid w:val="00646E86"/>
    <w:rsid w:val="00647DD3"/>
    <w:rsid w:val="006548B4"/>
    <w:rsid w:val="0065508F"/>
    <w:rsid w:val="00656A23"/>
    <w:rsid w:val="00663A6A"/>
    <w:rsid w:val="00665775"/>
    <w:rsid w:val="00674FEB"/>
    <w:rsid w:val="00682B96"/>
    <w:rsid w:val="006918C2"/>
    <w:rsid w:val="0069320D"/>
    <w:rsid w:val="006934F7"/>
    <w:rsid w:val="00693AE8"/>
    <w:rsid w:val="00695E07"/>
    <w:rsid w:val="00696502"/>
    <w:rsid w:val="00696EC3"/>
    <w:rsid w:val="006A034A"/>
    <w:rsid w:val="006A2065"/>
    <w:rsid w:val="006B2AA0"/>
    <w:rsid w:val="006B439A"/>
    <w:rsid w:val="006B592A"/>
    <w:rsid w:val="006C0356"/>
    <w:rsid w:val="006C2B8C"/>
    <w:rsid w:val="006C2E32"/>
    <w:rsid w:val="006C3290"/>
    <w:rsid w:val="006C7067"/>
    <w:rsid w:val="006D1D7B"/>
    <w:rsid w:val="006E43E0"/>
    <w:rsid w:val="006E669D"/>
    <w:rsid w:val="006E6A06"/>
    <w:rsid w:val="006E74AF"/>
    <w:rsid w:val="006F0035"/>
    <w:rsid w:val="006F0E61"/>
    <w:rsid w:val="006F3E88"/>
    <w:rsid w:val="006F4331"/>
    <w:rsid w:val="007010B4"/>
    <w:rsid w:val="00703839"/>
    <w:rsid w:val="0070557C"/>
    <w:rsid w:val="0070588B"/>
    <w:rsid w:val="00713C9A"/>
    <w:rsid w:val="0071688C"/>
    <w:rsid w:val="00721862"/>
    <w:rsid w:val="00730781"/>
    <w:rsid w:val="00761505"/>
    <w:rsid w:val="0076298F"/>
    <w:rsid w:val="00763878"/>
    <w:rsid w:val="00773B18"/>
    <w:rsid w:val="007760A3"/>
    <w:rsid w:val="00784003"/>
    <w:rsid w:val="0078728B"/>
    <w:rsid w:val="007928EF"/>
    <w:rsid w:val="007B249F"/>
    <w:rsid w:val="007B2826"/>
    <w:rsid w:val="007B37EF"/>
    <w:rsid w:val="007B51CE"/>
    <w:rsid w:val="007B5BD0"/>
    <w:rsid w:val="007C76D8"/>
    <w:rsid w:val="007D216C"/>
    <w:rsid w:val="007D227F"/>
    <w:rsid w:val="007D2F41"/>
    <w:rsid w:val="007D5AFF"/>
    <w:rsid w:val="007E0E1A"/>
    <w:rsid w:val="007E39B3"/>
    <w:rsid w:val="007E7610"/>
    <w:rsid w:val="007F538F"/>
    <w:rsid w:val="007F7C1B"/>
    <w:rsid w:val="00802C9C"/>
    <w:rsid w:val="008047DC"/>
    <w:rsid w:val="00807ED7"/>
    <w:rsid w:val="008105BE"/>
    <w:rsid w:val="0081292D"/>
    <w:rsid w:val="00814D23"/>
    <w:rsid w:val="00815A42"/>
    <w:rsid w:val="008164C9"/>
    <w:rsid w:val="00817B15"/>
    <w:rsid w:val="008213A8"/>
    <w:rsid w:val="0082326F"/>
    <w:rsid w:val="00824CB2"/>
    <w:rsid w:val="0083124B"/>
    <w:rsid w:val="00837EC5"/>
    <w:rsid w:val="0084522D"/>
    <w:rsid w:val="0084693A"/>
    <w:rsid w:val="00850DAB"/>
    <w:rsid w:val="00854A71"/>
    <w:rsid w:val="0085515F"/>
    <w:rsid w:val="008566A6"/>
    <w:rsid w:val="008574DE"/>
    <w:rsid w:val="00861061"/>
    <w:rsid w:val="00863F5F"/>
    <w:rsid w:val="00864567"/>
    <w:rsid w:val="00864F88"/>
    <w:rsid w:val="0086585D"/>
    <w:rsid w:val="008668A7"/>
    <w:rsid w:val="008772E3"/>
    <w:rsid w:val="008835E0"/>
    <w:rsid w:val="00886793"/>
    <w:rsid w:val="00887E28"/>
    <w:rsid w:val="00895916"/>
    <w:rsid w:val="008970BC"/>
    <w:rsid w:val="00897377"/>
    <w:rsid w:val="008A08A3"/>
    <w:rsid w:val="008B075E"/>
    <w:rsid w:val="008B0A34"/>
    <w:rsid w:val="008B738A"/>
    <w:rsid w:val="008B75E1"/>
    <w:rsid w:val="008C2722"/>
    <w:rsid w:val="008C31E4"/>
    <w:rsid w:val="008D267B"/>
    <w:rsid w:val="008D46BE"/>
    <w:rsid w:val="008E1B60"/>
    <w:rsid w:val="008E40A2"/>
    <w:rsid w:val="008E55F6"/>
    <w:rsid w:val="008E707D"/>
    <w:rsid w:val="008F4531"/>
    <w:rsid w:val="008F4906"/>
    <w:rsid w:val="008F49B7"/>
    <w:rsid w:val="008F6B4C"/>
    <w:rsid w:val="00900740"/>
    <w:rsid w:val="00902EFA"/>
    <w:rsid w:val="00903BAB"/>
    <w:rsid w:val="00906717"/>
    <w:rsid w:val="009076AC"/>
    <w:rsid w:val="00915409"/>
    <w:rsid w:val="00916D57"/>
    <w:rsid w:val="00917DA5"/>
    <w:rsid w:val="00920D4A"/>
    <w:rsid w:val="00925CD2"/>
    <w:rsid w:val="00937924"/>
    <w:rsid w:val="00944D24"/>
    <w:rsid w:val="00947D16"/>
    <w:rsid w:val="00950810"/>
    <w:rsid w:val="00954EA0"/>
    <w:rsid w:val="00971DB2"/>
    <w:rsid w:val="00973EFA"/>
    <w:rsid w:val="00973F1D"/>
    <w:rsid w:val="00974922"/>
    <w:rsid w:val="00987311"/>
    <w:rsid w:val="00991B94"/>
    <w:rsid w:val="0099585A"/>
    <w:rsid w:val="0099599E"/>
    <w:rsid w:val="009A4B9D"/>
    <w:rsid w:val="009B7C43"/>
    <w:rsid w:val="009C1CBA"/>
    <w:rsid w:val="009C6CC3"/>
    <w:rsid w:val="009D276A"/>
    <w:rsid w:val="009E0C75"/>
    <w:rsid w:val="009E1778"/>
    <w:rsid w:val="009E31C8"/>
    <w:rsid w:val="009E5439"/>
    <w:rsid w:val="009E6AC2"/>
    <w:rsid w:val="009F52F5"/>
    <w:rsid w:val="009F5B46"/>
    <w:rsid w:val="009F67F4"/>
    <w:rsid w:val="00A031B7"/>
    <w:rsid w:val="00A06A6A"/>
    <w:rsid w:val="00A06BC2"/>
    <w:rsid w:val="00A06E21"/>
    <w:rsid w:val="00A14DED"/>
    <w:rsid w:val="00A17DE5"/>
    <w:rsid w:val="00A21E59"/>
    <w:rsid w:val="00A22240"/>
    <w:rsid w:val="00A23AAA"/>
    <w:rsid w:val="00A24E15"/>
    <w:rsid w:val="00A3001E"/>
    <w:rsid w:val="00A418CA"/>
    <w:rsid w:val="00A43296"/>
    <w:rsid w:val="00A433DA"/>
    <w:rsid w:val="00A50C16"/>
    <w:rsid w:val="00A5488A"/>
    <w:rsid w:val="00A60098"/>
    <w:rsid w:val="00A60815"/>
    <w:rsid w:val="00A719D5"/>
    <w:rsid w:val="00A71BCF"/>
    <w:rsid w:val="00A732A5"/>
    <w:rsid w:val="00A95093"/>
    <w:rsid w:val="00AA017D"/>
    <w:rsid w:val="00AA1647"/>
    <w:rsid w:val="00AA2EA1"/>
    <w:rsid w:val="00AB0F0E"/>
    <w:rsid w:val="00AC0A24"/>
    <w:rsid w:val="00AC4B03"/>
    <w:rsid w:val="00AC4CD0"/>
    <w:rsid w:val="00AC55B8"/>
    <w:rsid w:val="00AE3369"/>
    <w:rsid w:val="00AE33EF"/>
    <w:rsid w:val="00AE4858"/>
    <w:rsid w:val="00AE6A84"/>
    <w:rsid w:val="00AE73E8"/>
    <w:rsid w:val="00AF43E7"/>
    <w:rsid w:val="00AF4FC3"/>
    <w:rsid w:val="00B02370"/>
    <w:rsid w:val="00B0357C"/>
    <w:rsid w:val="00B1183C"/>
    <w:rsid w:val="00B21B30"/>
    <w:rsid w:val="00B22B59"/>
    <w:rsid w:val="00B258C7"/>
    <w:rsid w:val="00B271ED"/>
    <w:rsid w:val="00B427A6"/>
    <w:rsid w:val="00B44D05"/>
    <w:rsid w:val="00B52CC7"/>
    <w:rsid w:val="00B54FAA"/>
    <w:rsid w:val="00B568BA"/>
    <w:rsid w:val="00B6006E"/>
    <w:rsid w:val="00B63BFB"/>
    <w:rsid w:val="00B645CA"/>
    <w:rsid w:val="00B745EE"/>
    <w:rsid w:val="00B75A36"/>
    <w:rsid w:val="00B7779B"/>
    <w:rsid w:val="00B80625"/>
    <w:rsid w:val="00B82D76"/>
    <w:rsid w:val="00B85AAE"/>
    <w:rsid w:val="00B9461C"/>
    <w:rsid w:val="00BA2D84"/>
    <w:rsid w:val="00BA5F7F"/>
    <w:rsid w:val="00BC03D7"/>
    <w:rsid w:val="00BC05A5"/>
    <w:rsid w:val="00BC0B6C"/>
    <w:rsid w:val="00BC22D3"/>
    <w:rsid w:val="00BC2452"/>
    <w:rsid w:val="00BC2D8D"/>
    <w:rsid w:val="00BD4829"/>
    <w:rsid w:val="00BD5019"/>
    <w:rsid w:val="00BD5214"/>
    <w:rsid w:val="00BD6768"/>
    <w:rsid w:val="00BF1717"/>
    <w:rsid w:val="00BF23F9"/>
    <w:rsid w:val="00BF2438"/>
    <w:rsid w:val="00BF303D"/>
    <w:rsid w:val="00BF48B3"/>
    <w:rsid w:val="00C00604"/>
    <w:rsid w:val="00C024C6"/>
    <w:rsid w:val="00C05807"/>
    <w:rsid w:val="00C07AF9"/>
    <w:rsid w:val="00C07FE7"/>
    <w:rsid w:val="00C20269"/>
    <w:rsid w:val="00C32308"/>
    <w:rsid w:val="00C33096"/>
    <w:rsid w:val="00C33A9C"/>
    <w:rsid w:val="00C34B57"/>
    <w:rsid w:val="00C34CD9"/>
    <w:rsid w:val="00C37E86"/>
    <w:rsid w:val="00C40278"/>
    <w:rsid w:val="00C4044B"/>
    <w:rsid w:val="00C54293"/>
    <w:rsid w:val="00C566AB"/>
    <w:rsid w:val="00C62F6A"/>
    <w:rsid w:val="00C671C1"/>
    <w:rsid w:val="00C725B5"/>
    <w:rsid w:val="00C84617"/>
    <w:rsid w:val="00C85BF0"/>
    <w:rsid w:val="00C91AC1"/>
    <w:rsid w:val="00C9605B"/>
    <w:rsid w:val="00CA21BD"/>
    <w:rsid w:val="00CA2449"/>
    <w:rsid w:val="00CB32AA"/>
    <w:rsid w:val="00CB4512"/>
    <w:rsid w:val="00CC0351"/>
    <w:rsid w:val="00CC10DB"/>
    <w:rsid w:val="00CC2F65"/>
    <w:rsid w:val="00CC6385"/>
    <w:rsid w:val="00CD1646"/>
    <w:rsid w:val="00CD791D"/>
    <w:rsid w:val="00CE6310"/>
    <w:rsid w:val="00CE6702"/>
    <w:rsid w:val="00CF7EEF"/>
    <w:rsid w:val="00D06C09"/>
    <w:rsid w:val="00D1597A"/>
    <w:rsid w:val="00D15B4C"/>
    <w:rsid w:val="00D20229"/>
    <w:rsid w:val="00D2108B"/>
    <w:rsid w:val="00D23374"/>
    <w:rsid w:val="00D25BD9"/>
    <w:rsid w:val="00D3039A"/>
    <w:rsid w:val="00D33517"/>
    <w:rsid w:val="00D40BED"/>
    <w:rsid w:val="00D51370"/>
    <w:rsid w:val="00D55105"/>
    <w:rsid w:val="00D60D2C"/>
    <w:rsid w:val="00D61A1E"/>
    <w:rsid w:val="00D62EBC"/>
    <w:rsid w:val="00D65DF3"/>
    <w:rsid w:val="00D74C8C"/>
    <w:rsid w:val="00D8023A"/>
    <w:rsid w:val="00D874B5"/>
    <w:rsid w:val="00D87F54"/>
    <w:rsid w:val="00D93F70"/>
    <w:rsid w:val="00DA100D"/>
    <w:rsid w:val="00DA1442"/>
    <w:rsid w:val="00DB19B5"/>
    <w:rsid w:val="00DB4D23"/>
    <w:rsid w:val="00DB72D0"/>
    <w:rsid w:val="00DC6D71"/>
    <w:rsid w:val="00DC6EF0"/>
    <w:rsid w:val="00DC75C3"/>
    <w:rsid w:val="00DD04B2"/>
    <w:rsid w:val="00DD26F6"/>
    <w:rsid w:val="00DD2CAE"/>
    <w:rsid w:val="00DE2E7C"/>
    <w:rsid w:val="00DE4D1A"/>
    <w:rsid w:val="00DE7FE2"/>
    <w:rsid w:val="00DF2B70"/>
    <w:rsid w:val="00DF44E1"/>
    <w:rsid w:val="00DF4F8B"/>
    <w:rsid w:val="00DF5DC7"/>
    <w:rsid w:val="00DF6C20"/>
    <w:rsid w:val="00E0339D"/>
    <w:rsid w:val="00E041D0"/>
    <w:rsid w:val="00E12290"/>
    <w:rsid w:val="00E143B2"/>
    <w:rsid w:val="00E14831"/>
    <w:rsid w:val="00E17B25"/>
    <w:rsid w:val="00E2742C"/>
    <w:rsid w:val="00E27DB7"/>
    <w:rsid w:val="00E4002D"/>
    <w:rsid w:val="00E40971"/>
    <w:rsid w:val="00E41B1B"/>
    <w:rsid w:val="00E43303"/>
    <w:rsid w:val="00E45422"/>
    <w:rsid w:val="00E464EA"/>
    <w:rsid w:val="00E52F23"/>
    <w:rsid w:val="00E546C0"/>
    <w:rsid w:val="00E54E38"/>
    <w:rsid w:val="00E555F8"/>
    <w:rsid w:val="00E603FD"/>
    <w:rsid w:val="00E63966"/>
    <w:rsid w:val="00E66A7C"/>
    <w:rsid w:val="00E75939"/>
    <w:rsid w:val="00E83C23"/>
    <w:rsid w:val="00EA2F5F"/>
    <w:rsid w:val="00EB1A6E"/>
    <w:rsid w:val="00EB63A0"/>
    <w:rsid w:val="00EC2170"/>
    <w:rsid w:val="00EC2AEF"/>
    <w:rsid w:val="00EC4960"/>
    <w:rsid w:val="00ED7984"/>
    <w:rsid w:val="00EE00C6"/>
    <w:rsid w:val="00EE082E"/>
    <w:rsid w:val="00EE0F98"/>
    <w:rsid w:val="00EE3862"/>
    <w:rsid w:val="00EE5E82"/>
    <w:rsid w:val="00EF7A11"/>
    <w:rsid w:val="00F1414F"/>
    <w:rsid w:val="00F14428"/>
    <w:rsid w:val="00F17B03"/>
    <w:rsid w:val="00F2582E"/>
    <w:rsid w:val="00F35F0B"/>
    <w:rsid w:val="00F44C7F"/>
    <w:rsid w:val="00F451BF"/>
    <w:rsid w:val="00F47B63"/>
    <w:rsid w:val="00F55151"/>
    <w:rsid w:val="00F554BD"/>
    <w:rsid w:val="00F60F1C"/>
    <w:rsid w:val="00F663A0"/>
    <w:rsid w:val="00F74225"/>
    <w:rsid w:val="00F754D0"/>
    <w:rsid w:val="00F81522"/>
    <w:rsid w:val="00F85A7A"/>
    <w:rsid w:val="00F94D6D"/>
    <w:rsid w:val="00FA0535"/>
    <w:rsid w:val="00FA3FC7"/>
    <w:rsid w:val="00FA75CC"/>
    <w:rsid w:val="00FA7694"/>
    <w:rsid w:val="00FB0289"/>
    <w:rsid w:val="00FB426B"/>
    <w:rsid w:val="00FC0C26"/>
    <w:rsid w:val="00FC3582"/>
    <w:rsid w:val="00FC3659"/>
    <w:rsid w:val="00FC38DE"/>
    <w:rsid w:val="00FC3AE7"/>
    <w:rsid w:val="00FC57C1"/>
    <w:rsid w:val="00FD4602"/>
    <w:rsid w:val="00FD7265"/>
    <w:rsid w:val="00FD784C"/>
    <w:rsid w:val="00FE2866"/>
    <w:rsid w:val="00FE709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4D28FB"/>
  <w15:chartTrackingRefBased/>
  <w15:docId w15:val="{EB288AFD-902F-4044-9A69-E41EE2F9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A6A"/>
    <w:rPr>
      <w:lang w:val="en-GB"/>
    </w:rPr>
  </w:style>
  <w:style w:type="paragraph" w:styleId="Balk1">
    <w:name w:val="heading 1"/>
    <w:basedOn w:val="Normal"/>
    <w:next w:val="Normal"/>
    <w:link w:val="Balk1Char"/>
    <w:uiPriority w:val="9"/>
    <w:qFormat/>
    <w:rsid w:val="00361B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C07A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aliases w:val="Heading UPR"/>
    <w:basedOn w:val="Normal"/>
    <w:next w:val="Normal"/>
    <w:link w:val="Balk3Char"/>
    <w:uiPriority w:val="9"/>
    <w:unhideWhenUsed/>
    <w:qFormat/>
    <w:rsid w:val="00C85BF0"/>
    <w:pPr>
      <w:keepNext/>
      <w:keepLines/>
      <w:spacing w:before="120" w:after="120"/>
      <w:jc w:val="both"/>
      <w:outlineLvl w:val="2"/>
    </w:pPr>
    <w:rPr>
      <w:rFonts w:eastAsiaTheme="majorEastAsia" w:cstheme="majorBidi"/>
      <w:color w:val="000000" w:themeColor="text1"/>
      <w:sz w:val="24"/>
      <w:szCs w:val="24"/>
    </w:rPr>
  </w:style>
  <w:style w:type="paragraph" w:styleId="Balk4">
    <w:name w:val="heading 4"/>
    <w:basedOn w:val="Normal"/>
    <w:next w:val="Normal"/>
    <w:link w:val="Balk4Char"/>
    <w:uiPriority w:val="9"/>
    <w:unhideWhenUsed/>
    <w:qFormat/>
    <w:rsid w:val="00C85BF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200C3"/>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1200C3"/>
    <w:rPr>
      <w:lang w:val="en-US"/>
    </w:rPr>
  </w:style>
  <w:style w:type="paragraph" w:styleId="AltBilgi">
    <w:name w:val="footer"/>
    <w:basedOn w:val="Normal"/>
    <w:link w:val="AltBilgiChar"/>
    <w:uiPriority w:val="99"/>
    <w:unhideWhenUsed/>
    <w:rsid w:val="001200C3"/>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1200C3"/>
    <w:rPr>
      <w:lang w:val="en-US"/>
    </w:rPr>
  </w:style>
  <w:style w:type="character" w:styleId="Kpr">
    <w:name w:val="Hyperlink"/>
    <w:basedOn w:val="VarsaylanParagrafYazTipi"/>
    <w:uiPriority w:val="99"/>
    <w:unhideWhenUsed/>
    <w:rsid w:val="001200C3"/>
    <w:rPr>
      <w:color w:val="0563C1" w:themeColor="hyperlink"/>
      <w:u w:val="single"/>
    </w:rPr>
  </w:style>
  <w:style w:type="character" w:customStyle="1" w:styleId="Balk1Char">
    <w:name w:val="Başlık 1 Char"/>
    <w:basedOn w:val="VarsaylanParagrafYazTipi"/>
    <w:link w:val="Balk1"/>
    <w:uiPriority w:val="9"/>
    <w:rsid w:val="00361BBB"/>
    <w:rPr>
      <w:rFonts w:asciiTheme="majorHAnsi" w:eastAsiaTheme="majorEastAsia" w:hAnsiTheme="majorHAnsi" w:cstheme="majorBidi"/>
      <w:color w:val="2E74B5" w:themeColor="accent1" w:themeShade="BF"/>
      <w:sz w:val="32"/>
      <w:szCs w:val="32"/>
      <w:lang w:val="en-GB"/>
    </w:rPr>
  </w:style>
  <w:style w:type="character" w:customStyle="1" w:styleId="Balk3Char">
    <w:name w:val="Başlık 3 Char"/>
    <w:aliases w:val="Heading UPR Char"/>
    <w:basedOn w:val="VarsaylanParagrafYazTipi"/>
    <w:link w:val="Balk3"/>
    <w:uiPriority w:val="9"/>
    <w:rsid w:val="00397144"/>
    <w:rPr>
      <w:rFonts w:eastAsiaTheme="majorEastAsia" w:cstheme="majorBidi"/>
      <w:color w:val="000000" w:themeColor="text1"/>
      <w:sz w:val="24"/>
      <w:szCs w:val="24"/>
      <w:lang w:val="en-GB"/>
    </w:rPr>
  </w:style>
  <w:style w:type="paragraph" w:styleId="ListeParagraf">
    <w:name w:val="List Paragraph"/>
    <w:basedOn w:val="Normal"/>
    <w:uiPriority w:val="1"/>
    <w:qFormat/>
    <w:rsid w:val="00D61A1E"/>
    <w:pPr>
      <w:ind w:left="720"/>
      <w:contextualSpacing/>
    </w:pPr>
  </w:style>
  <w:style w:type="paragraph" w:styleId="Kaynaka">
    <w:name w:val="Bibliography"/>
    <w:basedOn w:val="Normal"/>
    <w:next w:val="Normal"/>
    <w:uiPriority w:val="37"/>
    <w:unhideWhenUsed/>
    <w:rsid w:val="00D61A1E"/>
  </w:style>
  <w:style w:type="paragraph" w:styleId="DipnotMetni">
    <w:name w:val="footnote text"/>
    <w:basedOn w:val="Normal"/>
    <w:link w:val="DipnotMetniChar"/>
    <w:uiPriority w:val="99"/>
    <w:unhideWhenUsed/>
    <w:rsid w:val="00D61A1E"/>
    <w:pPr>
      <w:spacing w:after="0" w:line="240" w:lineRule="auto"/>
    </w:pPr>
    <w:rPr>
      <w:sz w:val="20"/>
      <w:szCs w:val="20"/>
    </w:rPr>
  </w:style>
  <w:style w:type="character" w:customStyle="1" w:styleId="DipnotMetniChar">
    <w:name w:val="Dipnot Metni Char"/>
    <w:basedOn w:val="VarsaylanParagrafYazTipi"/>
    <w:link w:val="DipnotMetni"/>
    <w:uiPriority w:val="99"/>
    <w:rsid w:val="00D61A1E"/>
    <w:rPr>
      <w:sz w:val="20"/>
      <w:szCs w:val="20"/>
      <w:lang w:val="en-GB"/>
    </w:rPr>
  </w:style>
  <w:style w:type="character" w:styleId="DipnotBavurusu">
    <w:name w:val="footnote reference"/>
    <w:basedOn w:val="VarsaylanParagrafYazTipi"/>
    <w:uiPriority w:val="99"/>
    <w:unhideWhenUsed/>
    <w:rsid w:val="00D61A1E"/>
    <w:rPr>
      <w:vertAlign w:val="superscript"/>
    </w:rPr>
  </w:style>
  <w:style w:type="paragraph" w:styleId="TBal">
    <w:name w:val="TOC Heading"/>
    <w:basedOn w:val="Balk1"/>
    <w:next w:val="Normal"/>
    <w:uiPriority w:val="39"/>
    <w:unhideWhenUsed/>
    <w:qFormat/>
    <w:rsid w:val="00D61A1E"/>
    <w:pPr>
      <w:outlineLvl w:val="9"/>
    </w:pPr>
    <w:rPr>
      <w:lang w:val="en-US"/>
    </w:rPr>
  </w:style>
  <w:style w:type="paragraph" w:styleId="T2">
    <w:name w:val="toc 2"/>
    <w:basedOn w:val="Normal"/>
    <w:next w:val="Normal"/>
    <w:autoRedefine/>
    <w:uiPriority w:val="39"/>
    <w:unhideWhenUsed/>
    <w:rsid w:val="005107A6"/>
    <w:pPr>
      <w:tabs>
        <w:tab w:val="right" w:leader="dot" w:pos="9074"/>
      </w:tabs>
      <w:spacing w:before="120" w:after="0"/>
      <w:ind w:left="220"/>
    </w:pPr>
    <w:rPr>
      <w:rFonts w:eastAsia="Calibri" w:cstheme="minorHAnsi"/>
      <w:b/>
      <w:bCs/>
      <w:iCs/>
      <w:noProof/>
      <w:color w:val="000000" w:themeColor="text1"/>
    </w:rPr>
  </w:style>
  <w:style w:type="paragraph" w:styleId="T1">
    <w:name w:val="toc 1"/>
    <w:basedOn w:val="Normal"/>
    <w:next w:val="Normal"/>
    <w:autoRedefine/>
    <w:uiPriority w:val="39"/>
    <w:unhideWhenUsed/>
    <w:rsid w:val="00B63BFB"/>
    <w:pPr>
      <w:spacing w:before="120" w:after="0"/>
    </w:pPr>
    <w:rPr>
      <w:rFonts w:cstheme="minorHAnsi"/>
      <w:b/>
      <w:bCs/>
      <w:i/>
      <w:iCs/>
      <w:sz w:val="24"/>
      <w:szCs w:val="24"/>
    </w:rPr>
  </w:style>
  <w:style w:type="paragraph" w:styleId="T3">
    <w:name w:val="toc 3"/>
    <w:basedOn w:val="Normal"/>
    <w:next w:val="Normal"/>
    <w:autoRedefine/>
    <w:uiPriority w:val="39"/>
    <w:unhideWhenUsed/>
    <w:rsid w:val="00D61A1E"/>
    <w:pPr>
      <w:spacing w:after="0"/>
      <w:ind w:left="440"/>
    </w:pPr>
    <w:rPr>
      <w:rFonts w:cstheme="minorHAnsi"/>
      <w:sz w:val="20"/>
      <w:szCs w:val="20"/>
    </w:rPr>
  </w:style>
  <w:style w:type="paragraph" w:customStyle="1" w:styleId="Body">
    <w:name w:val="Body"/>
    <w:rsid w:val="00695E07"/>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14:textOutline w14:w="0" w14:cap="flat" w14:cmpd="sng" w14:algn="ctr">
        <w14:noFill/>
        <w14:prstDash w14:val="solid"/>
        <w14:bevel/>
      </w14:textOutline>
    </w:rPr>
  </w:style>
  <w:style w:type="paragraph" w:styleId="NormalWeb">
    <w:name w:val="Normal (Web)"/>
    <w:basedOn w:val="Normal"/>
    <w:uiPriority w:val="99"/>
    <w:unhideWhenUsed/>
    <w:rsid w:val="006460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zlenenKpr">
    <w:name w:val="FollowedHyperlink"/>
    <w:basedOn w:val="VarsaylanParagrafYazTipi"/>
    <w:uiPriority w:val="99"/>
    <w:semiHidden/>
    <w:unhideWhenUsed/>
    <w:rsid w:val="005F1087"/>
    <w:rPr>
      <w:color w:val="954F72" w:themeColor="followedHyperlink"/>
      <w:u w:val="single"/>
    </w:rPr>
  </w:style>
  <w:style w:type="character" w:styleId="AklamaBavurusu">
    <w:name w:val="annotation reference"/>
    <w:basedOn w:val="VarsaylanParagrafYazTipi"/>
    <w:uiPriority w:val="99"/>
    <w:semiHidden/>
    <w:unhideWhenUsed/>
    <w:rsid w:val="006239D1"/>
    <w:rPr>
      <w:sz w:val="16"/>
      <w:szCs w:val="16"/>
    </w:rPr>
  </w:style>
  <w:style w:type="paragraph" w:styleId="AklamaMetni">
    <w:name w:val="annotation text"/>
    <w:basedOn w:val="Normal"/>
    <w:link w:val="AklamaMetniChar"/>
    <w:uiPriority w:val="99"/>
    <w:unhideWhenUsed/>
    <w:rsid w:val="006239D1"/>
    <w:pPr>
      <w:spacing w:line="240" w:lineRule="auto"/>
    </w:pPr>
    <w:rPr>
      <w:sz w:val="20"/>
      <w:szCs w:val="20"/>
    </w:rPr>
  </w:style>
  <w:style w:type="character" w:customStyle="1" w:styleId="AklamaMetniChar">
    <w:name w:val="Açıklama Metni Char"/>
    <w:basedOn w:val="VarsaylanParagrafYazTipi"/>
    <w:link w:val="AklamaMetni"/>
    <w:uiPriority w:val="99"/>
    <w:rsid w:val="006239D1"/>
    <w:rPr>
      <w:sz w:val="20"/>
      <w:szCs w:val="20"/>
      <w:lang w:val="en-US"/>
    </w:rPr>
  </w:style>
  <w:style w:type="paragraph" w:styleId="AklamaKonusu">
    <w:name w:val="annotation subject"/>
    <w:basedOn w:val="AklamaMetni"/>
    <w:next w:val="AklamaMetni"/>
    <w:link w:val="AklamaKonusuChar"/>
    <w:uiPriority w:val="99"/>
    <w:semiHidden/>
    <w:unhideWhenUsed/>
    <w:rsid w:val="006239D1"/>
    <w:rPr>
      <w:b/>
      <w:bCs/>
    </w:rPr>
  </w:style>
  <w:style w:type="character" w:customStyle="1" w:styleId="AklamaKonusuChar">
    <w:name w:val="Açıklama Konusu Char"/>
    <w:basedOn w:val="AklamaMetniChar"/>
    <w:link w:val="AklamaKonusu"/>
    <w:uiPriority w:val="99"/>
    <w:semiHidden/>
    <w:rsid w:val="006239D1"/>
    <w:rPr>
      <w:b/>
      <w:bCs/>
      <w:sz w:val="20"/>
      <w:szCs w:val="20"/>
      <w:lang w:val="en-US"/>
    </w:rPr>
  </w:style>
  <w:style w:type="character" w:customStyle="1" w:styleId="UnresolvedMention1">
    <w:name w:val="Unresolved Mention1"/>
    <w:basedOn w:val="VarsaylanParagrafYazTipi"/>
    <w:uiPriority w:val="99"/>
    <w:rsid w:val="000176F7"/>
    <w:rPr>
      <w:color w:val="605E5C"/>
      <w:shd w:val="clear" w:color="auto" w:fill="E1DFDD"/>
    </w:rPr>
  </w:style>
  <w:style w:type="character" w:customStyle="1" w:styleId="Balk2Char">
    <w:name w:val="Başlık 2 Char"/>
    <w:basedOn w:val="VarsaylanParagrafYazTipi"/>
    <w:link w:val="Balk2"/>
    <w:uiPriority w:val="9"/>
    <w:rsid w:val="00C07AF9"/>
    <w:rPr>
      <w:rFonts w:asciiTheme="majorHAnsi" w:eastAsiaTheme="majorEastAsia" w:hAnsiTheme="majorHAnsi" w:cstheme="majorBidi"/>
      <w:color w:val="2E74B5" w:themeColor="accent1" w:themeShade="BF"/>
      <w:sz w:val="26"/>
      <w:szCs w:val="26"/>
      <w:lang w:val="en-US"/>
    </w:rPr>
  </w:style>
  <w:style w:type="character" w:customStyle="1" w:styleId="Balk4Char">
    <w:name w:val="Başlık 4 Char"/>
    <w:basedOn w:val="VarsaylanParagrafYazTipi"/>
    <w:link w:val="Balk4"/>
    <w:uiPriority w:val="9"/>
    <w:rsid w:val="00C85BF0"/>
    <w:rPr>
      <w:rFonts w:asciiTheme="majorHAnsi" w:eastAsiaTheme="majorEastAsia" w:hAnsiTheme="majorHAnsi" w:cstheme="majorBidi"/>
      <w:i/>
      <w:iCs/>
      <w:color w:val="2E74B5" w:themeColor="accent1" w:themeShade="BF"/>
      <w:lang w:val="en-GB"/>
    </w:rPr>
  </w:style>
  <w:style w:type="paragraph" w:styleId="SonnotMetni">
    <w:name w:val="endnote text"/>
    <w:basedOn w:val="Normal"/>
    <w:link w:val="SonnotMetniChar"/>
    <w:uiPriority w:val="99"/>
    <w:unhideWhenUsed/>
    <w:rsid w:val="00B75A36"/>
    <w:pPr>
      <w:spacing w:after="0" w:line="240" w:lineRule="auto"/>
    </w:pPr>
    <w:rPr>
      <w:sz w:val="20"/>
      <w:szCs w:val="20"/>
    </w:rPr>
  </w:style>
  <w:style w:type="character" w:customStyle="1" w:styleId="SonnotMetniChar">
    <w:name w:val="Sonnot Metni Char"/>
    <w:basedOn w:val="VarsaylanParagrafYazTipi"/>
    <w:link w:val="SonnotMetni"/>
    <w:uiPriority w:val="99"/>
    <w:rsid w:val="00B75A36"/>
    <w:rPr>
      <w:sz w:val="20"/>
      <w:szCs w:val="20"/>
      <w:lang w:val="en-GB"/>
    </w:rPr>
  </w:style>
  <w:style w:type="character" w:styleId="SonnotBavurusu">
    <w:name w:val="endnote reference"/>
    <w:basedOn w:val="VarsaylanParagrafYazTipi"/>
    <w:uiPriority w:val="99"/>
    <w:semiHidden/>
    <w:unhideWhenUsed/>
    <w:rsid w:val="00B75A36"/>
    <w:rPr>
      <w:vertAlign w:val="superscript"/>
    </w:rPr>
  </w:style>
  <w:style w:type="paragraph" w:styleId="BalonMetni">
    <w:name w:val="Balloon Text"/>
    <w:basedOn w:val="Normal"/>
    <w:link w:val="BalonMetniChar"/>
    <w:uiPriority w:val="99"/>
    <w:semiHidden/>
    <w:unhideWhenUsed/>
    <w:rsid w:val="00B75A3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5A36"/>
    <w:rPr>
      <w:rFonts w:ascii="Segoe UI" w:hAnsi="Segoe UI" w:cs="Segoe UI"/>
      <w:sz w:val="18"/>
      <w:szCs w:val="18"/>
      <w:lang w:val="en-US"/>
    </w:rPr>
  </w:style>
  <w:style w:type="paragraph" w:styleId="GvdeMetni">
    <w:name w:val="Body Text"/>
    <w:link w:val="GvdeMetniChar"/>
    <w:rsid w:val="00A24E15"/>
    <w:pPr>
      <w:widowControl w:val="0"/>
      <w:pBdr>
        <w:top w:val="nil"/>
        <w:left w:val="nil"/>
        <w:bottom w:val="nil"/>
        <w:right w:val="nil"/>
        <w:between w:val="nil"/>
        <w:bar w:val="nil"/>
      </w:pBdr>
      <w:spacing w:after="0" w:line="240" w:lineRule="auto"/>
    </w:pPr>
    <w:rPr>
      <w:rFonts w:ascii="Calibri Light" w:eastAsia="Arial Unicode MS" w:hAnsi="Calibri Light" w:cs="Arial Unicode MS"/>
      <w:color w:val="000000"/>
      <w:sz w:val="24"/>
      <w:szCs w:val="24"/>
      <w:u w:color="000000"/>
      <w:bdr w:val="nil"/>
      <w:lang w:val="en-US" w:eastAsia="en-GB"/>
    </w:rPr>
  </w:style>
  <w:style w:type="character" w:customStyle="1" w:styleId="GvdeMetniChar">
    <w:name w:val="Gövde Metni Char"/>
    <w:basedOn w:val="VarsaylanParagrafYazTipi"/>
    <w:link w:val="GvdeMetni"/>
    <w:rsid w:val="00A24E15"/>
    <w:rPr>
      <w:rFonts w:ascii="Calibri Light" w:eastAsia="Arial Unicode MS" w:hAnsi="Calibri Light" w:cs="Arial Unicode MS"/>
      <w:color w:val="000000"/>
      <w:sz w:val="24"/>
      <w:szCs w:val="24"/>
      <w:u w:color="000000"/>
      <w:bdr w:val="nil"/>
      <w:lang w:val="en-US" w:eastAsia="en-GB"/>
    </w:rPr>
  </w:style>
  <w:style w:type="character" w:customStyle="1" w:styleId="Link">
    <w:name w:val="Link"/>
    <w:rsid w:val="00A24E15"/>
    <w:rPr>
      <w:outline w:val="0"/>
      <w:color w:val="0563C1"/>
      <w:u w:val="single" w:color="0563C1"/>
    </w:rPr>
  </w:style>
  <w:style w:type="character" w:customStyle="1" w:styleId="Hyperlink0">
    <w:name w:val="Hyperlink.0"/>
    <w:basedOn w:val="Link"/>
    <w:rsid w:val="00A24E15"/>
    <w:rPr>
      <w:rFonts w:ascii="Calibri" w:eastAsia="Calibri" w:hAnsi="Calibri" w:cs="Calibri"/>
      <w:outline w:val="0"/>
      <w:color w:val="0563C1"/>
      <w:u w:val="single" w:color="000000"/>
    </w:rPr>
  </w:style>
  <w:style w:type="character" w:customStyle="1" w:styleId="None">
    <w:name w:val="None"/>
    <w:rsid w:val="00A24E15"/>
  </w:style>
  <w:style w:type="character" w:customStyle="1" w:styleId="Hyperlink1">
    <w:name w:val="Hyperlink.1"/>
    <w:basedOn w:val="None"/>
    <w:rsid w:val="00A24E15"/>
    <w:rPr>
      <w:rFonts w:ascii="Calibri" w:eastAsia="Calibri" w:hAnsi="Calibri" w:cs="Calibri"/>
      <w:outline w:val="0"/>
      <w:color w:val="0462C1"/>
      <w:u w:val="single" w:color="000000"/>
    </w:rPr>
  </w:style>
  <w:style w:type="character" w:customStyle="1" w:styleId="Hyperlink2">
    <w:name w:val="Hyperlink.2"/>
    <w:basedOn w:val="None"/>
    <w:rsid w:val="00A24E15"/>
    <w:rPr>
      <w:rFonts w:ascii="Calibri" w:eastAsia="Calibri" w:hAnsi="Calibri" w:cs="Calibri"/>
      <w:outline w:val="0"/>
      <w:color w:val="C00000"/>
      <w:u w:color="C00000"/>
    </w:rPr>
  </w:style>
  <w:style w:type="character" w:customStyle="1" w:styleId="Hyperlink3">
    <w:name w:val="Hyperlink.3"/>
    <w:basedOn w:val="None"/>
    <w:rsid w:val="00A24E15"/>
    <w:rPr>
      <w:rFonts w:ascii="Calibri" w:eastAsia="Calibri" w:hAnsi="Calibri" w:cs="Calibri"/>
      <w:outline w:val="0"/>
      <w:color w:val="006FC0"/>
      <w:spacing w:val="0"/>
      <w:u w:color="006FC0"/>
    </w:rPr>
  </w:style>
  <w:style w:type="numbering" w:customStyle="1" w:styleId="ImportedStyle2">
    <w:name w:val="Imported Style 2"/>
    <w:rsid w:val="00080EC7"/>
    <w:pPr>
      <w:numPr>
        <w:numId w:val="1"/>
      </w:numPr>
    </w:pPr>
  </w:style>
  <w:style w:type="character" w:customStyle="1" w:styleId="UnresolvedMention2">
    <w:name w:val="Unresolved Mention2"/>
    <w:basedOn w:val="VarsaylanParagrafYazTipi"/>
    <w:uiPriority w:val="99"/>
    <w:semiHidden/>
    <w:unhideWhenUsed/>
    <w:rsid w:val="00313344"/>
    <w:rPr>
      <w:color w:val="605E5C"/>
      <w:shd w:val="clear" w:color="auto" w:fill="E1DFDD"/>
    </w:rPr>
  </w:style>
  <w:style w:type="character" w:customStyle="1" w:styleId="target-headingheading">
    <w:name w:val="target-heading__heading"/>
    <w:basedOn w:val="VarsaylanParagrafYazTipi"/>
    <w:rsid w:val="001544A1"/>
  </w:style>
  <w:style w:type="paragraph" w:customStyle="1" w:styleId="Default">
    <w:name w:val="Default"/>
    <w:rsid w:val="008047DC"/>
    <w:pPr>
      <w:autoSpaceDE w:val="0"/>
      <w:autoSpaceDN w:val="0"/>
      <w:adjustRightInd w:val="0"/>
      <w:spacing w:after="0" w:line="240" w:lineRule="auto"/>
    </w:pPr>
    <w:rPr>
      <w:rFonts w:ascii="Calibri" w:hAnsi="Calibri" w:cs="Calibri"/>
      <w:color w:val="000000"/>
      <w:sz w:val="24"/>
      <w:szCs w:val="24"/>
      <w:lang w:val="en-US"/>
    </w:rPr>
  </w:style>
  <w:style w:type="character" w:customStyle="1" w:styleId="UnresolvedMention3">
    <w:name w:val="Unresolved Mention3"/>
    <w:basedOn w:val="VarsaylanParagrafYazTipi"/>
    <w:uiPriority w:val="99"/>
    <w:semiHidden/>
    <w:unhideWhenUsed/>
    <w:rsid w:val="00B6006E"/>
    <w:rPr>
      <w:color w:val="605E5C"/>
      <w:shd w:val="clear" w:color="auto" w:fill="E1DFDD"/>
    </w:rPr>
  </w:style>
  <w:style w:type="paragraph" w:styleId="AralkYok">
    <w:name w:val="No Spacing"/>
    <w:uiPriority w:val="1"/>
    <w:qFormat/>
    <w:rsid w:val="003F7E6F"/>
    <w:pPr>
      <w:spacing w:after="0" w:line="240" w:lineRule="auto"/>
      <w:jc w:val="both"/>
    </w:pPr>
    <w:rPr>
      <w:rFonts w:asciiTheme="majorHAnsi" w:hAnsiTheme="majorHAnsi"/>
      <w:kern w:val="2"/>
      <w:sz w:val="24"/>
      <w:lang w:val="nl-NL"/>
      <w14:ligatures w14:val="standardContextual"/>
    </w:rPr>
  </w:style>
  <w:style w:type="character" w:styleId="Gl">
    <w:name w:val="Strong"/>
    <w:basedOn w:val="VarsaylanParagrafYazTipi"/>
    <w:uiPriority w:val="22"/>
    <w:qFormat/>
    <w:rsid w:val="003F7E6F"/>
    <w:rPr>
      <w:b/>
      <w:bCs/>
    </w:rPr>
  </w:style>
  <w:style w:type="character" w:customStyle="1" w:styleId="apple-converted-space">
    <w:name w:val="apple-converted-space"/>
    <w:basedOn w:val="VarsaylanParagrafYazTipi"/>
    <w:rsid w:val="003F7E6F"/>
  </w:style>
  <w:style w:type="paragraph" w:styleId="T4">
    <w:name w:val="toc 4"/>
    <w:basedOn w:val="Normal"/>
    <w:next w:val="Normal"/>
    <w:autoRedefine/>
    <w:uiPriority w:val="39"/>
    <w:semiHidden/>
    <w:unhideWhenUsed/>
    <w:rsid w:val="0070588B"/>
    <w:pPr>
      <w:spacing w:after="0"/>
      <w:ind w:left="660"/>
    </w:pPr>
    <w:rPr>
      <w:rFonts w:cstheme="minorHAnsi"/>
      <w:sz w:val="20"/>
      <w:szCs w:val="20"/>
    </w:rPr>
  </w:style>
  <w:style w:type="paragraph" w:styleId="T5">
    <w:name w:val="toc 5"/>
    <w:basedOn w:val="Normal"/>
    <w:next w:val="Normal"/>
    <w:autoRedefine/>
    <w:uiPriority w:val="39"/>
    <w:semiHidden/>
    <w:unhideWhenUsed/>
    <w:rsid w:val="0070588B"/>
    <w:pPr>
      <w:spacing w:after="0"/>
      <w:ind w:left="880"/>
    </w:pPr>
    <w:rPr>
      <w:rFonts w:cstheme="minorHAnsi"/>
      <w:sz w:val="20"/>
      <w:szCs w:val="20"/>
    </w:rPr>
  </w:style>
  <w:style w:type="paragraph" w:styleId="T6">
    <w:name w:val="toc 6"/>
    <w:basedOn w:val="Normal"/>
    <w:next w:val="Normal"/>
    <w:autoRedefine/>
    <w:uiPriority w:val="39"/>
    <w:semiHidden/>
    <w:unhideWhenUsed/>
    <w:rsid w:val="0070588B"/>
    <w:pPr>
      <w:spacing w:after="0"/>
      <w:ind w:left="1100"/>
    </w:pPr>
    <w:rPr>
      <w:rFonts w:cstheme="minorHAnsi"/>
      <w:sz w:val="20"/>
      <w:szCs w:val="20"/>
    </w:rPr>
  </w:style>
  <w:style w:type="paragraph" w:styleId="T7">
    <w:name w:val="toc 7"/>
    <w:basedOn w:val="Normal"/>
    <w:next w:val="Normal"/>
    <w:autoRedefine/>
    <w:uiPriority w:val="39"/>
    <w:semiHidden/>
    <w:unhideWhenUsed/>
    <w:rsid w:val="0070588B"/>
    <w:pPr>
      <w:spacing w:after="0"/>
      <w:ind w:left="1320"/>
    </w:pPr>
    <w:rPr>
      <w:rFonts w:cstheme="minorHAnsi"/>
      <w:sz w:val="20"/>
      <w:szCs w:val="20"/>
    </w:rPr>
  </w:style>
  <w:style w:type="paragraph" w:styleId="T8">
    <w:name w:val="toc 8"/>
    <w:basedOn w:val="Normal"/>
    <w:next w:val="Normal"/>
    <w:autoRedefine/>
    <w:uiPriority w:val="39"/>
    <w:semiHidden/>
    <w:unhideWhenUsed/>
    <w:rsid w:val="0070588B"/>
    <w:pPr>
      <w:spacing w:after="0"/>
      <w:ind w:left="1540"/>
    </w:pPr>
    <w:rPr>
      <w:rFonts w:cstheme="minorHAnsi"/>
      <w:sz w:val="20"/>
      <w:szCs w:val="20"/>
    </w:rPr>
  </w:style>
  <w:style w:type="paragraph" w:styleId="T9">
    <w:name w:val="toc 9"/>
    <w:basedOn w:val="Normal"/>
    <w:next w:val="Normal"/>
    <w:autoRedefine/>
    <w:uiPriority w:val="39"/>
    <w:semiHidden/>
    <w:unhideWhenUsed/>
    <w:rsid w:val="0070588B"/>
    <w:pPr>
      <w:spacing w:after="0"/>
      <w:ind w:left="1760"/>
    </w:pPr>
    <w:rPr>
      <w:rFonts w:cstheme="minorHAnsi"/>
      <w:sz w:val="20"/>
      <w:szCs w:val="20"/>
    </w:rPr>
  </w:style>
  <w:style w:type="paragraph" w:customStyle="1" w:styleId="ql-indent-1">
    <w:name w:val="ql-indent-1"/>
    <w:basedOn w:val="Normal"/>
    <w:rsid w:val="003E20E5"/>
    <w:pPr>
      <w:spacing w:before="100" w:beforeAutospacing="1" w:after="100" w:afterAutospacing="1" w:line="240" w:lineRule="auto"/>
    </w:pPr>
    <w:rPr>
      <w:rFonts w:ascii="Times New Roman" w:eastAsia="Times New Roman" w:hAnsi="Times New Roman" w:cs="Times New Roman"/>
      <w:sz w:val="24"/>
      <w:szCs w:val="24"/>
      <w:lang w:val="es-ES" w:eastAsia="it-IT"/>
    </w:rPr>
  </w:style>
  <w:style w:type="character" w:customStyle="1" w:styleId="UnresolvedMention4">
    <w:name w:val="Unresolved Mention4"/>
    <w:basedOn w:val="VarsaylanParagrafYazTipi"/>
    <w:uiPriority w:val="99"/>
    <w:semiHidden/>
    <w:unhideWhenUsed/>
    <w:rsid w:val="00D8023A"/>
    <w:rPr>
      <w:color w:val="605E5C"/>
      <w:shd w:val="clear" w:color="auto" w:fill="E1DFDD"/>
    </w:rPr>
  </w:style>
  <w:style w:type="character" w:styleId="Vurgu">
    <w:name w:val="Emphasis"/>
    <w:basedOn w:val="VarsaylanParagrafYazTipi"/>
    <w:uiPriority w:val="20"/>
    <w:qFormat/>
    <w:rsid w:val="00950810"/>
    <w:rPr>
      <w:i/>
      <w:iCs/>
    </w:rPr>
  </w:style>
  <w:style w:type="character" w:customStyle="1" w:styleId="UnresolvedMention">
    <w:name w:val="Unresolved Mention"/>
    <w:basedOn w:val="VarsaylanParagrafYazTipi"/>
    <w:uiPriority w:val="99"/>
    <w:semiHidden/>
    <w:unhideWhenUsed/>
    <w:rsid w:val="00701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6806">
      <w:bodyDiv w:val="1"/>
      <w:marLeft w:val="0"/>
      <w:marRight w:val="0"/>
      <w:marTop w:val="0"/>
      <w:marBottom w:val="0"/>
      <w:divBdr>
        <w:top w:val="none" w:sz="0" w:space="0" w:color="auto"/>
        <w:left w:val="none" w:sz="0" w:space="0" w:color="auto"/>
        <w:bottom w:val="none" w:sz="0" w:space="0" w:color="auto"/>
        <w:right w:val="none" w:sz="0" w:space="0" w:color="auto"/>
      </w:divBdr>
    </w:div>
    <w:div w:id="276570193">
      <w:bodyDiv w:val="1"/>
      <w:marLeft w:val="0"/>
      <w:marRight w:val="0"/>
      <w:marTop w:val="0"/>
      <w:marBottom w:val="0"/>
      <w:divBdr>
        <w:top w:val="none" w:sz="0" w:space="0" w:color="auto"/>
        <w:left w:val="none" w:sz="0" w:space="0" w:color="auto"/>
        <w:bottom w:val="none" w:sz="0" w:space="0" w:color="auto"/>
        <w:right w:val="none" w:sz="0" w:space="0" w:color="auto"/>
      </w:divBdr>
    </w:div>
    <w:div w:id="278412148">
      <w:bodyDiv w:val="1"/>
      <w:marLeft w:val="0"/>
      <w:marRight w:val="0"/>
      <w:marTop w:val="0"/>
      <w:marBottom w:val="0"/>
      <w:divBdr>
        <w:top w:val="none" w:sz="0" w:space="0" w:color="auto"/>
        <w:left w:val="none" w:sz="0" w:space="0" w:color="auto"/>
        <w:bottom w:val="none" w:sz="0" w:space="0" w:color="auto"/>
        <w:right w:val="none" w:sz="0" w:space="0" w:color="auto"/>
      </w:divBdr>
    </w:div>
    <w:div w:id="333647827">
      <w:bodyDiv w:val="1"/>
      <w:marLeft w:val="0"/>
      <w:marRight w:val="0"/>
      <w:marTop w:val="0"/>
      <w:marBottom w:val="0"/>
      <w:divBdr>
        <w:top w:val="none" w:sz="0" w:space="0" w:color="auto"/>
        <w:left w:val="none" w:sz="0" w:space="0" w:color="auto"/>
        <w:bottom w:val="none" w:sz="0" w:space="0" w:color="auto"/>
        <w:right w:val="none" w:sz="0" w:space="0" w:color="auto"/>
      </w:divBdr>
    </w:div>
    <w:div w:id="360479306">
      <w:bodyDiv w:val="1"/>
      <w:marLeft w:val="0"/>
      <w:marRight w:val="0"/>
      <w:marTop w:val="0"/>
      <w:marBottom w:val="0"/>
      <w:divBdr>
        <w:top w:val="none" w:sz="0" w:space="0" w:color="auto"/>
        <w:left w:val="none" w:sz="0" w:space="0" w:color="auto"/>
        <w:bottom w:val="none" w:sz="0" w:space="0" w:color="auto"/>
        <w:right w:val="none" w:sz="0" w:space="0" w:color="auto"/>
      </w:divBdr>
    </w:div>
    <w:div w:id="446852223">
      <w:bodyDiv w:val="1"/>
      <w:marLeft w:val="0"/>
      <w:marRight w:val="0"/>
      <w:marTop w:val="0"/>
      <w:marBottom w:val="0"/>
      <w:divBdr>
        <w:top w:val="none" w:sz="0" w:space="0" w:color="auto"/>
        <w:left w:val="none" w:sz="0" w:space="0" w:color="auto"/>
        <w:bottom w:val="none" w:sz="0" w:space="0" w:color="auto"/>
        <w:right w:val="none" w:sz="0" w:space="0" w:color="auto"/>
      </w:divBdr>
    </w:div>
    <w:div w:id="557014398">
      <w:bodyDiv w:val="1"/>
      <w:marLeft w:val="0"/>
      <w:marRight w:val="0"/>
      <w:marTop w:val="0"/>
      <w:marBottom w:val="0"/>
      <w:divBdr>
        <w:top w:val="none" w:sz="0" w:space="0" w:color="auto"/>
        <w:left w:val="none" w:sz="0" w:space="0" w:color="auto"/>
        <w:bottom w:val="none" w:sz="0" w:space="0" w:color="auto"/>
        <w:right w:val="none" w:sz="0" w:space="0" w:color="auto"/>
      </w:divBdr>
    </w:div>
    <w:div w:id="851919521">
      <w:bodyDiv w:val="1"/>
      <w:marLeft w:val="0"/>
      <w:marRight w:val="0"/>
      <w:marTop w:val="0"/>
      <w:marBottom w:val="0"/>
      <w:divBdr>
        <w:top w:val="none" w:sz="0" w:space="0" w:color="auto"/>
        <w:left w:val="none" w:sz="0" w:space="0" w:color="auto"/>
        <w:bottom w:val="none" w:sz="0" w:space="0" w:color="auto"/>
        <w:right w:val="none" w:sz="0" w:space="0" w:color="auto"/>
      </w:divBdr>
    </w:div>
    <w:div w:id="1156340641">
      <w:bodyDiv w:val="1"/>
      <w:marLeft w:val="0"/>
      <w:marRight w:val="0"/>
      <w:marTop w:val="0"/>
      <w:marBottom w:val="0"/>
      <w:divBdr>
        <w:top w:val="none" w:sz="0" w:space="0" w:color="auto"/>
        <w:left w:val="none" w:sz="0" w:space="0" w:color="auto"/>
        <w:bottom w:val="none" w:sz="0" w:space="0" w:color="auto"/>
        <w:right w:val="none" w:sz="0" w:space="0" w:color="auto"/>
      </w:divBdr>
    </w:div>
    <w:div w:id="1213230299">
      <w:bodyDiv w:val="1"/>
      <w:marLeft w:val="0"/>
      <w:marRight w:val="0"/>
      <w:marTop w:val="0"/>
      <w:marBottom w:val="0"/>
      <w:divBdr>
        <w:top w:val="none" w:sz="0" w:space="0" w:color="auto"/>
        <w:left w:val="none" w:sz="0" w:space="0" w:color="auto"/>
        <w:bottom w:val="none" w:sz="0" w:space="0" w:color="auto"/>
        <w:right w:val="none" w:sz="0" w:space="0" w:color="auto"/>
      </w:divBdr>
    </w:div>
    <w:div w:id="1325935340">
      <w:bodyDiv w:val="1"/>
      <w:marLeft w:val="0"/>
      <w:marRight w:val="0"/>
      <w:marTop w:val="0"/>
      <w:marBottom w:val="0"/>
      <w:divBdr>
        <w:top w:val="none" w:sz="0" w:space="0" w:color="auto"/>
        <w:left w:val="none" w:sz="0" w:space="0" w:color="auto"/>
        <w:bottom w:val="none" w:sz="0" w:space="0" w:color="auto"/>
        <w:right w:val="none" w:sz="0" w:space="0" w:color="auto"/>
      </w:divBdr>
    </w:div>
    <w:div w:id="1331983530">
      <w:bodyDiv w:val="1"/>
      <w:marLeft w:val="0"/>
      <w:marRight w:val="0"/>
      <w:marTop w:val="0"/>
      <w:marBottom w:val="0"/>
      <w:divBdr>
        <w:top w:val="none" w:sz="0" w:space="0" w:color="auto"/>
        <w:left w:val="none" w:sz="0" w:space="0" w:color="auto"/>
        <w:bottom w:val="none" w:sz="0" w:space="0" w:color="auto"/>
        <w:right w:val="none" w:sz="0" w:space="0" w:color="auto"/>
      </w:divBdr>
    </w:div>
    <w:div w:id="1378972265">
      <w:bodyDiv w:val="1"/>
      <w:marLeft w:val="0"/>
      <w:marRight w:val="0"/>
      <w:marTop w:val="0"/>
      <w:marBottom w:val="0"/>
      <w:divBdr>
        <w:top w:val="none" w:sz="0" w:space="0" w:color="auto"/>
        <w:left w:val="none" w:sz="0" w:space="0" w:color="auto"/>
        <w:bottom w:val="none" w:sz="0" w:space="0" w:color="auto"/>
        <w:right w:val="none" w:sz="0" w:space="0" w:color="auto"/>
      </w:divBdr>
    </w:div>
    <w:div w:id="1451168454">
      <w:bodyDiv w:val="1"/>
      <w:marLeft w:val="0"/>
      <w:marRight w:val="0"/>
      <w:marTop w:val="0"/>
      <w:marBottom w:val="0"/>
      <w:divBdr>
        <w:top w:val="none" w:sz="0" w:space="0" w:color="auto"/>
        <w:left w:val="none" w:sz="0" w:space="0" w:color="auto"/>
        <w:bottom w:val="none" w:sz="0" w:space="0" w:color="auto"/>
        <w:right w:val="none" w:sz="0" w:space="0" w:color="auto"/>
      </w:divBdr>
    </w:div>
    <w:div w:id="1536307024">
      <w:bodyDiv w:val="1"/>
      <w:marLeft w:val="0"/>
      <w:marRight w:val="0"/>
      <w:marTop w:val="0"/>
      <w:marBottom w:val="0"/>
      <w:divBdr>
        <w:top w:val="none" w:sz="0" w:space="0" w:color="auto"/>
        <w:left w:val="none" w:sz="0" w:space="0" w:color="auto"/>
        <w:bottom w:val="none" w:sz="0" w:space="0" w:color="auto"/>
        <w:right w:val="none" w:sz="0" w:space="0" w:color="auto"/>
      </w:divBdr>
    </w:div>
    <w:div w:id="1622569634">
      <w:bodyDiv w:val="1"/>
      <w:marLeft w:val="0"/>
      <w:marRight w:val="0"/>
      <w:marTop w:val="0"/>
      <w:marBottom w:val="0"/>
      <w:divBdr>
        <w:top w:val="none" w:sz="0" w:space="0" w:color="auto"/>
        <w:left w:val="none" w:sz="0" w:space="0" w:color="auto"/>
        <w:bottom w:val="none" w:sz="0" w:space="0" w:color="auto"/>
        <w:right w:val="none" w:sz="0" w:space="0" w:color="auto"/>
      </w:divBdr>
    </w:div>
    <w:div w:id="1673220282">
      <w:bodyDiv w:val="1"/>
      <w:marLeft w:val="0"/>
      <w:marRight w:val="0"/>
      <w:marTop w:val="0"/>
      <w:marBottom w:val="0"/>
      <w:divBdr>
        <w:top w:val="none" w:sz="0" w:space="0" w:color="auto"/>
        <w:left w:val="none" w:sz="0" w:space="0" w:color="auto"/>
        <w:bottom w:val="none" w:sz="0" w:space="0" w:color="auto"/>
        <w:right w:val="none" w:sz="0" w:space="0" w:color="auto"/>
      </w:divBdr>
    </w:div>
    <w:div w:id="1797603368">
      <w:bodyDiv w:val="1"/>
      <w:marLeft w:val="0"/>
      <w:marRight w:val="0"/>
      <w:marTop w:val="0"/>
      <w:marBottom w:val="0"/>
      <w:divBdr>
        <w:top w:val="none" w:sz="0" w:space="0" w:color="auto"/>
        <w:left w:val="none" w:sz="0" w:space="0" w:color="auto"/>
        <w:bottom w:val="none" w:sz="0" w:space="0" w:color="auto"/>
        <w:right w:val="none" w:sz="0" w:space="0" w:color="auto"/>
      </w:divBdr>
    </w:div>
    <w:div w:id="1878738466">
      <w:bodyDiv w:val="1"/>
      <w:marLeft w:val="0"/>
      <w:marRight w:val="0"/>
      <w:marTop w:val="0"/>
      <w:marBottom w:val="0"/>
      <w:divBdr>
        <w:top w:val="none" w:sz="0" w:space="0" w:color="auto"/>
        <w:left w:val="none" w:sz="0" w:space="0" w:color="auto"/>
        <w:bottom w:val="none" w:sz="0" w:space="0" w:color="auto"/>
        <w:right w:val="none" w:sz="0" w:space="0" w:color="auto"/>
      </w:divBdr>
    </w:div>
    <w:div w:id="1929193045">
      <w:bodyDiv w:val="1"/>
      <w:marLeft w:val="0"/>
      <w:marRight w:val="0"/>
      <w:marTop w:val="0"/>
      <w:marBottom w:val="0"/>
      <w:divBdr>
        <w:top w:val="none" w:sz="0" w:space="0" w:color="auto"/>
        <w:left w:val="none" w:sz="0" w:space="0" w:color="auto"/>
        <w:bottom w:val="none" w:sz="0" w:space="0" w:color="auto"/>
        <w:right w:val="none" w:sz="0" w:space="0" w:color="auto"/>
      </w:divBdr>
    </w:div>
    <w:div w:id="2003585559">
      <w:bodyDiv w:val="1"/>
      <w:marLeft w:val="0"/>
      <w:marRight w:val="0"/>
      <w:marTop w:val="0"/>
      <w:marBottom w:val="0"/>
      <w:divBdr>
        <w:top w:val="none" w:sz="0" w:space="0" w:color="auto"/>
        <w:left w:val="none" w:sz="0" w:space="0" w:color="auto"/>
        <w:bottom w:val="none" w:sz="0" w:space="0" w:color="auto"/>
        <w:right w:val="none" w:sz="0" w:space="0" w:color="auto"/>
      </w:divBdr>
    </w:div>
    <w:div w:id="2007048633">
      <w:bodyDiv w:val="1"/>
      <w:marLeft w:val="0"/>
      <w:marRight w:val="0"/>
      <w:marTop w:val="0"/>
      <w:marBottom w:val="0"/>
      <w:divBdr>
        <w:top w:val="none" w:sz="0" w:space="0" w:color="auto"/>
        <w:left w:val="none" w:sz="0" w:space="0" w:color="auto"/>
        <w:bottom w:val="none" w:sz="0" w:space="0" w:color="auto"/>
        <w:right w:val="none" w:sz="0" w:space="0" w:color="auto"/>
      </w:divBdr>
    </w:div>
    <w:div w:id="2080445119">
      <w:bodyDiv w:val="1"/>
      <w:marLeft w:val="0"/>
      <w:marRight w:val="0"/>
      <w:marTop w:val="0"/>
      <w:marBottom w:val="0"/>
      <w:divBdr>
        <w:top w:val="none" w:sz="0" w:space="0" w:color="auto"/>
        <w:left w:val="none" w:sz="0" w:space="0" w:color="auto"/>
        <w:bottom w:val="none" w:sz="0" w:space="0" w:color="auto"/>
        <w:right w:val="none" w:sz="0" w:space="0" w:color="auto"/>
      </w:divBdr>
    </w:div>
    <w:div w:id="2099322425">
      <w:bodyDiv w:val="1"/>
      <w:marLeft w:val="0"/>
      <w:marRight w:val="0"/>
      <w:marTop w:val="0"/>
      <w:marBottom w:val="0"/>
      <w:divBdr>
        <w:top w:val="none" w:sz="0" w:space="0" w:color="auto"/>
        <w:left w:val="none" w:sz="0" w:space="0" w:color="auto"/>
        <w:bottom w:val="none" w:sz="0" w:space="0" w:color="auto"/>
        <w:right w:val="none" w:sz="0" w:space="0" w:color="auto"/>
      </w:divBdr>
    </w:div>
    <w:div w:id="2125422422">
      <w:bodyDiv w:val="1"/>
      <w:marLeft w:val="0"/>
      <w:marRight w:val="0"/>
      <w:marTop w:val="0"/>
      <w:marBottom w:val="0"/>
      <w:divBdr>
        <w:top w:val="none" w:sz="0" w:space="0" w:color="auto"/>
        <w:left w:val="none" w:sz="0" w:space="0" w:color="auto"/>
        <w:bottom w:val="none" w:sz="0" w:space="0" w:color="auto"/>
        <w:right w:val="none" w:sz="0" w:space="0" w:color="auto"/>
      </w:divBdr>
    </w:div>
    <w:div w:id="2131782540">
      <w:bodyDiv w:val="1"/>
      <w:marLeft w:val="0"/>
      <w:marRight w:val="0"/>
      <w:marTop w:val="0"/>
      <w:marBottom w:val="0"/>
      <w:divBdr>
        <w:top w:val="none" w:sz="0" w:space="0" w:color="auto"/>
        <w:left w:val="none" w:sz="0" w:space="0" w:color="auto"/>
        <w:bottom w:val="none" w:sz="0" w:space="0" w:color="auto"/>
        <w:right w:val="none" w:sz="0" w:space="0" w:color="auto"/>
      </w:divBdr>
    </w:div>
    <w:div w:id="214410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rokenchalk.org" TargetMode="External"/><Relationship Id="rId14" Type="http://schemas.openxmlformats.org/officeDocument/2006/relationships/hyperlink" Target="https://www.facebook.com/BrokenChalk/"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tandfonline.com/doi/abs/10.1080/01596306.2020.1852181" TargetMode="External"/><Relationship Id="rId18" Type="http://schemas.openxmlformats.org/officeDocument/2006/relationships/hyperlink" Target="https://iudpas.unah.edu.hn/dmsdocument/9027-boletin-muerte-violenta-de-mujeres-y-femicidios-enero-diciembre-2018-ed-14" TargetMode="External"/><Relationship Id="rId26" Type="http://schemas.openxmlformats.org/officeDocument/2006/relationships/hyperlink" Target="https://www.frontiersin.org/articles/10.3389/fpsyg.2018.01777" TargetMode="External"/><Relationship Id="rId39" Type="http://schemas.openxmlformats.org/officeDocument/2006/relationships/hyperlink" Target="https://www.crisisgroup.org/latin-america-caribbean/central-america/honduras/100-new-dawn-or-old-habits-resolving-honduras-security" TargetMode="External"/><Relationship Id="rId21" Type="http://schemas.openxmlformats.org/officeDocument/2006/relationships/hyperlink" Target="https://pbi-honduras.org/news/2020-10/gender-based-violence-another-pandemic-women" TargetMode="External"/><Relationship Id="rId34" Type="http://schemas.openxmlformats.org/officeDocument/2006/relationships/hyperlink" Target="https://contracorriente.red/2021/02/13/muerte-de-estudiante-de-enfermeria-en-custodia-policial-se-perfila-como-femicidio-de-estado/" TargetMode="External"/><Relationship Id="rId42" Type="http://schemas.openxmlformats.org/officeDocument/2006/relationships/hyperlink" Target="https://pressbooks.claremont.edu/soc189pom001/chapter/ilma-relationship-between-womens-poverty-and-feminicides-in-honduras/" TargetMode="External"/><Relationship Id="rId47" Type="http://schemas.openxmlformats.org/officeDocument/2006/relationships/hyperlink" Target="https://www.researchgate.net/profile/Darlyn-Meza/publication/349963425_Situacion_fortalezas_y_desafios_del_Programa_Ciudad_Mujer_Honduras/links/60498ecd45851543166b8ce3/Situacion-fortalezas-y-desafios-del-Programa-Ciudad-Mujer-Honduras.pdf?_tp=eyJjb250ZXh0Ijp7ImZpcnN0UGFnZSI6InB1YmxpY2F0aW9uIiwicGFnZSI6InB1YmxpY2F0aW9uIn19" TargetMode="External"/><Relationship Id="rId7" Type="http://schemas.openxmlformats.org/officeDocument/2006/relationships/hyperlink" Target="https://www.ourlittleroses.org/blog/education-for-girls-in-honduras/" TargetMode="External"/><Relationship Id="rId2" Type="http://schemas.openxmlformats.org/officeDocument/2006/relationships/hyperlink" Target="https://60millionsdefilles.org/en/our-projects/2009-honduras/" TargetMode="External"/><Relationship Id="rId16" Type="http://schemas.openxmlformats.org/officeDocument/2006/relationships/hyperlink" Target="https://www.tandfonline.com/doi/abs/10.1080/08911916.2015.1129839" TargetMode="External"/><Relationship Id="rId29" Type="http://schemas.openxmlformats.org/officeDocument/2006/relationships/hyperlink" Target="https://doi.org/10.1023/A:1013050829597" TargetMode="External"/><Relationship Id="rId1" Type="http://schemas.openxmlformats.org/officeDocument/2006/relationships/hyperlink" Target="https://lencaedu.wordpress.com/" TargetMode="External"/><Relationship Id="rId6" Type="http://schemas.openxmlformats.org/officeDocument/2006/relationships/hyperlink" Target="https://globalfundforchildren.org/story/promoting-healthy-masculinities-is-key-to-gender-equality-but-how-do-we-achieve-this/" TargetMode="External"/><Relationship Id="rId11" Type="http://schemas.openxmlformats.org/officeDocument/2006/relationships/hyperlink" Target="https://www.proquest.com/openview/1cb64ee3963a6ecf9e67e6935a79c36f/1?pq-origsite=gscholar&amp;cbl=18750&amp;diss=y" TargetMode="External"/><Relationship Id="rId24" Type="http://schemas.openxmlformats.org/officeDocument/2006/relationships/hyperlink" Target="https://www.state.gov/wp-content/uploads/2023/02/415610_HONDURAS-2022-HUMAN-RIGHTS-REPORT.pdf" TargetMode="External"/><Relationship Id="rId32" Type="http://schemas.openxmlformats.org/officeDocument/2006/relationships/hyperlink" Target="https://pressbooks.claremont.edu/soc189pom001/chapter/ilma-relationship-between-womens-poverty-and-feminicides-in-honduras/" TargetMode="External"/><Relationship Id="rId37" Type="http://schemas.openxmlformats.org/officeDocument/2006/relationships/hyperlink" Target="https://www.migrationpolicy.org/article/pandemic-hurricanes-political-instability-migration-honduras" TargetMode="External"/><Relationship Id="rId40" Type="http://schemas.openxmlformats.org/officeDocument/2006/relationships/hyperlink" Target="https://www.state.gov/wp-content/uploads/2023/02/415610_HONDURAS-2022-HUMAN-RIGHTS-REPORT.pdf" TargetMode="External"/><Relationship Id="rId45" Type="http://schemas.openxmlformats.org/officeDocument/2006/relationships/hyperlink" Target="https://www.migrationpolicy.org/article/pandemic-hurricanes-political-instability-migration-honduras" TargetMode="External"/><Relationship Id="rId5" Type="http://schemas.openxmlformats.org/officeDocument/2006/relationships/hyperlink" Target="https://60millionsdefilles.org/en/our-projects/2009-honduras/" TargetMode="External"/><Relationship Id="rId15" Type="http://schemas.openxmlformats.org/officeDocument/2006/relationships/hyperlink" Target="https://www.tandfonline.com/doi/abs/10.1080/01459740.2022.2125388" TargetMode="External"/><Relationship Id="rId23" Type="http://schemas.openxmlformats.org/officeDocument/2006/relationships/hyperlink" Target="https://pbi-honduras.org/news/2020-10/gender-based-violence-another-pandemic-women" TargetMode="External"/><Relationship Id="rId28" Type="http://schemas.openxmlformats.org/officeDocument/2006/relationships/hyperlink" Target="https://www.theguardian.com/world/2021/feb/12/honduras-femicide-keyla-martinez-women-violence" TargetMode="External"/><Relationship Id="rId36" Type="http://schemas.openxmlformats.org/officeDocument/2006/relationships/hyperlink" Target="https://www.theguardian.com/world/2021/feb/12/honduras-femicide-keyla-martinez-women-violence" TargetMode="External"/><Relationship Id="rId10" Type="http://schemas.openxmlformats.org/officeDocument/2006/relationships/hyperlink" Target="https://onlinelibrary.wiley.com/doi/abs/10.1111/j.1471-0374.2011.00307.x" TargetMode="External"/><Relationship Id="rId19" Type="http://schemas.openxmlformats.org/officeDocument/2006/relationships/hyperlink" Target="https://iudpas.unah.edu.hn/dmsdocument/15724-boletin-muerte-violenta-de-mujeres-y-femicidios-ene-dic-2022-ed-no-18" TargetMode="External"/><Relationship Id="rId31" Type="http://schemas.openxmlformats.org/officeDocument/2006/relationships/hyperlink" Target="https://pressbooks.claremont.edu/soc189pom001/chapter/ilma-relationship-between-womens-poverty-and-feminicides-in-honduras/" TargetMode="External"/><Relationship Id="rId44" Type="http://schemas.openxmlformats.org/officeDocument/2006/relationships/hyperlink" Target="https://pressbooks.claremont.edu/soc189pom001/chapter/ilma-relationship-between-womens-poverty-and-feminicides-in-honduras/" TargetMode="External"/><Relationship Id="rId4" Type="http://schemas.openxmlformats.org/officeDocument/2006/relationships/hyperlink" Target="https://60millionsdefilles.org/en/our-projects/2009-honduras/" TargetMode="External"/><Relationship Id="rId9" Type="http://schemas.openxmlformats.org/officeDocument/2006/relationships/hyperlink" Target="https://dai-global-developments.com/articles/mainstreaming-gender-equity-and-inclusion-in-honduran-schools/" TargetMode="External"/><Relationship Id="rId14" Type="http://schemas.openxmlformats.org/officeDocument/2006/relationships/hyperlink" Target="https://link.springer.com/article/10.1007/s11125-007-9013-2" TargetMode="External"/><Relationship Id="rId22" Type="http://schemas.openxmlformats.org/officeDocument/2006/relationships/hyperlink" Target="https://iudpas.unah.edu.hn/dmsdocument/10950-boletin-muerte-violenta-de-mujeres-y-femicidios-enero-diciembre-2019-ed-15" TargetMode="External"/><Relationship Id="rId27" Type="http://schemas.openxmlformats.org/officeDocument/2006/relationships/hyperlink" Target="https://contracorriente.red/en/2020/08/08/femicide-in-honduras-women-dismissed-by-their-own-government/" TargetMode="External"/><Relationship Id="rId30" Type="http://schemas.openxmlformats.org/officeDocument/2006/relationships/hyperlink" Target="https://www.telesurenglish.net/analysis/Violence-in-Honduras-Since-the-2009-Coup-20140717-0132.html" TargetMode="External"/><Relationship Id="rId35" Type="http://schemas.openxmlformats.org/officeDocument/2006/relationships/hyperlink" Target="https://www.elfaro.net/en/202102/centroamerica/25262/In-Custody-Death-Sparks-Allegations-of-Femicide-against-Honduran-Police.htm" TargetMode="External"/><Relationship Id="rId43" Type="http://schemas.openxmlformats.org/officeDocument/2006/relationships/hyperlink" Target="https://www.migrationpolicy.org/article/pandemic-hurricanes-political-instability-migration-honduras" TargetMode="External"/><Relationship Id="rId8" Type="http://schemas.openxmlformats.org/officeDocument/2006/relationships/hyperlink" Target="https://globalfundforchildren.org/story/promoting-healthy-masculinities-is-key-to-gender-equality-but-how-do-we-achieve-this/" TargetMode="External"/><Relationship Id="rId3" Type="http://schemas.openxmlformats.org/officeDocument/2006/relationships/hyperlink" Target="https://lencaedu.wordpress.com/" TargetMode="External"/><Relationship Id="rId12" Type="http://schemas.openxmlformats.org/officeDocument/2006/relationships/hyperlink" Target="https://www.tandfonline.com/doi/abs/10.1080/08911916.2015.1129839" TargetMode="External"/><Relationship Id="rId17" Type="http://schemas.openxmlformats.org/officeDocument/2006/relationships/hyperlink" Target="https://statistics.cepal.org/portal/cepalstat/dashboard.html?theme=4&amp;lang=en" TargetMode="External"/><Relationship Id="rId25" Type="http://schemas.openxmlformats.org/officeDocument/2006/relationships/hyperlink" Target="https://pbi-honduras.org/news/2020-10/gender-based-violence-another-pandemic-women" TargetMode="External"/><Relationship Id="rId33" Type="http://schemas.openxmlformats.org/officeDocument/2006/relationships/hyperlink" Target="https://www.theguardian.com/world/2021/feb/12/honduras-femicide-keyla-martinez-women-violence" TargetMode="External"/><Relationship Id="rId38" Type="http://schemas.openxmlformats.org/officeDocument/2006/relationships/hyperlink" Target="https://www.ips-journal.eu/topics/future-of-social-democracy/the-end-of-honduras-narco-state-5697/" TargetMode="External"/><Relationship Id="rId46" Type="http://schemas.openxmlformats.org/officeDocument/2006/relationships/hyperlink" Target="https://fundacionetea.org/en/2022/08/18/why-are-we-fighting-for-a-law-on-safe-houses-in-honduras/" TargetMode="External"/><Relationship Id="rId20" Type="http://schemas.openxmlformats.org/officeDocument/2006/relationships/hyperlink" Target="https://transrespect.org/en/map/trans-murder-monitoring/" TargetMode="External"/><Relationship Id="rId41" Type="http://schemas.openxmlformats.org/officeDocument/2006/relationships/hyperlink" Target="https://www.crisisgroup.org/latin-america-caribbean/central-america/honduras/100-new-dawn-or-old-habits-resolving-honduras-security"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brokenchalk.org/" TargetMode="External"/><Relationship Id="rId2" Type="http://schemas.openxmlformats.org/officeDocument/2006/relationships/hyperlink" Target="mailto:upr@brokenchalk.org" TargetMode="External"/><Relationship Id="rId1" Type="http://schemas.openxmlformats.org/officeDocument/2006/relationships/image" Target="media/image7.jpeg"/><Relationship Id="rId6" Type="http://schemas.openxmlformats.org/officeDocument/2006/relationships/image" Target="media/image8.png"/><Relationship Id="rId5" Type="http://schemas.openxmlformats.org/officeDocument/2006/relationships/hyperlink" Target="http://www.brokenchalk.org/" TargetMode="External"/><Relationship Id="rId4" Type="http://schemas.openxmlformats.org/officeDocument/2006/relationships/hyperlink" Target="mailto:upr@brokenchalk.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Zei17</b:Tag>
    <b:SourceType>DocumentFromInternetSite</b:SourceType>
    <b:Guid>{C8F25E8D-2B71-443D-B84E-2F65C8AD97B8}</b:Guid>
    <b:Author>
      <b:Author>
        <b:Corporate>Zeid Ra' Al Hussein, High Commissioner for Human Rights</b:Corporate>
      </b:Author>
    </b:Author>
    <b:Title>Letter by the High Commissioner to the Foreign Minister</b:Title>
    <b:Year>2017</b:Year>
    <b:Department>Human Rights Council</b:Department>
    <b:Institution>United Nations</b:Institution>
    <b:YearAccessed>2022</b:YearAccessed>
    <b:MonthAccessed>February</b:MonthAccessed>
    <b:URL>https://lib.ohchr.org/HRBodies/UPR/Documents/Session27/DZ/AlgeriaHCLetter.pdf</b:URL>
    <b:InternetSiteTitle>United Nations Human Rights Council</b:InternetSiteTitle>
    <b:Month>October</b:Month>
    <b:Day>23</b:Day>
    <b:RefOrder>1</b:RefOrder>
  </b:Source>
  <b:Source>
    <b:Tag>Uni17</b:Tag>
    <b:SourceType>DocumentFromInternetSite</b:SourceType>
    <b:Guid>{455830B0-E266-4B8F-BF47-6B12A09EA102}</b:Guid>
    <b:Author>
      <b:Author>
        <b:Corporate>United Nations Human Rights Council</b:Corporate>
      </b:Author>
    </b:Author>
    <b:Title>Universal Periodic Review - Algeria</b:Title>
    <b:InternetSiteTitle>United Nations Human Rights Council</b:InternetSiteTitle>
    <b:Year>2017</b:Year>
    <b:Month>May</b:Month>
    <b:URL>https://lib.ohchr.org/HRBodies/UPR/Documents/Session27/DZ/ALGERIA_Infographic_27th.pdf</b:URL>
    <b:YearAccessed>2022</b:YearAccessed>
    <b:MonthAccessed>February</b:MonthAccessed>
    <b:RefOrder>2</b:RefOrder>
  </b:Source>
  <b:Source>
    <b:Tag>Alg17</b:Tag>
    <b:SourceType>Report</b:SourceType>
    <b:Guid>{71581939-E96C-45C5-B1A6-2CA083C7CA05}</b:Guid>
    <b:Author>
      <b:Author>
        <b:NameList>
          <b:Person>
            <b:Last>Algeria</b:Last>
          </b:Person>
        </b:NameList>
      </b:Author>
    </b:Author>
    <b:Title>National report submitted in accordance with paragraph 5 of the annex to Human Rights Council resolution 16/2* - Algeria</b:Title>
    <b:InternetSiteTitle>United Nations Human Rights Council</b:InternetSiteTitle>
    <b:Year>2017</b:Year>
    <b:Month>February</b:Month>
    <b:Day>20</b:Day>
    <b:URL>https://documents-dds-ny.un.org/doc/UNDOC/GEN/G17/038/00/PDF/G1703800.pdf?OpenElement</b:URL>
    <b:YearAccessed>2022</b:YearAccessed>
    <b:MonthAccessed>February</b:MonthAccessed>
    <b:Institution>United Nations Human Rights Council</b:Institution>
    <b:RefOrder>3</b:RefOrder>
  </b:Source>
  <b:Source>
    <b:Tag>UNE21</b:Tag>
    <b:SourceType>DocumentFromInternetSite</b:SourceType>
    <b:Guid>{D60A4C35-61B9-432B-8933-6CB0CFF0F80C}</b:Guid>
    <b:Title>Data Resources</b:Title>
    <b:Year>2021</b:Year>
    <b:InternetSiteTitle>UNESCO Institute for Statistics Technical Cooperation Group</b:InternetSiteTitle>
    <b:URL>https://tcg.uis.unesco.org/data-resources/</b:URL>
    <b:Author>
      <b:Author>
        <b:Corporate>UNESCO Institute for Statistics Technical Cooperation Group</b:Corporate>
      </b:Author>
    </b:Author>
    <b:YearAccessed>2022</b:YearAccessed>
    <b:MonthAccessed>February</b:MonthAccessed>
    <b:RefOrder>4</b:RefOrder>
  </b:Source>
  <b:Source>
    <b:Tag>Gro18</b:Tag>
    <b:SourceType>BookSection</b:SourceType>
    <b:Guid>{BE840ED0-CE1F-49A1-9698-712CDA2BAEDC}</b:Guid>
    <b:Title>Technical and vocational training improve employment</b:Title>
    <b:Year>2018</b:Year>
    <b:URL>https://oxfordbusinessgroup.com/overview/job-development-and-promotion-technical-and-vocational-training-key-improving-employment-15</b:URL>
    <b:Author>
      <b:Author>
        <b:Corporate>Oxford Business Group</b:Corporate>
      </b:Author>
      <b:BookAuthor>
        <b:NameList>
          <b:Person>
            <b:Last>Oxford Business Group</b:Last>
          </b:Person>
        </b:NameList>
      </b:BookAuthor>
    </b:Author>
    <b:BookTitle>THE REPORT Algeria 2018</b:BookTitle>
    <b:YearAccessed>2022</b:YearAccessed>
    <b:MonthAccessed>February</b:MonthAccessed>
    <b:RefOrder>5</b:RefOrder>
  </b:Source>
  <b:Source>
    <b:Tag>MER19</b:Tag>
    <b:SourceType>Report</b:SourceType>
    <b:Guid>{006A9467-FD98-46A2-8E20-17DC76C4570A}</b:Guid>
    <b:Title>The Higher Education system in Algeria</b:Title>
    <b:Year>2019</b:Year>
    <b:Author>
      <b:Author>
        <b:NameList>
          <b:Person>
            <b:Last>MERIC-Net</b:Last>
          </b:Person>
        </b:NameList>
      </b:Author>
    </b:Author>
    <b:ThesisType>National Report</b:ThesisType>
    <b:YearAccessed>2022</b:YearAccessed>
    <b:MonthAccessed>February</b:MonthAccessed>
    <b:URL>http://www.meric-net.eu/files/fileusers/National_Report_template_MERIC-NET_Algeria_English.pdf</b:URL>
    <b:RefOrder>6</b:RefOrder>
  </b:Source>
  <b:Source>
    <b:Tag>Hum18</b:Tag>
    <b:SourceType>Report</b:SourceType>
    <b:Guid>{129D544A-29B8-4BB5-9C11-257B7804EEB1}</b:Guid>
    <b:Author>
      <b:Author>
        <b:Corporate>Human Rights Watch</b:Corporate>
      </b:Author>
    </b:Author>
    <b:Title>Leave No Girl Behind in Africa. Discrimination in Education against Pregnant Girls and Adolescents Mothers</b:Title>
    <b:Year>2018</b:Year>
    <b:StandardNumber>978-1-6231-36178</b:StandardNumber>
    <b:YearAccessed>2022</b:YearAccessed>
    <b:MonthAccessed>February</b:MonthAccessed>
    <b:URL>https://www.hrw.org/report/2018/06/14/leave-no-girl-behind-africa/discrimination-education-against-pregnant-girls-and</b:URL>
    <b:RefOrder>7</b:RefOrder>
  </b:Source>
  <b:Source>
    <b:Tag>Sav20</b:Tag>
    <b:SourceType>Report</b:SourceType>
    <b:Guid>{6E84A677-8922-4A0C-9CAC-F5849BBCC838}</b:Guid>
    <b:Author>
      <b:Author>
        <b:Corporate>Save the Children</b:Corporate>
      </b:Author>
    </b:Author>
    <b:Title>Save our Education. Protect every child’s right to learn in the COVID-19 response and recovery</b:Title>
    <b:Year>2020</b:Year>
    <b:Publisher>Save the Children</b:Publisher>
    <b:City>London</b:City>
    <b:YearAccessed>2022</b:YearAccessed>
    <b:MonthAccessed>February</b:MonthAccessed>
    <b:URL>https://www.savethechildren.net/save-our-education-report/</b:URL>
    <b:RefOrder>8</b:RefOrder>
  </b:Source>
  <b:Source>
    <b:Tag>Oxf18</b:Tag>
    <b:SourceType>BookSection</b:SourceType>
    <b:Guid>{E65E84E2-7AA8-4D3D-AD58-5CEA5B3B4507}</b:Guid>
    <b:Title>Tahar Hadjar, Minister of Higher Education and Scientific Research: Interview</b:Title>
    <b:Year>2018</b:Year>
    <b:Author>
      <b:Author>
        <b:Corporate>Oxford Business Group</b:Corporate>
      </b:Author>
    </b:Author>
    <b:BookTitle>THE REPORT Algeria 2018</b:BookTitle>
    <b:YearAccessed>2022</b:YearAccessed>
    <b:MonthAccessed>February</b:MonthAccessed>
    <b:URL>https://oxfordbusinessgroup.com/interview/encouraging-moves-tahar-hadjar-minister-higher-education-and-scientific-research-partnerships</b:URL>
    <b:RefOrder>9</b:RefOrder>
  </b:Source>
  <b:Source>
    <b:Tag>Qua22</b:Tag>
    <b:SourceType>InternetSite</b:SourceType>
    <b:Guid>{EA7636AD-7EF4-4466-BC56-61C6E517EE8F}</b:Guid>
    <b:Title>Quality of Education - Results from the PISA study</b:Title>
    <b:InternetSiteTitle>Our World in Data</b:InternetSiteTitle>
    <b:URL>https://ourworldindata.org/quality-of-education#results-from-the-pisa-study</b:URL>
    <b:YearAccessed>2022</b:YearAccessed>
    <b:MonthAccessed>February</b:MonthAccessed>
    <b:Author>
      <b:Author>
        <b:NameList>
          <b:Person>
            <b:Last>Roser</b:Last>
            <b:First>Max</b:First>
          </b:Person>
          <b:Person>
            <b:Last>Nagdy</b:Last>
            <b:First>Mohamed</b:First>
          </b:Person>
          <b:Person>
            <b:Last>Ortiz-Ospina</b:Last>
            <b:First>Esteban</b:First>
          </b:Person>
        </b:NameList>
      </b:Author>
    </b:Author>
    <b:Year>2015</b:Year>
    <b:RefOrder>10</b:RefOrder>
  </b:Source>
  <b:Source>
    <b:Tag>Ara17</b:Tag>
    <b:SourceType>DocumentFromInternetSite</b:SourceType>
    <b:Guid>{4481A69B-8F39-43A7-94F3-A2D051A189EE}</b:Guid>
    <b:Title>The Algerian Education System</b:Title>
    <b:InternetSiteTitle>About Algeria</b:InternetSiteTitle>
    <b:Year>2017</b:Year>
    <b:Month>December</b:Month>
    <b:URL>https://www.aboutalgeria.com/2017/12/the-algerian-education-system.html</b:URL>
    <b:Author>
      <b:Author>
        <b:NameList>
          <b:Person>
            <b:Last>Arab</b:Last>
            <b:First>Sabrina</b:First>
          </b:Person>
        </b:NameList>
      </b:Author>
    </b:Author>
    <b:YearAccessed>2022</b:YearAccessed>
    <b:MonthAccessed>February</b:MonthAccessed>
    <b:RefOrder>11</b:RefOrder>
  </b:Source>
  <b:Source>
    <b:Tag>Baz21</b:Tag>
    <b:SourceType>Report</b:SourceType>
    <b:Guid>{AA45E397-5616-4B01-BBED-471864A31273}</b:Guid>
    <b:Title>Les principaux indicateurs du secteur de l’éducation nationale année scolaire 2019-2020</b:Title>
    <b:Year>2021</b:Year>
    <b:Author>
      <b:Author>
        <b:NameList>
          <b:Person>
            <b:Last>Bazizi</b:Last>
            <b:First>Youcef</b:First>
          </b:Person>
        </b:NameList>
      </b:Author>
    </b:Author>
    <b:Publisher>Office National des Statistiques</b:Publisher>
    <b:YearAccessed>2022</b:YearAccessed>
    <b:MonthAccessed>February</b:MonthAccessed>
    <b:URL>https://www.ons.dz/spip.php?article2637</b:URL>
    <b:RefOrder>12</b:RefOrder>
  </b:Source>
  <b:Source>
    <b:Tag>Oxf181</b:Tag>
    <b:SourceType>BookSection</b:SourceType>
    <b:Guid>{6B49C647-F6BB-4422-BA5B-B507B4EE90C5}</b:Guid>
    <b:Author>
      <b:Author>
        <b:Corporate>Oxford Business Group</b:Corporate>
      </b:Author>
    </b:Author>
    <b:Title>Reforms to Algeria's education system to expand capacity and modernise curricula</b:Title>
    <b:BookTitle>THE REPORT Algeria 2018</b:BookTitle>
    <b:Year>2018</b:Year>
    <b:YearAccessed>2022</b:YearAccessed>
    <b:MonthAccessed>February</b:MonthAccessed>
    <b:URL>https://oxfordbusinessgroup.com/overview/contemporary-tutelage-transforming-education-system-expand-capacity-and-prepare-students-modern-age</b:URL>
    <b:RefOrder>13</b:RefOrder>
  </b:Source>
  <b:Source>
    <b:Tag>Oxf182</b:Tag>
    <b:SourceType>BookSection</b:SourceType>
    <b:Guid>{C1FA8F82-D97A-4A6E-A15C-91402B9ED81B}</b:Guid>
    <b:Author>
      <b:Author>
        <b:Corporate>Oxford Business Group</b:Corporate>
      </b:Author>
    </b:Author>
    <b:Title>Algeria overhauls teaching methods and increases education funding</b:Title>
    <b:BookTitle>THE REPORT Algeria 2017</b:BookTitle>
    <b:Year>2017</b:Year>
    <b:YearAccessed>2022</b:YearAccessed>
    <b:MonthAccessed>Febraury</b:MonthAccessed>
    <b:URL>https://oxfordbusinessgroup.com/overview/knuckling-down-overhaul-teaching-methods-and-increased-funding-raise-standard-learning-all-schooling</b:URL>
    <b:RefOrder>14</b:RefOrder>
  </b:Source>
  <b:Source>
    <b:Tag>Nat19</b:Tag>
    <b:SourceType>DocumentFromInternetSite</b:SourceType>
    <b:Guid>{0D5D9F87-6245-4C47-8C08-BBDB60F5920B}</b:Guid>
    <b:Title>Top 10 Facts about Living Conditions in Algeria</b:Title>
    <b:Year>2019</b:Year>
    <b:Author>
      <b:Author>
        <b:NameList>
          <b:Person>
            <b:Last>Abdou</b:Last>
            <b:First>Natalie</b:First>
          </b:Person>
        </b:NameList>
      </b:Author>
    </b:Author>
    <b:InternetSiteTitle>The Borgen Project</b:InternetSiteTitle>
    <b:Month>February</b:Month>
    <b:Day>09</b:Day>
    <b:URL>https://borgenproject.org/top-10-facts-about-living-conditions-in-algeria/</b:URL>
    <b:RefOrder>15</b:RefOrder>
  </b:Source>
  <b:Source>
    <b:Tag>Com19</b:Tag>
    <b:SourceType>DocumentFromInternetSite</b:SourceType>
    <b:Guid>{5C1FD42C-CAF5-4E1E-9AD8-010D010E8B7A}</b:Guid>
    <b:Title>Concluding observations on the initial report of Algeria</b:Title>
    <b:Year>2019</b:Year>
    <b:Month>June</b:Month>
    <b:Day>27</b:Day>
    <b:URL>https://tbinternet.ohchr.org/_layouts/15/treatybodyexternal/Download.aspx?symbolno=CRPD/C/DZA/CO/1&amp;Lang=En</b:URL>
    <b:Author>
      <b:Author>
        <b:Corporate>Committee on the Rights of Persons with Disabilities</b:Corporate>
      </b:Author>
    </b:Author>
    <b:ShortTitle>CRPD/C/DZA/CO/1</b:ShortTitle>
    <b:YearAccessed>2022</b:YearAccessed>
    <b:MonthAccessed>February</b:MonthAccessed>
    <b:RefOrder>16</b:RefOrder>
  </b:Source>
  <b:Source>
    <b:Tag>Han21</b:Tag>
    <b:SourceType>DocumentFromInternetSite</b:SourceType>
    <b:Guid>{9DCE9EA4-1ACC-49E1-A0A6-57CB51EC8CA7}</b:Guid>
    <b:Author>
      <b:Author>
        <b:Corporate>Handicap International</b:Corporate>
      </b:Author>
    </b:Author>
    <b:Title>Country card Algeria 2020</b:Title>
    <b:InternetSiteTitle>Handicap International - Humanity &amp; Inclusion</b:InternetSiteTitle>
    <b:Year>2021</b:Year>
    <b:URL>https://hi.org/en/country/algeria</b:URL>
    <b:YearAccessed>2022</b:YearAccessed>
    <b:MonthAccessed>February</b:MonthAccessed>
    <b:RefOrder>17</b:RefOrder>
  </b:Source>
  <b:Source>
    <b:Tag>Rac18</b:Tag>
    <b:SourceType>JournalArticle</b:SourceType>
    <b:Guid>{DFBB148F-F408-4844-9CEE-A25694E8F721}</b:Guid>
    <b:Author>
      <b:Author>
        <b:NameList>
          <b:Person>
            <b:Last>Rachid</b:Last>
            <b:First>Bessai</b:First>
          </b:Person>
        </b:NameList>
      </b:Author>
    </b:Author>
    <b:Title>Access to schooling for people with special needs in Algeria</b:Title>
    <b:Year>2018</b:Year>
    <b:PeriodicalTitle>Sociology International Journal</b:PeriodicalTitle>
    <b:Pages>371-375</b:Pages>
    <b:JournalName>Sociology International Journal</b:JournalName>
    <b:Publisher>MedCrave</b:Publisher>
    <b:YearAccessed>2022</b:YearAccessed>
    <b:MonthAccessed>February</b:MonthAccessed>
    <b:URL>http://medcraveonline.com/SIJ/SIJ-02-00071.pdf</b:URL>
    <b:RefOrder>18</b:RefOrder>
  </b:Source>
  <b:Source>
    <b:Tag>Com18</b:Tag>
    <b:SourceType>DocumentFromInternetSite</b:SourceType>
    <b:Guid>{BFF01FC3-2EA2-4BB4-91B2-CA8D21FE1BF5}</b:Guid>
    <b:Title>Concluding observations on the second periodic report of Algeria</b:Title>
    <b:Year>2018</b:Year>
    <b:Month>May</b:Month>
    <b:Day>25</b:Day>
    <b:URL>https://tbinternet.ohchr.org/_layouts/15/treatybodyexternal/Download.aspx?symbolno=CMW/C/DZA/CO/2&amp;Lang=En</b:URL>
    <b:Author>
      <b:Author>
        <b:Corporate>Committee on the Protection of the Rights of All Migrant Workers and Members of Their Families</b:Corporate>
      </b:Author>
    </b:Author>
    <b:ShortTitle>CMW/C/DZA/CO/2</b:ShortTitle>
    <b:YearAccessed>2022</b:YearAccessed>
    <b:MonthAccessed>February</b:MonthAccessed>
    <b:RefOrder>19</b:RefOrder>
  </b:Source>
  <b:Source>
    <b:Tag>Ger21</b:Tag>
    <b:SourceType>DocumentFromInternetSite</b:SourceType>
    <b:Guid>{00EC90E3-C3E3-4390-8E4E-A43955ED37BD}</b:Guid>
    <b:Author>
      <b:Author>
        <b:NameList>
          <b:Person>
            <b:Last>Valladares</b:Last>
            <b:First>Gerardo</b:First>
          </b:Person>
        </b:NameList>
      </b:Author>
    </b:Author>
    <b:Title>Sahrawi Refugees living in Algeria: the Forgotten Crisis</b:Title>
    <b:InternetSiteTitle>The Borgen Project</b:InternetSiteTitle>
    <b:Year>2021</b:Year>
    <b:Month>April</b:Month>
    <b:Day>26</b:Day>
    <b:URL>https://borgenproject.org/sahrawi-refugees-living-in-algeria/</b:URL>
    <b:YearAccessed>2022</b:YearAccessed>
    <b:MonthAccessed>February</b:MonthAccessed>
    <b:RefOrder>20</b:RefOrder>
  </b:Source>
  <b:Source>
    <b:Tag>Abd15</b:Tag>
    <b:SourceType>JournalArticle</b:SourceType>
    <b:Guid>{1E673297-8161-4565-9DFB-2A861B51D502}</b:Guid>
    <b:Author>
      <b:Author>
        <b:NameList>
          <b:Person>
            <b:Last>Muthanna</b:Last>
            <b:First>Abdulghani</b:First>
          </b:Person>
        </b:NameList>
      </b:Author>
    </b:Author>
    <b:Title>Quality education improvement: Yemen and the problem of the ‘brain drain’</b:Title>
    <b:JournalName>Policy Futures in Education </b:JournalName>
    <b:Year>2015</b:Year>
    <b:Pages>141-148</b:Pages>
    <b:RefOrder>1</b:RefOrder>
  </b:Source>
  <b:Source>
    <b:Tag>Ari13</b:Tag>
    <b:SourceType>Report</b:SourceType>
    <b:Guid>{3B8AAFDE-8265-4CB0-9282-C5ADF7AB5C0F}</b:Guid>
    <b:Title>The education catastrophe in Yemen is a political struggle between the Congress and Islah, mismanagement and poor infrastructure</b:Title>
    <b:Year>2013</b:Year>
    <b:City>Yemen</b:City>
    <b:Author>
      <b:Author>
        <b:NameList>
          <b:Person>
            <b:Last>Musalami</b:Last>
            <b:First>Arif</b:First>
            <b:Middle>AL</b:Middle>
          </b:Person>
        </b:NameList>
      </b:Author>
    </b:Author>
    <b:Publisher>Al Massa Press</b:Publisher>
    <b:RefOrder>2</b:RefOrder>
  </b:Source>
  <b:Source>
    <b:Tag>Wik23</b:Tag>
    <b:SourceType>InternetSite</b:SourceType>
    <b:Guid>{34E715AD-13FC-463A-870C-102FA247EB2E}</b:Guid>
    <b:Title>Wikipedia_Yemen</b:Title>
    <b:Year>2023</b:Year>
    <b:Author>
      <b:Author>
        <b:NameList>
          <b:Person>
            <b:Last>Wikipedia</b:Last>
          </b:Person>
        </b:NameList>
      </b:Author>
    </b:Author>
    <b:InternetSiteTitle>Wikipedia_Yemen</b:InternetSiteTitle>
    <b:Month>August</b:Month>
    <b:Day>16</b:Day>
    <b:URL>https://en.wikipedia.org/wiki/Yemen</b:URL>
    <b:RefOrder>3</b:RefOrder>
  </b:Source>
  <b:Source>
    <b:Tag>Aly23</b:Tag>
    <b:SourceType>InternetSite</b:SourceType>
    <b:Guid>{8BE496B5-0E63-41D8-8E70-1E51957CBBE9}</b:Guid>
    <b:Author>
      <b:Author>
        <b:NameList>
          <b:Person>
            <b:Last>Mohammed</b:Last>
            <b:First>Alyia</b:First>
          </b:Person>
        </b:NameList>
      </b:Author>
    </b:Author>
    <b:Title>Sawt Al Amal - Educational Sector</b:Title>
    <b:InternetSiteTitle>Sawt Al Amal</b:InternetSiteTitle>
    <b:Year>2023</b:Year>
    <b:Month>August</b:Month>
    <b:Day>16</b:Day>
    <b:URL>https://sawt-alamal.net/2021/12/14/%D9%82%D8%B7%D8%A7%D8%B9-%D8%A7%D9%84%D8%AA%D8%B9%D9%84%D9%8A%D9%85-%D9%81%D9%8A-%D8%A7%D9%84%D9%8A%D9%85%D9%86-%D8%AA%D8%AD%D8%AF%D9%8A%D8%A7%D8%AA-%D9%84%D9%84%D8%A7%D9%86%D8%AA%D9%82%D8%A7%D9%84/#:~:text=%D9%88%D8%B0%</b:URL>
    <b:RefOrder>4</b:RefOrder>
  </b:Source>
  <b:Source>
    <b:Tag>Lou18</b:Tag>
    <b:SourceType>Book</b:SourceType>
    <b:Guid>{769D806C-270F-46CE-A1F5-B51FFC4E678F}</b:Guid>
    <b:Title>A Critical Appraisal of Human Rights Monitoring through the Lens of Global Governance Theory: The Universal Periodic Review in relation to Yemen as a State in Crisis </b:Title>
    <b:Year>2018</b:Year>
    <b:Author>
      <b:Author>
        <b:NameList>
          <b:Person>
            <b:Last>Ashley</b:Last>
            <b:First>Louisa</b:First>
            <b:Middle>Jane</b:Middle>
          </b:Person>
        </b:NameList>
      </b:Author>
    </b:Author>
    <b:City>LEEDS</b:City>
    <b:Publisher>The University of Leeds</b:Publisher>
    <b:RefOrder>5</b:RefOrder>
  </b:Source>
  <b:Source>
    <b:Tag>Hum19</b:Tag>
    <b:SourceType>Report</b:SourceType>
    <b:Guid>{C123A69E-F6C2-4C9C-8E4F-919E7F6EE091}</b:Guid>
    <b:Title>National report submitted in accordance with paragraph 15 (a) of the annex to Human Rights Council resolution 5/1* </b:Title>
    <b:Year>2019</b:Year>
    <b:Publisher>United Nations  - General Assembly </b:Publisher>
    <b:Author>
      <b:Author>
        <b:NameList>
          <b:Person>
            <b:Last>Nations</b:Last>
            <b:First>Human</b:First>
            <b:Middle>Rights Council - United</b:Middle>
          </b:Person>
        </b:NameList>
      </b:Author>
    </b:Author>
    <b:RefOrder>6</b:RefOrder>
  </b:Source>
  <b:Source>
    <b:Tag>Wor181</b:Tag>
    <b:SourceType>Report</b:SourceType>
    <b:Guid>{91DE60D7-0623-4141-ABFE-44D3F4EE51B5}</b:Guid>
    <b:Author>
      <b:Author>
        <b:NameList>
          <b:Person>
            <b:Last>World Bank</b:Last>
            <b:First>fhi360,</b:First>
            <b:Middle>EDUCATION POLICY AND DATA CENTER</b:Middle>
          </b:Person>
        </b:NameList>
      </b:Author>
    </b:Author>
    <b:Title>Yemen National Education Profile 2018 Update </b:Title>
    <b:Year>2018</b:Year>
    <b:RefOrder>7</b:RefOrder>
  </b:Source>
  <b:Source>
    <b:Tag>UNI23</b:Tag>
    <b:SourceType>InternetSite</b:SourceType>
    <b:Guid>{35D9E992-A0D3-4EE2-BB69-363E20E97C27}</b:Guid>
    <b:Title>UNICEF Yemen education</b:Title>
    <b:Year>2023</b:Year>
    <b:Author>
      <b:Author>
        <b:NameList>
          <b:Person>
            <b:Last>UNICEF</b:Last>
          </b:Person>
        </b:NameList>
      </b:Author>
    </b:Author>
    <b:InternetSiteTitle>UNICEF</b:InternetSiteTitle>
    <b:Month>August</b:Month>
    <b:Day>31</b:Day>
    <b:URL>https://www.unicef.org/yemen/education</b:URL>
    <b:RefOrder>1</b:RefOrder>
  </b:Source>
  <b:Source>
    <b:Tag>Sav21</b:Tag>
    <b:SourceType>Report</b:SourceType>
    <b:Guid>{0FFE60DF-F3A4-42E8-9D19-66DBE1D056E8}</b:Guid>
    <b:Title>A brief on education in Yemen</b:Title>
    <b:Year>2021</b:Year>
    <b:Author>
      <b:Author>
        <b:NameList>
          <b:Person>
            <b:Last>Children</b:Last>
            <b:First>Save</b:First>
            <b:Middle>the</b:Middle>
          </b:Person>
        </b:NameList>
      </b:Author>
    </b:Author>
    <b:Publisher>Save the Children</b:Publisher>
    <b:RefOrder>2</b:RefOrder>
  </b:Source>
  <b:Source>
    <b:Tag>UNE22</b:Tag>
    <b:SourceType>Report</b:SourceType>
    <b:Guid>{6639E7AB-1053-4F3B-A5B2-E8A57E2BE8BB}</b:Guid>
    <b:Author>
      <b:Author>
        <b:NameList>
          <b:Person>
            <b:Last>UNESCO</b:Last>
          </b:Person>
        </b:NameList>
      </b:Author>
    </b:Author>
    <b:Title>Global Education Moitoring Report</b:Title>
    <b:Year>2022</b:Year>
    <b:Publisher>UNESCO</b:Publisher>
    <b:RefOrder>3</b:RefOrder>
  </b:Source>
  <b:Source>
    <b:Tag>Sch23</b:Tag>
    <b:SourceType>Interview</b:SourceType>
    <b:Guid>{8D35930F-BE9A-4A5E-A715-DD2CA3CC3FB9}</b:Guid>
    <b:Year>2023</b:Year>
    <b:Author>
      <b:Interviewee>
        <b:NameList>
          <b:Person>
            <b:Last>teacher</b:Last>
            <b:First>School</b:First>
          </b:Person>
        </b:NameList>
      </b:Interviewee>
      <b:Interviewer>
        <b:NameList>
          <b:Person>
            <b:Last>Abusim</b:Last>
            <b:First>Hassan</b:First>
          </b:Person>
        </b:NameList>
      </b:Interviewer>
    </b:Author>
    <b:Month>September</b:Month>
    <b:Day>15</b:Day>
    <b:RefOrder>4</b:RefOrder>
  </b:Source>
</b:Sources>
</file>

<file path=customXml/itemProps1.xml><?xml version="1.0" encoding="utf-8"?>
<ds:datastoreItem xmlns:ds="http://schemas.openxmlformats.org/officeDocument/2006/customXml" ds:itemID="{51737007-A05B-4DE1-9D41-D05E7F8D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5731</Words>
  <Characters>32673</Characters>
  <Application>Microsoft Office Word</Application>
  <DocSecurity>0</DocSecurity>
  <Lines>272</Lines>
  <Paragraphs>76</Paragraphs>
  <ScaleCrop>false</ScaleCrop>
  <HeadingPairs>
    <vt:vector size="6" baseType="variant">
      <vt:variant>
        <vt:lpstr>Konu Başlığı</vt:lpstr>
      </vt:variant>
      <vt:variant>
        <vt:i4>1</vt:i4>
      </vt:variant>
      <vt:variant>
        <vt:lpstr>Title</vt:lpstr>
      </vt:variant>
      <vt:variant>
        <vt:i4>1</vt:i4>
      </vt:variant>
      <vt:variant>
        <vt:lpstr>Titolo</vt:lpstr>
      </vt:variant>
      <vt:variant>
        <vt:i4>1</vt:i4>
      </vt:variant>
    </vt:vector>
  </HeadingPairs>
  <TitlesOfParts>
    <vt:vector size="3" baseType="lpstr">
      <vt:lpstr>9A Current issues and good practices in prison management – Thematic report of the Special Rapporteur on Torture</vt:lpstr>
      <vt:lpstr>9A Current issues and good practices in prison management – Thematic report of the Special Rapporteur on Torture</vt:lpstr>
      <vt:lpstr>46th Session UN-UPR Country Review: [Yemen]</vt:lpstr>
    </vt:vector>
  </TitlesOfParts>
  <Company/>
  <LinksUpToDate>false</LinksUpToDate>
  <CharactersWithSpaces>38328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9A Current issues and good practices in prison management – Thematic report of the Special Rapporteur on Torture</dc:title>
  <dc:subject/>
  <dc:creator>Ramazan INCE</dc:creator>
  <cp:keywords/>
  <dc:description/>
  <cp:lastModifiedBy>onur</cp:lastModifiedBy>
  <cp:revision>3</cp:revision>
  <cp:lastPrinted>2024-01-31T21:58:00Z</cp:lastPrinted>
  <dcterms:created xsi:type="dcterms:W3CDTF">2024-01-31T21:57:00Z</dcterms:created>
  <dcterms:modified xsi:type="dcterms:W3CDTF">2024-01-31T21:59:00Z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e17cf7fe8f7f6ce2215fe8ca1a8df2cb4ba78a549cf16d68925c8caea619cc8f</vt:lpwstr>
  </property>
</Properties>
</file>