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8CE" w14:textId="77777777" w:rsidR="00B674BE" w:rsidRPr="00B674BE" w:rsidRDefault="00B674BE" w:rsidP="00B674BE">
      <w:pPr>
        <w:ind w:right="-28"/>
        <w:jc w:val="center"/>
        <w:rPr>
          <w:rFonts w:ascii="Times New Roman" w:eastAsia="Times New Roman" w:hAnsi="Times New Roman" w:cs="Times New Roman"/>
          <w:b/>
          <w:sz w:val="24"/>
          <w:szCs w:val="24"/>
        </w:rPr>
      </w:pPr>
      <w:r>
        <w:tab/>
      </w:r>
      <w:r w:rsidRPr="00B674BE">
        <w:rPr>
          <w:rFonts w:ascii="Times New Roman" w:eastAsia="Times New Roman" w:hAnsi="Times New Roman" w:cs="Times New Roman"/>
          <w:b/>
          <w:sz w:val="24"/>
          <w:szCs w:val="24"/>
        </w:rPr>
        <w:t>Working Group on discrimination against women and girls</w:t>
      </w:r>
    </w:p>
    <w:p w14:paraId="66889775" w14:textId="77777777" w:rsidR="00B674BE" w:rsidRPr="00B674BE" w:rsidRDefault="00B674BE" w:rsidP="00B674BE">
      <w:pPr>
        <w:autoSpaceDE w:val="0"/>
        <w:autoSpaceDN w:val="0"/>
        <w:adjustRightInd w:val="0"/>
        <w:spacing w:after="200" w:line="276" w:lineRule="auto"/>
        <w:jc w:val="center"/>
        <w:rPr>
          <w:rFonts w:ascii="Times New Roman" w:eastAsia="Times New Roman" w:hAnsi="Times New Roman" w:cs="Times New Roman"/>
          <w:b/>
          <w:sz w:val="24"/>
          <w:szCs w:val="24"/>
        </w:rPr>
      </w:pPr>
      <w:r w:rsidRPr="00B674BE">
        <w:rPr>
          <w:rFonts w:ascii="Times New Roman" w:eastAsia="Times New Roman" w:hAnsi="Times New Roman" w:cs="Times New Roman"/>
          <w:b/>
          <w:sz w:val="24"/>
          <w:szCs w:val="24"/>
        </w:rPr>
        <w:t xml:space="preserve">Questionnaire on lessons learned, challenges and opportunities </w:t>
      </w:r>
    </w:p>
    <w:p w14:paraId="21274E6E" w14:textId="77777777" w:rsidR="00B674BE" w:rsidRPr="00B674BE" w:rsidRDefault="00B674BE" w:rsidP="00B674BE">
      <w:pPr>
        <w:autoSpaceDE w:val="0"/>
        <w:autoSpaceDN w:val="0"/>
        <w:adjustRightInd w:val="0"/>
        <w:spacing w:after="200" w:line="276" w:lineRule="auto"/>
        <w:jc w:val="both"/>
        <w:rPr>
          <w:rFonts w:ascii="Times New Roman" w:eastAsia="Times New Roman" w:hAnsi="Times New Roman" w:cs="Times New Roman"/>
          <w:sz w:val="24"/>
          <w:szCs w:val="24"/>
        </w:rPr>
      </w:pPr>
    </w:p>
    <w:p w14:paraId="7BF88D27" w14:textId="77777777" w:rsidR="00B674BE" w:rsidRPr="00B674BE" w:rsidRDefault="00B674BE" w:rsidP="00B674BE">
      <w:pPr>
        <w:numPr>
          <w:ilvl w:val="0"/>
          <w:numId w:val="1"/>
        </w:numPr>
        <w:autoSpaceDE w:val="0"/>
        <w:autoSpaceDN w:val="0"/>
        <w:adjustRightInd w:val="0"/>
        <w:spacing w:after="0" w:line="240" w:lineRule="auto"/>
        <w:ind w:hanging="1080"/>
        <w:jc w:val="both"/>
        <w:rPr>
          <w:rFonts w:ascii="Times New Roman" w:eastAsia="Times New Roman" w:hAnsi="Times New Roman" w:cs="Times New Roman"/>
          <w:sz w:val="24"/>
          <w:szCs w:val="24"/>
        </w:rPr>
      </w:pPr>
      <w:r w:rsidRPr="00B674BE">
        <w:rPr>
          <w:rFonts w:ascii="Times New Roman" w:eastAsia="Times New Roman" w:hAnsi="Times New Roman" w:cs="Times New Roman"/>
          <w:i/>
          <w:sz w:val="24"/>
          <w:szCs w:val="24"/>
        </w:rPr>
        <w:t xml:space="preserve">Thematic reports </w:t>
      </w:r>
    </w:p>
    <w:p w14:paraId="094BFE0B" w14:textId="77777777" w:rsidR="00B674BE" w:rsidRPr="00B674BE" w:rsidRDefault="00B674BE" w:rsidP="00B674BE">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435D9CA0" w14:textId="77777777" w:rsidR="00B674BE" w:rsidRPr="00B674BE" w:rsidRDefault="00B674BE" w:rsidP="00B674BE">
      <w:pPr>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In your experience, has the Working Group been accessible for the key stakeholders seeking to provide inputs and views for the preparation of its reports? Are there particular stakeholders which require the Working Group’s special attention? Would you suggest any area of potential improvement in terms of methodology or scope of these reports?</w:t>
      </w:r>
    </w:p>
    <w:p w14:paraId="794E7B8A"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52E66008" w14:textId="77777777" w:rsidR="00B674BE" w:rsidRPr="00B674BE" w:rsidRDefault="00B674BE" w:rsidP="00B674BE">
      <w:pPr>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Do you know of any instances in which the findings and recommendations of the Working Group have been used and implemented at the national, regional and/or international level? Have its reports contributed to the reformulation of </w:t>
      </w:r>
      <w:proofErr w:type="gramStart"/>
      <w:r w:rsidRPr="00B674BE">
        <w:rPr>
          <w:rFonts w:ascii="Times New Roman" w:eastAsia="Times New Roman" w:hAnsi="Times New Roman" w:cs="Times New Roman"/>
          <w:sz w:val="24"/>
          <w:szCs w:val="24"/>
        </w:rPr>
        <w:t>particular national</w:t>
      </w:r>
      <w:proofErr w:type="gramEnd"/>
      <w:r w:rsidRPr="00B674BE">
        <w:rPr>
          <w:rFonts w:ascii="Times New Roman" w:eastAsia="Times New Roman" w:hAnsi="Times New Roman" w:cs="Times New Roman"/>
          <w:sz w:val="24"/>
          <w:szCs w:val="24"/>
        </w:rPr>
        <w:t xml:space="preserve"> laws and policies, led to new laws and policies and/or strengthened implementation?</w:t>
      </w:r>
    </w:p>
    <w:p w14:paraId="6AFEF955"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52B01755" w14:textId="77777777" w:rsidR="00B674BE" w:rsidRPr="00B674BE" w:rsidRDefault="00B674BE" w:rsidP="00B674BE">
      <w:pPr>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In your experience, have the Working Group’s thematic reports been </w:t>
      </w:r>
      <w:proofErr w:type="gramStart"/>
      <w:r w:rsidRPr="00B674BE">
        <w:rPr>
          <w:rFonts w:ascii="Times New Roman" w:eastAsia="Times New Roman" w:hAnsi="Times New Roman" w:cs="Times New Roman"/>
          <w:sz w:val="24"/>
          <w:szCs w:val="24"/>
        </w:rPr>
        <w:t>useful  in</w:t>
      </w:r>
      <w:proofErr w:type="gramEnd"/>
      <w:r w:rsidRPr="00B674BE">
        <w:rPr>
          <w:rFonts w:ascii="Times New Roman" w:eastAsia="Times New Roman" w:hAnsi="Times New Roman" w:cs="Times New Roman"/>
          <w:sz w:val="24"/>
          <w:szCs w:val="24"/>
        </w:rPr>
        <w:t xml:space="preserve"> informing Human Rights Council and General Assembly resolutions on the elimination of discrimination against women and girls and if so, in what ways? </w:t>
      </w:r>
    </w:p>
    <w:p w14:paraId="487BEF9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55A47523" w14:textId="77777777" w:rsidR="00B674BE" w:rsidRPr="00B674BE" w:rsidRDefault="00B674BE" w:rsidP="00B674BE">
      <w:pPr>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Do you know of occasions when the Working Group’s reports have been referenced in policy dialogues and academic fora on human rights, gender equality and development, at the international, regional and/or national levels?</w:t>
      </w:r>
    </w:p>
    <w:p w14:paraId="212E9968"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13BFEE85" w14:textId="77777777" w:rsidR="00B674BE" w:rsidRPr="00B674BE" w:rsidRDefault="00B674BE" w:rsidP="00B674BE">
      <w:pPr>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In view of the global context of increasing attacks against the universality of women’s and girls’ human rights, do you know of any instances in which the findings and recommendations of the Working Group’s 2018 thematic report on </w:t>
      </w:r>
      <w:r w:rsidRPr="00B674BE">
        <w:rPr>
          <w:rFonts w:ascii="Times New Roman" w:eastAsia="Times New Roman" w:hAnsi="Times New Roman" w:cs="Times New Roman"/>
          <w:i/>
          <w:iCs/>
          <w:sz w:val="24"/>
          <w:szCs w:val="24"/>
        </w:rPr>
        <w:t xml:space="preserve">Reasserting equality and countering rollbacks </w:t>
      </w:r>
      <w:r w:rsidRPr="00B674BE">
        <w:rPr>
          <w:rFonts w:ascii="Times New Roman" w:eastAsia="Times New Roman" w:hAnsi="Times New Roman" w:cs="Times New Roman"/>
          <w:sz w:val="24"/>
          <w:szCs w:val="24"/>
        </w:rPr>
        <w:t xml:space="preserve">(A/HRC/38/46) have been used and implemented at the national level? Has the 2018 report contributed to the design, articulation and/or implementation of </w:t>
      </w:r>
      <w:proofErr w:type="gramStart"/>
      <w:r w:rsidRPr="00B674BE">
        <w:rPr>
          <w:rFonts w:ascii="Times New Roman" w:eastAsia="Times New Roman" w:hAnsi="Times New Roman" w:cs="Times New Roman"/>
          <w:sz w:val="24"/>
          <w:szCs w:val="24"/>
        </w:rPr>
        <w:t>particular laws</w:t>
      </w:r>
      <w:proofErr w:type="gramEnd"/>
      <w:r w:rsidRPr="00B674BE">
        <w:rPr>
          <w:rFonts w:ascii="Times New Roman" w:eastAsia="Times New Roman" w:hAnsi="Times New Roman" w:cs="Times New Roman"/>
          <w:sz w:val="24"/>
          <w:szCs w:val="24"/>
        </w:rPr>
        <w:t xml:space="preserve"> and policies?</w:t>
      </w:r>
    </w:p>
    <w:p w14:paraId="452E1F96"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157E8AF9"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r w:rsidRPr="00B674BE">
        <w:rPr>
          <w:rFonts w:ascii="Times New Roman" w:eastAsia="Times New Roman" w:hAnsi="Times New Roman" w:cs="Times New Roman"/>
          <w:sz w:val="24"/>
          <w:szCs w:val="24"/>
        </w:rPr>
        <w:t>2.</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 xml:space="preserve">Communications </w:t>
      </w:r>
    </w:p>
    <w:p w14:paraId="32A61EE4"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p>
    <w:p w14:paraId="29FBDFA8" w14:textId="77777777" w:rsidR="00B674BE" w:rsidRPr="00B674BE" w:rsidRDefault="00B674BE" w:rsidP="00B674B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What is your assessment of the impact of communications (letters of allegation, urgent appeals, and other letters) sent by the Working Group? Please refer to specific cases, if possible. </w:t>
      </w:r>
    </w:p>
    <w:p w14:paraId="3EBFE6CE" w14:textId="77777777" w:rsidR="00B674BE" w:rsidRPr="00B674BE" w:rsidRDefault="00B674BE" w:rsidP="00B674BE">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63063E35" w14:textId="4DFE0D97" w:rsidR="00B674BE" w:rsidRDefault="00B674BE" w:rsidP="00B674B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Would you suggest any potential area of improvement?</w:t>
      </w:r>
    </w:p>
    <w:p w14:paraId="3AC4DF00" w14:textId="77777777" w:rsidR="00B674BE" w:rsidRDefault="00B674BE" w:rsidP="00B674BE">
      <w:pPr>
        <w:pStyle w:val="ListParagraph"/>
        <w:rPr>
          <w:rFonts w:ascii="Times New Roman" w:eastAsia="Times New Roman" w:hAnsi="Times New Roman" w:cs="Times New Roman"/>
          <w:sz w:val="24"/>
          <w:szCs w:val="24"/>
        </w:rPr>
      </w:pPr>
    </w:p>
    <w:p w14:paraId="265C375E"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018D5B23"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26EE0610"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r w:rsidRPr="00B674BE">
        <w:rPr>
          <w:rFonts w:ascii="Times New Roman" w:eastAsia="Times New Roman" w:hAnsi="Times New Roman" w:cs="Times New Roman"/>
          <w:sz w:val="24"/>
          <w:szCs w:val="24"/>
        </w:rPr>
        <w:t>3.</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Country visits</w:t>
      </w:r>
    </w:p>
    <w:p w14:paraId="146B5E12"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760497BD" w14:textId="77777777" w:rsidR="00B674BE" w:rsidRPr="00B674BE" w:rsidRDefault="00B674BE" w:rsidP="00B674BE">
      <w:pPr>
        <w:numPr>
          <w:ilvl w:val="1"/>
          <w:numId w:val="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How accessible were the experts to the various stakeholders during the visit?</w:t>
      </w:r>
    </w:p>
    <w:p w14:paraId="293E22E3"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4FCD2C04" w14:textId="77777777" w:rsidR="00B674BE" w:rsidRPr="00B674BE" w:rsidRDefault="00B674BE" w:rsidP="00B674BE">
      <w:pPr>
        <w:numPr>
          <w:ilvl w:val="1"/>
          <w:numId w:val="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How much media coverage did the Working Group’s end-of-mission statement obtain and did it have impact on public debates? If so, in what way?</w:t>
      </w:r>
    </w:p>
    <w:p w14:paraId="0D1E6F38"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639D820C" w14:textId="77777777" w:rsidR="00B674BE" w:rsidRPr="00B674BE" w:rsidRDefault="00B674BE" w:rsidP="00B674BE">
      <w:pPr>
        <w:numPr>
          <w:ilvl w:val="1"/>
          <w:numId w:val="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Did the Group’s report on the country visit have impact on national policy or law reforms? If so, in what way? Could you please provide an update on the status of implementation of the Working Group’s recommendations or on any other follow-up initiative? </w:t>
      </w:r>
    </w:p>
    <w:p w14:paraId="2C92E3D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1A3CAFDD" w14:textId="77777777" w:rsidR="00B674BE" w:rsidRPr="00B674BE" w:rsidRDefault="00B674BE" w:rsidP="00B674BE">
      <w:pPr>
        <w:numPr>
          <w:ilvl w:val="1"/>
          <w:numId w:val="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How was the report used by multiple stakeholders beyond policy/law making?</w:t>
      </w:r>
    </w:p>
    <w:p w14:paraId="25338090"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43D7CE88" w14:textId="77777777" w:rsidR="00B674BE" w:rsidRPr="00B674BE" w:rsidRDefault="00B674BE" w:rsidP="00B674BE">
      <w:pPr>
        <w:numPr>
          <w:ilvl w:val="1"/>
          <w:numId w:val="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What kind of follow-up would be useful?</w:t>
      </w:r>
    </w:p>
    <w:p w14:paraId="491B166A"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2F37C6A3"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r w:rsidRPr="00B674BE">
        <w:rPr>
          <w:rFonts w:ascii="Times New Roman" w:eastAsia="Times New Roman" w:hAnsi="Times New Roman" w:cs="Times New Roman"/>
          <w:sz w:val="24"/>
          <w:szCs w:val="24"/>
        </w:rPr>
        <w:t>4.</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 xml:space="preserve">Participation of the Working Group in relevant fora </w:t>
      </w:r>
    </w:p>
    <w:p w14:paraId="09CC24CC"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p>
    <w:p w14:paraId="77AC67D2" w14:textId="77777777" w:rsidR="00B674BE" w:rsidRPr="00B674BE" w:rsidRDefault="00B674BE" w:rsidP="00B674B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How would you evaluate the Working Group’s engagement and dialogue with States</w:t>
      </w:r>
      <w:r w:rsidRPr="00B674BE">
        <w:rPr>
          <w:rFonts w:ascii="Calibri" w:eastAsia="Calibri" w:hAnsi="Calibri" w:cs="Times New Roman"/>
          <w:lang w:val="en-US"/>
        </w:rPr>
        <w:t xml:space="preserve"> </w:t>
      </w:r>
      <w:r w:rsidRPr="00B674BE">
        <w:rPr>
          <w:rFonts w:ascii="Times New Roman" w:eastAsia="Times New Roman" w:hAnsi="Times New Roman" w:cs="Times New Roman"/>
          <w:sz w:val="24"/>
          <w:szCs w:val="24"/>
        </w:rPr>
        <w:t xml:space="preserve">and with other relevant stakeholders, such as the regional human rights mechanisms and civil society, at the Human Rights Council, General Assembly, Commission on the Status of Women, Working Group’s sessions, etc. Please share any suggestions for possible improvement. </w:t>
      </w:r>
    </w:p>
    <w:p w14:paraId="2C17C898"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277738E0" w14:textId="77777777" w:rsidR="00B674BE" w:rsidRPr="00B674BE" w:rsidRDefault="00B674BE" w:rsidP="00B674B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In what other relevant fora at the national, regional, and international levels would you recommend participation of the Working Group?</w:t>
      </w:r>
    </w:p>
    <w:p w14:paraId="23CDB20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2534A445"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i/>
          <w:sz w:val="24"/>
          <w:szCs w:val="24"/>
        </w:rPr>
      </w:pPr>
      <w:r w:rsidRPr="00B674BE">
        <w:rPr>
          <w:rFonts w:ascii="Times New Roman" w:eastAsia="Times New Roman" w:hAnsi="Times New Roman" w:cs="Times New Roman"/>
          <w:sz w:val="24"/>
          <w:szCs w:val="24"/>
        </w:rPr>
        <w:t>5.</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Working Group’s sessions/convening capacity and engagement with concerned stakeholders</w:t>
      </w:r>
    </w:p>
    <w:p w14:paraId="6F8EB518"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50C6453D" w14:textId="77777777" w:rsidR="00B674BE" w:rsidRPr="00B674BE" w:rsidRDefault="00B674BE" w:rsidP="00B674BE">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How accessible do you consider the sessions of the Working Group to the various stakeholders? Please share suggestions for potential improvement.</w:t>
      </w:r>
    </w:p>
    <w:p w14:paraId="615B282C" w14:textId="77777777" w:rsidR="00B674BE" w:rsidRPr="00B674BE" w:rsidRDefault="00B674BE" w:rsidP="00B674BE">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01211939" w14:textId="77777777" w:rsidR="00B674BE" w:rsidRPr="00B674BE" w:rsidRDefault="00B674BE" w:rsidP="00B674BE">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What has been your experience in terms of participation in the sessions, including views on usefulness (e.g., being informed of the WG’s work as well as the work of other stakeholders, benefiting from the exchange of views among diverse stakeholders, gaining new insight into substantive issues and impact, etc.)?</w:t>
      </w:r>
    </w:p>
    <w:p w14:paraId="6DD14F22"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11D5CABC" w14:textId="77777777" w:rsidR="00B674BE" w:rsidRPr="00B674BE" w:rsidRDefault="00B674BE" w:rsidP="00B674BE">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Bearing in mind the very limited financial resources available, would you have any other suggestions concerning the use of the convening capacity through the Working Group’s three annual sessions?</w:t>
      </w:r>
    </w:p>
    <w:p w14:paraId="51CF4538" w14:textId="77777777" w:rsidR="00B674BE" w:rsidRPr="00B674BE" w:rsidRDefault="00B674BE" w:rsidP="00B674BE">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70849DCB" w14:textId="2C74723E" w:rsidR="00B674BE" w:rsidRPr="00B674BE" w:rsidRDefault="00B674BE" w:rsidP="00B674BE">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Would you suggest</w:t>
      </w:r>
      <w:r w:rsidRPr="00B674BE">
        <w:rPr>
          <w:rFonts w:ascii="Calibri" w:eastAsia="Calibri" w:hAnsi="Calibri" w:cs="Times New Roman"/>
          <w:lang w:val="en-US"/>
        </w:rPr>
        <w:t xml:space="preserve"> </w:t>
      </w:r>
      <w:r w:rsidRPr="00B674BE">
        <w:rPr>
          <w:rFonts w:ascii="Times New Roman" w:eastAsia="Times New Roman" w:hAnsi="Times New Roman" w:cs="Times New Roman"/>
          <w:sz w:val="24"/>
          <w:szCs w:val="24"/>
        </w:rPr>
        <w:t>specific ways in which the Working Group could engage more effectively with Member States and other concerned stakeholders. In your view, what has been useful and what is the Working Group uniquely positioned to do?</w:t>
      </w:r>
    </w:p>
    <w:p w14:paraId="2AA65E52"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4B7D4715"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6.</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Future possible areas of thematic focus</w:t>
      </w:r>
    </w:p>
    <w:p w14:paraId="201CBB8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09542901" w14:textId="77777777" w:rsidR="00B674BE" w:rsidRPr="00B674BE" w:rsidRDefault="00B674BE" w:rsidP="00B674B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Do you have suggestions on potential areas of thematic focus for the Working Group’s future work?</w:t>
      </w:r>
    </w:p>
    <w:p w14:paraId="7CB5CCD9"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65809797" w14:textId="77777777" w:rsidR="00B674BE" w:rsidRPr="00B674BE" w:rsidRDefault="00B674BE" w:rsidP="00B674B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Could you please document any potential progress or regression in your country/region </w:t>
      </w:r>
      <w:proofErr w:type="gramStart"/>
      <w:r w:rsidRPr="00B674BE">
        <w:rPr>
          <w:rFonts w:ascii="Times New Roman" w:eastAsia="Times New Roman" w:hAnsi="Times New Roman" w:cs="Times New Roman"/>
          <w:sz w:val="24"/>
          <w:szCs w:val="24"/>
        </w:rPr>
        <w:t>with regard to</w:t>
      </w:r>
      <w:proofErr w:type="gramEnd"/>
      <w:r w:rsidRPr="00B674BE">
        <w:rPr>
          <w:rFonts w:ascii="Times New Roman" w:eastAsia="Times New Roman" w:hAnsi="Times New Roman" w:cs="Times New Roman"/>
          <w:sz w:val="24"/>
          <w:szCs w:val="24"/>
        </w:rPr>
        <w:t xml:space="preserve"> gender equality?</w:t>
      </w:r>
    </w:p>
    <w:p w14:paraId="11447851"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0AC86397" w14:textId="435D4D76"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7. </w:t>
      </w:r>
      <w:r w:rsidRPr="00B674BE">
        <w:rPr>
          <w:rFonts w:ascii="Times New Roman" w:eastAsia="Times New Roman" w:hAnsi="Times New Roman" w:cs="Times New Roman"/>
          <w:sz w:val="24"/>
          <w:szCs w:val="24"/>
        </w:rPr>
        <w:tab/>
      </w:r>
      <w:r w:rsidRPr="00B674BE">
        <w:rPr>
          <w:rFonts w:ascii="Times New Roman" w:eastAsia="Times New Roman" w:hAnsi="Times New Roman" w:cs="Times New Roman"/>
          <w:i/>
          <w:sz w:val="24"/>
          <w:szCs w:val="24"/>
        </w:rPr>
        <w:t>Visibility of the Working Group</w:t>
      </w:r>
      <w:r>
        <w:rPr>
          <w:rFonts w:ascii="Times New Roman" w:eastAsia="Times New Roman" w:hAnsi="Times New Roman" w:cs="Times New Roman"/>
          <w:i/>
          <w:sz w:val="24"/>
          <w:szCs w:val="24"/>
        </w:rPr>
        <w:t xml:space="preserve"> and collaboration with the experts</w:t>
      </w:r>
    </w:p>
    <w:p w14:paraId="44A1591E"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7CE4B5C0" w14:textId="77777777" w:rsidR="00B674BE" w:rsidRPr="00B674BE" w:rsidRDefault="00B674BE" w:rsidP="00B674BE">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Are you familiar with the Working Group’s </w:t>
      </w:r>
      <w:hyperlink r:id="rId7" w:history="1">
        <w:r w:rsidRPr="00B674BE">
          <w:rPr>
            <w:rFonts w:ascii="Times New Roman" w:eastAsia="Times New Roman" w:hAnsi="Times New Roman" w:cs="Times New Roman"/>
            <w:color w:val="0000FF"/>
            <w:sz w:val="24"/>
            <w:szCs w:val="24"/>
            <w:u w:val="single"/>
          </w:rPr>
          <w:t>microsites</w:t>
        </w:r>
      </w:hyperlink>
      <w:r w:rsidRPr="00B674BE">
        <w:rPr>
          <w:rFonts w:ascii="Times New Roman" w:eastAsia="Times New Roman" w:hAnsi="Times New Roman" w:cs="Times New Roman"/>
          <w:sz w:val="24"/>
          <w:szCs w:val="24"/>
        </w:rPr>
        <w:t xml:space="preserve">, </w:t>
      </w:r>
      <w:hyperlink r:id="rId8" w:history="1">
        <w:r w:rsidRPr="00B674BE">
          <w:rPr>
            <w:rFonts w:ascii="Times New Roman" w:eastAsia="Times New Roman" w:hAnsi="Times New Roman" w:cs="Times New Roman"/>
            <w:color w:val="0000FF"/>
            <w:sz w:val="24"/>
            <w:szCs w:val="24"/>
            <w:u w:val="single"/>
          </w:rPr>
          <w:t>Facebook</w:t>
        </w:r>
      </w:hyperlink>
      <w:r w:rsidRPr="00B674BE">
        <w:rPr>
          <w:rFonts w:ascii="Times New Roman" w:eastAsia="Times New Roman" w:hAnsi="Times New Roman" w:cs="Times New Roman"/>
          <w:sz w:val="24"/>
          <w:szCs w:val="24"/>
        </w:rPr>
        <w:t xml:space="preserve"> and </w:t>
      </w:r>
      <w:hyperlink r:id="rId9" w:history="1">
        <w:r w:rsidRPr="00B674BE">
          <w:rPr>
            <w:rFonts w:ascii="Times New Roman" w:eastAsia="Times New Roman" w:hAnsi="Times New Roman" w:cs="Times New Roman"/>
            <w:color w:val="0000FF"/>
            <w:sz w:val="24"/>
            <w:szCs w:val="24"/>
            <w:u w:val="single"/>
          </w:rPr>
          <w:t>Twitter</w:t>
        </w:r>
      </w:hyperlink>
      <w:r w:rsidRPr="00B674BE">
        <w:rPr>
          <w:rFonts w:ascii="Times New Roman" w:eastAsia="Times New Roman" w:hAnsi="Times New Roman" w:cs="Times New Roman"/>
          <w:sz w:val="24"/>
          <w:szCs w:val="24"/>
        </w:rPr>
        <w:t xml:space="preserve"> accounts? If so, have they been useful for your work?</w:t>
      </w:r>
    </w:p>
    <w:p w14:paraId="6D1D8F7E" w14:textId="77777777" w:rsidR="00B674BE" w:rsidRPr="00B674BE" w:rsidRDefault="00B674BE" w:rsidP="00B674BE">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2216C1A5" w14:textId="7AD21A77" w:rsidR="00B674BE" w:rsidRDefault="00B674BE" w:rsidP="00B674BE">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 xml:space="preserve"> Do you have suggestions regarding effective ways to contribute to the visibility of the Working Group’s work?</w:t>
      </w:r>
    </w:p>
    <w:p w14:paraId="7779A8B6" w14:textId="77777777" w:rsidR="00B674BE" w:rsidRDefault="00B674BE" w:rsidP="00B674BE">
      <w:pPr>
        <w:pStyle w:val="ListParagraph"/>
        <w:rPr>
          <w:rFonts w:ascii="Times New Roman" w:eastAsia="Times New Roman" w:hAnsi="Times New Roman" w:cs="Times New Roman"/>
          <w:sz w:val="24"/>
          <w:szCs w:val="24"/>
        </w:rPr>
      </w:pPr>
    </w:p>
    <w:p w14:paraId="694E2F4E" w14:textId="0F2B0078" w:rsidR="00B674BE" w:rsidRPr="00B674BE" w:rsidRDefault="00B674BE" w:rsidP="00B674BE">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documented any form of reprisals against human rights defenders, including women human rights defenders, for having collaborated with the experts? </w:t>
      </w:r>
    </w:p>
    <w:p w14:paraId="5E0FADE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1A907F3F" w14:textId="77777777" w:rsidR="00B674BE" w:rsidRPr="00B674BE" w:rsidRDefault="00B674BE" w:rsidP="00B674BE">
      <w:pPr>
        <w:autoSpaceDE w:val="0"/>
        <w:autoSpaceDN w:val="0"/>
        <w:adjustRightInd w:val="0"/>
        <w:spacing w:after="0" w:line="240" w:lineRule="auto"/>
        <w:jc w:val="both"/>
        <w:rPr>
          <w:rFonts w:ascii="Times New Roman" w:eastAsia="Times New Roman" w:hAnsi="Times New Roman" w:cs="Times New Roman"/>
          <w:sz w:val="24"/>
          <w:szCs w:val="24"/>
        </w:rPr>
      </w:pPr>
    </w:p>
    <w:p w14:paraId="346E4A10" w14:textId="77777777" w:rsidR="00B674BE" w:rsidRPr="00B674BE" w:rsidRDefault="00B674BE" w:rsidP="00B674BE">
      <w:pPr>
        <w:autoSpaceDE w:val="0"/>
        <w:autoSpaceDN w:val="0"/>
        <w:adjustRightInd w:val="0"/>
        <w:spacing w:after="0" w:line="240" w:lineRule="auto"/>
        <w:jc w:val="center"/>
        <w:rPr>
          <w:rFonts w:ascii="Times New Roman" w:eastAsia="Times New Roman" w:hAnsi="Times New Roman" w:cs="Times New Roman"/>
          <w:sz w:val="24"/>
          <w:szCs w:val="24"/>
        </w:rPr>
      </w:pPr>
      <w:r w:rsidRPr="00B674BE">
        <w:rPr>
          <w:rFonts w:ascii="Times New Roman" w:eastAsia="Times New Roman" w:hAnsi="Times New Roman" w:cs="Times New Roman"/>
          <w:sz w:val="24"/>
          <w:szCs w:val="24"/>
        </w:rPr>
        <w:t>-----</w:t>
      </w:r>
    </w:p>
    <w:p w14:paraId="061C07CE" w14:textId="77777777" w:rsidR="00B674BE" w:rsidRPr="00B674BE" w:rsidRDefault="00B674BE" w:rsidP="00B674BE">
      <w:pPr>
        <w:autoSpaceDE w:val="0"/>
        <w:autoSpaceDN w:val="0"/>
        <w:adjustRightInd w:val="0"/>
        <w:spacing w:after="0" w:line="240" w:lineRule="auto"/>
        <w:rPr>
          <w:rFonts w:ascii="Nyala" w:eastAsia="Times New Roman" w:hAnsi="Nyala" w:cs="Times New Roman"/>
          <w:sz w:val="24"/>
          <w:szCs w:val="24"/>
          <w:lang w:val="am-ET"/>
        </w:rPr>
      </w:pPr>
    </w:p>
    <w:p w14:paraId="0D8E5BFC" w14:textId="7C6421F4" w:rsidR="00094325" w:rsidRDefault="00094325" w:rsidP="00B674BE">
      <w:pPr>
        <w:tabs>
          <w:tab w:val="left" w:pos="1110"/>
        </w:tabs>
      </w:pPr>
    </w:p>
    <w:sectPr w:rsidR="000943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E607" w14:textId="77777777" w:rsidR="00B674BE" w:rsidRDefault="00B674BE" w:rsidP="00B674BE">
      <w:pPr>
        <w:spacing w:after="0" w:line="240" w:lineRule="auto"/>
      </w:pPr>
      <w:r>
        <w:separator/>
      </w:r>
    </w:p>
  </w:endnote>
  <w:endnote w:type="continuationSeparator" w:id="0">
    <w:p w14:paraId="682FF2A8" w14:textId="77777777" w:rsidR="00B674BE" w:rsidRDefault="00B674BE" w:rsidP="00B6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3C23" w14:textId="77777777" w:rsidR="00B674BE" w:rsidRDefault="00B674BE" w:rsidP="00B674BE">
      <w:pPr>
        <w:spacing w:after="0" w:line="240" w:lineRule="auto"/>
      </w:pPr>
      <w:r>
        <w:separator/>
      </w:r>
    </w:p>
  </w:footnote>
  <w:footnote w:type="continuationSeparator" w:id="0">
    <w:p w14:paraId="51743CED" w14:textId="77777777" w:rsidR="00B674BE" w:rsidRDefault="00B674BE" w:rsidP="00B6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C2D" w14:textId="77777777" w:rsidR="00B674BE" w:rsidRPr="00B674BE" w:rsidRDefault="00B674BE" w:rsidP="00B674BE">
    <w:pPr>
      <w:spacing w:after="0" w:line="240" w:lineRule="auto"/>
      <w:jc w:val="center"/>
      <w:rPr>
        <w:rFonts w:ascii="Times New Roman" w:eastAsia="Times New Roman" w:hAnsi="Times New Roman" w:cs="Times New Roman"/>
        <w:snapToGrid w:val="0"/>
        <w:sz w:val="14"/>
        <w:szCs w:val="14"/>
      </w:rPr>
    </w:pPr>
    <w:r w:rsidRPr="00B674BE">
      <w:rPr>
        <w:rFonts w:ascii="Times New Roman" w:eastAsia="Times New Roman" w:hAnsi="Times New Roman" w:cs="Times New Roman"/>
        <w:noProof/>
        <w:sz w:val="14"/>
        <w:szCs w:val="14"/>
        <w:lang w:eastAsia="en-GB"/>
      </w:rPr>
      <w:drawing>
        <wp:inline distT="0" distB="0" distL="0" distR="0" wp14:anchorId="74D369AC" wp14:editId="6D89F08E">
          <wp:extent cx="283845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C16FBEB" w14:textId="77777777" w:rsidR="00B674BE" w:rsidRPr="00B674BE" w:rsidRDefault="00B674BE" w:rsidP="00B674BE">
    <w:pPr>
      <w:tabs>
        <w:tab w:val="right" w:pos="3686"/>
        <w:tab w:val="left" w:pos="5812"/>
        <w:tab w:val="right" w:pos="8306"/>
      </w:tabs>
      <w:spacing w:after="0" w:line="240" w:lineRule="auto"/>
      <w:jc w:val="center"/>
      <w:rPr>
        <w:rFonts w:ascii="Times New Roman" w:eastAsia="Times New Roman" w:hAnsi="Times New Roman" w:cs="Times New Roman"/>
        <w:snapToGrid w:val="0"/>
        <w:sz w:val="14"/>
        <w:szCs w:val="14"/>
        <w:lang w:val="fr-CH"/>
      </w:rPr>
    </w:pPr>
    <w:r w:rsidRPr="00B674BE">
      <w:rPr>
        <w:rFonts w:ascii="Times New Roman" w:eastAsia="Times New Roman" w:hAnsi="Times New Roman" w:cs="Times New Roman"/>
        <w:snapToGrid w:val="0"/>
        <w:sz w:val="14"/>
        <w:szCs w:val="14"/>
        <w:lang w:val="fr-CH"/>
      </w:rPr>
      <w:t>PALAIS DES NATIONS • 1211 GENEVA 10, SWITZERLAND</w:t>
    </w:r>
  </w:p>
  <w:p w14:paraId="08CB283D" w14:textId="77777777" w:rsidR="00B674BE" w:rsidRPr="00B674BE" w:rsidRDefault="00B674BE" w:rsidP="00B674BE">
    <w:pPr>
      <w:tabs>
        <w:tab w:val="right" w:pos="3686"/>
        <w:tab w:val="left" w:pos="5812"/>
      </w:tabs>
      <w:spacing w:before="80" w:after="360" w:line="240" w:lineRule="auto"/>
      <w:jc w:val="center"/>
      <w:rPr>
        <w:rFonts w:ascii="Times New Roman" w:eastAsia="Times New Roman" w:hAnsi="Times New Roman" w:cs="Times New Roman"/>
        <w:snapToGrid w:val="0"/>
        <w:sz w:val="14"/>
        <w:szCs w:val="14"/>
        <w:lang w:val="fr-CH"/>
      </w:rPr>
    </w:pPr>
    <w:r w:rsidRPr="00B674BE">
      <w:rPr>
        <w:rFonts w:ascii="Times New Roman" w:eastAsia="Times New Roman" w:hAnsi="Times New Roman" w:cs="Times New Roman"/>
        <w:snapToGrid w:val="0"/>
        <w:sz w:val="14"/>
        <w:szCs w:val="14"/>
        <w:lang w:val="fr-CH"/>
      </w:rPr>
      <w:t xml:space="preserve">www.ohchr.org • </w:t>
    </w:r>
    <w:proofErr w:type="gramStart"/>
    <w:r w:rsidRPr="00B674BE">
      <w:rPr>
        <w:rFonts w:ascii="Times New Roman" w:eastAsia="Times New Roman" w:hAnsi="Times New Roman" w:cs="Times New Roman"/>
        <w:snapToGrid w:val="0"/>
        <w:sz w:val="14"/>
        <w:szCs w:val="14"/>
        <w:lang w:val="fr-CH"/>
      </w:rPr>
      <w:t>TEL:</w:t>
    </w:r>
    <w:proofErr w:type="gramEnd"/>
    <w:r w:rsidRPr="00B674BE">
      <w:rPr>
        <w:rFonts w:ascii="Times New Roman" w:eastAsia="Times New Roman" w:hAnsi="Times New Roman" w:cs="Times New Roman"/>
        <w:snapToGrid w:val="0"/>
        <w:sz w:val="14"/>
        <w:szCs w:val="14"/>
        <w:lang w:val="fr-CH"/>
      </w:rPr>
      <w:t xml:space="preserve">  +41 22 917 9000 • FAX:  +41 22 917 9008 • E-MAIL:  ohchr-registry@un.org</w:t>
    </w:r>
  </w:p>
  <w:p w14:paraId="68E831B0" w14:textId="77777777" w:rsidR="00B674BE" w:rsidRPr="00B674BE" w:rsidRDefault="00B674B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8CA"/>
    <w:multiLevelType w:val="hybridMultilevel"/>
    <w:tmpl w:val="0AE2ED1E"/>
    <w:lvl w:ilvl="0" w:tplc="098CA844">
      <w:start w:val="1"/>
      <w:numFmt w:val="decimal"/>
      <w:lvlText w:val="%1."/>
      <w:lvlJc w:val="left"/>
      <w:pPr>
        <w:ind w:left="1080" w:hanging="720"/>
      </w:pPr>
      <w:rPr>
        <w:rFonts w:hint="default"/>
      </w:rPr>
    </w:lvl>
    <w:lvl w:ilvl="1" w:tplc="16869C0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E4858"/>
    <w:multiLevelType w:val="hybridMultilevel"/>
    <w:tmpl w:val="39D05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C7F41"/>
    <w:multiLevelType w:val="hybridMultilevel"/>
    <w:tmpl w:val="78B8A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E3487"/>
    <w:multiLevelType w:val="hybridMultilevel"/>
    <w:tmpl w:val="B2561A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8081A"/>
    <w:multiLevelType w:val="hybridMultilevel"/>
    <w:tmpl w:val="FF224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2928"/>
    <w:multiLevelType w:val="hybridMultilevel"/>
    <w:tmpl w:val="258CEA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C755F3"/>
    <w:multiLevelType w:val="hybridMultilevel"/>
    <w:tmpl w:val="2940F3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D01D4"/>
    <w:multiLevelType w:val="hybridMultilevel"/>
    <w:tmpl w:val="404C0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8890961">
    <w:abstractNumId w:val="0"/>
  </w:num>
  <w:num w:numId="2" w16cid:durableId="812868302">
    <w:abstractNumId w:val="7"/>
  </w:num>
  <w:num w:numId="3" w16cid:durableId="1354068736">
    <w:abstractNumId w:val="2"/>
  </w:num>
  <w:num w:numId="4" w16cid:durableId="419260683">
    <w:abstractNumId w:val="3"/>
  </w:num>
  <w:num w:numId="5" w16cid:durableId="437869569">
    <w:abstractNumId w:val="6"/>
  </w:num>
  <w:num w:numId="6" w16cid:durableId="1814761088">
    <w:abstractNumId w:val="1"/>
  </w:num>
  <w:num w:numId="7" w16cid:durableId="2073700641">
    <w:abstractNumId w:val="4"/>
  </w:num>
  <w:num w:numId="8" w16cid:durableId="319314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BE"/>
    <w:rsid w:val="00094325"/>
    <w:rsid w:val="004D579E"/>
    <w:rsid w:val="00B6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2EB8B"/>
  <w15:chartTrackingRefBased/>
  <w15:docId w15:val="{E1A1CDC1-D679-48A0-8B33-49ED582B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BE"/>
  </w:style>
  <w:style w:type="paragraph" w:styleId="Footer">
    <w:name w:val="footer"/>
    <w:basedOn w:val="Normal"/>
    <w:link w:val="FooterChar"/>
    <w:uiPriority w:val="99"/>
    <w:unhideWhenUsed/>
    <w:rsid w:val="00B67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BE"/>
  </w:style>
  <w:style w:type="paragraph" w:styleId="ListParagraph">
    <w:name w:val="List Paragraph"/>
    <w:basedOn w:val="Normal"/>
    <w:uiPriority w:val="34"/>
    <w:qFormat/>
    <w:rsid w:val="00B6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WGDAW/" TargetMode="External"/><Relationship Id="rId3" Type="http://schemas.openxmlformats.org/officeDocument/2006/relationships/settings" Target="settings.xml"/><Relationship Id="rId7" Type="http://schemas.openxmlformats.org/officeDocument/2006/relationships/hyperlink" Target="https://unworkinggroupwomenandgir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UN_WGDA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4288</Characters>
  <Application>Microsoft Office Word</Application>
  <DocSecurity>0</DocSecurity>
  <Lines>35</Lines>
  <Paragraphs>10</Paragraphs>
  <ScaleCrop>false</ScaleCrop>
  <Company>OHCHR</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Bernadette Arditi</cp:lastModifiedBy>
  <cp:revision>1</cp:revision>
  <dcterms:created xsi:type="dcterms:W3CDTF">2023-07-27T10:16:00Z</dcterms:created>
  <dcterms:modified xsi:type="dcterms:W3CDTF">2023-07-27T10:20:00Z</dcterms:modified>
</cp:coreProperties>
</file>