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83" w:type="pct"/>
        <w:tblCellMar>
          <w:left w:w="0" w:type="dxa"/>
          <w:right w:w="0" w:type="dxa"/>
        </w:tblCellMar>
        <w:tblLook w:val="04A0" w:firstRow="1" w:lastRow="0" w:firstColumn="1" w:lastColumn="0" w:noHBand="0" w:noVBand="1"/>
      </w:tblPr>
      <w:tblGrid>
        <w:gridCol w:w="3546"/>
        <w:gridCol w:w="5429"/>
      </w:tblGrid>
      <w:tr w:rsidR="00F4495A" w:rsidRPr="00F4495A" w14:paraId="039934AB" w14:textId="77777777" w:rsidTr="00C558BE">
        <w:trPr>
          <w:trHeight w:val="1499"/>
        </w:trPr>
        <w:tc>
          <w:tcPr>
            <w:tcW w:w="2132" w:type="pct"/>
            <w:tcMar>
              <w:top w:w="0" w:type="dxa"/>
              <w:left w:w="108" w:type="dxa"/>
              <w:bottom w:w="0" w:type="dxa"/>
              <w:right w:w="108" w:type="dxa"/>
            </w:tcMar>
            <w:hideMark/>
          </w:tcPr>
          <w:p w14:paraId="646CC39D" w14:textId="03A5B9C4" w:rsidR="00F4495A" w:rsidRPr="00F4495A" w:rsidRDefault="008805C4" w:rsidP="00F4495A">
            <w:pPr>
              <w:rPr>
                <w:rFonts w:ascii="Calibri" w:eastAsia="Calibri" w:hAnsi="Calibri" w:cs="Times New Roman"/>
                <w:lang w:val="en"/>
              </w:rPr>
            </w:pPr>
            <w:r w:rsidRPr="00F4495A">
              <w:rPr>
                <w:rFonts w:ascii="Calibri" w:eastAsia="Calibri" w:hAnsi="Calibri" w:cs="Times New Roman"/>
                <w:noProof/>
                <w:lang w:eastAsia="en-GB"/>
              </w:rPr>
              <w:drawing>
                <wp:inline distT="0" distB="0" distL="0" distR="0" wp14:anchorId="07D448F5" wp14:editId="75FF8DAE">
                  <wp:extent cx="2105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962025"/>
                          </a:xfrm>
                          <a:prstGeom prst="rect">
                            <a:avLst/>
                          </a:prstGeom>
                          <a:noFill/>
                          <a:ln>
                            <a:noFill/>
                          </a:ln>
                        </pic:spPr>
                      </pic:pic>
                    </a:graphicData>
                  </a:graphic>
                </wp:inline>
              </w:drawing>
            </w:r>
          </w:p>
        </w:tc>
        <w:tc>
          <w:tcPr>
            <w:tcW w:w="2868" w:type="pct"/>
            <w:tcMar>
              <w:top w:w="0" w:type="dxa"/>
              <w:left w:w="108" w:type="dxa"/>
              <w:bottom w:w="0" w:type="dxa"/>
              <w:right w:w="108" w:type="dxa"/>
            </w:tcMar>
            <w:hideMark/>
          </w:tcPr>
          <w:p w14:paraId="3B994FDA" w14:textId="3B88ECDA" w:rsidR="00F4495A" w:rsidRPr="00F4495A" w:rsidRDefault="008805C4" w:rsidP="00C558BE">
            <w:pPr>
              <w:ind w:left="1453"/>
              <w:rPr>
                <w:rFonts w:ascii="Calibri" w:eastAsia="Calibri" w:hAnsi="Calibri" w:cs="Times New Roman"/>
                <w:lang w:val="en" w:eastAsia="en-GB"/>
              </w:rPr>
            </w:pPr>
            <w:r>
              <w:rPr>
                <w:rFonts w:ascii="Calibri" w:eastAsia="Calibri" w:hAnsi="Calibri" w:cs="Times New Roman"/>
                <w:noProof/>
                <w:lang w:eastAsia="en-GB"/>
              </w:rPr>
              <w:drawing>
                <wp:inline distT="0" distB="0" distL="0" distR="0" wp14:anchorId="0EF33CD7" wp14:editId="2471CF30">
                  <wp:extent cx="2387600" cy="717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0" cy="717550"/>
                          </a:xfrm>
                          <a:prstGeom prst="rect">
                            <a:avLst/>
                          </a:prstGeom>
                          <a:noFill/>
                        </pic:spPr>
                      </pic:pic>
                    </a:graphicData>
                  </a:graphic>
                </wp:inline>
              </w:drawing>
            </w:r>
          </w:p>
        </w:tc>
      </w:tr>
    </w:tbl>
    <w:p w14:paraId="278628C3" w14:textId="77777777" w:rsidR="00031613" w:rsidRDefault="00F4495A" w:rsidP="00031613">
      <w:pPr>
        <w:spacing w:after="0" w:line="240" w:lineRule="auto"/>
        <w:jc w:val="center"/>
        <w:rPr>
          <w:rFonts w:ascii="Arial" w:eastAsia="Calibri" w:hAnsi="Arial" w:cs="Arial"/>
          <w:b/>
          <w:sz w:val="20"/>
          <w:szCs w:val="20"/>
        </w:rPr>
      </w:pPr>
      <w:r w:rsidRPr="00031613">
        <w:rPr>
          <w:rFonts w:ascii="Arial" w:eastAsia="Calibri" w:hAnsi="Arial" w:cs="Arial"/>
          <w:b/>
          <w:sz w:val="20"/>
          <w:szCs w:val="20"/>
        </w:rPr>
        <w:t>International Day of the Girl Child</w:t>
      </w:r>
    </w:p>
    <w:p w14:paraId="60D693DC" w14:textId="77777777" w:rsidR="00F4495A" w:rsidRDefault="00F4495A" w:rsidP="00031613">
      <w:pPr>
        <w:spacing w:after="0" w:line="240" w:lineRule="auto"/>
        <w:jc w:val="center"/>
        <w:rPr>
          <w:rFonts w:ascii="Arial" w:eastAsia="Calibri" w:hAnsi="Arial" w:cs="Arial"/>
          <w:b/>
          <w:sz w:val="20"/>
          <w:szCs w:val="20"/>
        </w:rPr>
      </w:pPr>
      <w:r w:rsidRPr="00031613">
        <w:rPr>
          <w:rFonts w:ascii="Arial" w:eastAsia="Calibri" w:hAnsi="Arial" w:cs="Arial"/>
          <w:b/>
          <w:sz w:val="20"/>
          <w:szCs w:val="20"/>
        </w:rPr>
        <w:t xml:space="preserve"> 11 October 2022</w:t>
      </w:r>
    </w:p>
    <w:p w14:paraId="22F342A7" w14:textId="77777777" w:rsidR="00031613" w:rsidRPr="00031613" w:rsidRDefault="00031613" w:rsidP="00031613">
      <w:pPr>
        <w:spacing w:after="0" w:line="240" w:lineRule="auto"/>
        <w:jc w:val="center"/>
        <w:rPr>
          <w:rFonts w:ascii="Arial" w:eastAsia="Calibri" w:hAnsi="Arial" w:cs="Arial"/>
          <w:b/>
          <w:sz w:val="20"/>
          <w:szCs w:val="20"/>
        </w:rPr>
      </w:pPr>
    </w:p>
    <w:p w14:paraId="6950D170" w14:textId="77777777" w:rsidR="00132370" w:rsidRPr="00071C41" w:rsidRDefault="00031613" w:rsidP="00031613">
      <w:pPr>
        <w:jc w:val="center"/>
        <w:rPr>
          <w:rFonts w:ascii="Arial" w:eastAsia="Calibri" w:hAnsi="Arial" w:cs="Arial"/>
          <w:sz w:val="24"/>
          <w:szCs w:val="24"/>
        </w:rPr>
      </w:pPr>
      <w:r>
        <w:rPr>
          <w:rFonts w:ascii="Arial" w:eastAsia="Calibri" w:hAnsi="Arial" w:cs="Arial"/>
          <w:b/>
          <w:sz w:val="24"/>
          <w:szCs w:val="24"/>
        </w:rPr>
        <w:t>E</w:t>
      </w:r>
      <w:r w:rsidR="00B2040D">
        <w:rPr>
          <w:rFonts w:ascii="Arial" w:eastAsia="Calibri" w:hAnsi="Arial" w:cs="Arial"/>
          <w:b/>
          <w:sz w:val="24"/>
          <w:szCs w:val="24"/>
        </w:rPr>
        <w:t xml:space="preserve">mpowerment of girls is an indispensable precondition </w:t>
      </w:r>
      <w:r>
        <w:rPr>
          <w:rFonts w:ascii="Arial" w:eastAsia="Calibri" w:hAnsi="Arial" w:cs="Arial"/>
          <w:b/>
          <w:sz w:val="24"/>
          <w:szCs w:val="24"/>
        </w:rPr>
        <w:t>for</w:t>
      </w:r>
      <w:r w:rsidR="00B2040D">
        <w:rPr>
          <w:rFonts w:ascii="Arial" w:eastAsia="Calibri" w:hAnsi="Arial" w:cs="Arial"/>
          <w:b/>
          <w:sz w:val="24"/>
          <w:szCs w:val="24"/>
        </w:rPr>
        <w:t xml:space="preserve"> just and sustainable societies</w:t>
      </w:r>
      <w:r>
        <w:rPr>
          <w:rFonts w:ascii="Arial" w:eastAsia="Calibri" w:hAnsi="Arial" w:cs="Arial"/>
          <w:b/>
          <w:sz w:val="24"/>
          <w:szCs w:val="24"/>
        </w:rPr>
        <w:t>: UN experts</w:t>
      </w:r>
      <w:bookmarkStart w:id="0" w:name="_GoBack"/>
      <w:bookmarkEnd w:id="0"/>
      <w:r>
        <w:rPr>
          <w:rFonts w:ascii="Arial" w:eastAsia="Calibri" w:hAnsi="Arial" w:cs="Arial"/>
          <w:b/>
          <w:sz w:val="24"/>
          <w:szCs w:val="24"/>
        </w:rPr>
        <w:t xml:space="preserve"> </w:t>
      </w:r>
    </w:p>
    <w:p w14:paraId="5C7FAE8C" w14:textId="69AF5F2D" w:rsidR="00E808D8" w:rsidRPr="00031613" w:rsidRDefault="00624481" w:rsidP="006F3DA8">
      <w:pPr>
        <w:jc w:val="both"/>
        <w:rPr>
          <w:rFonts w:ascii="Arial" w:hAnsi="Arial" w:cs="Arial"/>
          <w:sz w:val="24"/>
          <w:szCs w:val="24"/>
        </w:rPr>
      </w:pPr>
      <w:r>
        <w:rPr>
          <w:rFonts w:ascii="Arial" w:hAnsi="Arial" w:cs="Arial"/>
          <w:i/>
          <w:iCs/>
          <w:sz w:val="24"/>
          <w:szCs w:val="24"/>
        </w:rPr>
        <w:t>GENEVA (10</w:t>
      </w:r>
      <w:r w:rsidR="009A1C83" w:rsidRPr="00031613">
        <w:rPr>
          <w:rFonts w:ascii="Arial" w:hAnsi="Arial" w:cs="Arial"/>
          <w:i/>
          <w:iCs/>
          <w:sz w:val="24"/>
          <w:szCs w:val="24"/>
        </w:rPr>
        <w:t xml:space="preserve"> October</w:t>
      </w:r>
      <w:r w:rsidR="00273F36" w:rsidRPr="00031613">
        <w:rPr>
          <w:rFonts w:ascii="Arial" w:hAnsi="Arial" w:cs="Arial"/>
          <w:i/>
          <w:iCs/>
          <w:sz w:val="24"/>
          <w:szCs w:val="24"/>
        </w:rPr>
        <w:t xml:space="preserve"> 2022</w:t>
      </w:r>
      <w:r w:rsidR="00735558" w:rsidRPr="00031613">
        <w:rPr>
          <w:rFonts w:ascii="Arial" w:hAnsi="Arial" w:cs="Arial"/>
          <w:i/>
          <w:iCs/>
          <w:sz w:val="24"/>
          <w:szCs w:val="24"/>
        </w:rPr>
        <w:t>)</w:t>
      </w:r>
      <w:r w:rsidR="00735558" w:rsidRPr="00031613">
        <w:rPr>
          <w:rFonts w:ascii="Arial" w:hAnsi="Arial" w:cs="Arial"/>
          <w:sz w:val="24"/>
          <w:szCs w:val="24"/>
        </w:rPr>
        <w:t xml:space="preserve"> –</w:t>
      </w:r>
      <w:r w:rsidR="00E808D8" w:rsidRPr="00031613">
        <w:rPr>
          <w:rFonts w:ascii="Arial" w:hAnsi="Arial" w:cs="Arial"/>
          <w:i/>
          <w:iCs/>
          <w:sz w:val="24"/>
          <w:szCs w:val="24"/>
        </w:rPr>
        <w:t>UN human rights experts*</w:t>
      </w:r>
      <w:r w:rsidR="00D1796F" w:rsidRPr="00031613">
        <w:rPr>
          <w:rFonts w:ascii="Arial" w:hAnsi="Arial" w:cs="Arial"/>
          <w:i/>
          <w:iCs/>
          <w:sz w:val="24"/>
          <w:szCs w:val="24"/>
        </w:rPr>
        <w:t xml:space="preserve"> </w:t>
      </w:r>
      <w:r w:rsidR="00031613" w:rsidRPr="00031613">
        <w:rPr>
          <w:rFonts w:ascii="Arial" w:hAnsi="Arial" w:cs="Arial"/>
          <w:i/>
          <w:iCs/>
          <w:sz w:val="24"/>
          <w:szCs w:val="24"/>
        </w:rPr>
        <w:t xml:space="preserve">today </w:t>
      </w:r>
      <w:r w:rsidR="00D1796F" w:rsidRPr="00031613">
        <w:rPr>
          <w:rFonts w:ascii="Arial" w:hAnsi="Arial" w:cs="Arial"/>
          <w:i/>
          <w:iCs/>
          <w:sz w:val="24"/>
          <w:szCs w:val="24"/>
        </w:rPr>
        <w:t>celebrate</w:t>
      </w:r>
      <w:r w:rsidR="00031613" w:rsidRPr="00031613">
        <w:rPr>
          <w:rFonts w:ascii="Arial" w:hAnsi="Arial" w:cs="Arial"/>
          <w:i/>
          <w:iCs/>
          <w:sz w:val="24"/>
          <w:szCs w:val="24"/>
        </w:rPr>
        <w:t xml:space="preserve">d </w:t>
      </w:r>
      <w:r w:rsidR="00735558" w:rsidRPr="00031613">
        <w:rPr>
          <w:rFonts w:ascii="Arial" w:hAnsi="Arial" w:cs="Arial"/>
          <w:i/>
          <w:iCs/>
          <w:sz w:val="24"/>
          <w:szCs w:val="24"/>
        </w:rPr>
        <w:t>gain</w:t>
      </w:r>
      <w:r w:rsidR="009A1C83" w:rsidRPr="00031613">
        <w:rPr>
          <w:rFonts w:ascii="Arial" w:hAnsi="Arial" w:cs="Arial"/>
          <w:i/>
          <w:iCs/>
          <w:sz w:val="24"/>
          <w:szCs w:val="24"/>
        </w:rPr>
        <w:t>s ma</w:t>
      </w:r>
      <w:r w:rsidR="00207BB5" w:rsidRPr="00031613">
        <w:rPr>
          <w:rFonts w:ascii="Arial" w:hAnsi="Arial" w:cs="Arial"/>
          <w:i/>
          <w:iCs/>
          <w:sz w:val="24"/>
          <w:szCs w:val="24"/>
        </w:rPr>
        <w:t>de</w:t>
      </w:r>
      <w:r w:rsidR="009A1C83" w:rsidRPr="00031613">
        <w:rPr>
          <w:rFonts w:ascii="Arial" w:hAnsi="Arial" w:cs="Arial"/>
          <w:i/>
          <w:iCs/>
          <w:sz w:val="24"/>
          <w:szCs w:val="24"/>
        </w:rPr>
        <w:t xml:space="preserve"> through girls’ activism </w:t>
      </w:r>
      <w:r w:rsidR="00031613" w:rsidRPr="00031613">
        <w:rPr>
          <w:rFonts w:ascii="Arial" w:hAnsi="Arial" w:cs="Arial"/>
          <w:i/>
          <w:iCs/>
          <w:sz w:val="24"/>
          <w:szCs w:val="24"/>
        </w:rPr>
        <w:t>while warning</w:t>
      </w:r>
      <w:r w:rsidR="009A1C83" w:rsidRPr="00031613">
        <w:rPr>
          <w:rFonts w:ascii="Arial" w:hAnsi="Arial" w:cs="Arial"/>
          <w:i/>
          <w:iCs/>
          <w:sz w:val="24"/>
          <w:szCs w:val="24"/>
        </w:rPr>
        <w:t xml:space="preserve"> </w:t>
      </w:r>
      <w:r w:rsidR="00653F55" w:rsidRPr="00031613">
        <w:rPr>
          <w:rFonts w:ascii="Arial" w:hAnsi="Arial" w:cs="Arial"/>
          <w:i/>
          <w:iCs/>
          <w:sz w:val="24"/>
          <w:szCs w:val="24"/>
        </w:rPr>
        <w:t>against</w:t>
      </w:r>
      <w:r w:rsidR="002C0C4A" w:rsidRPr="00031613">
        <w:rPr>
          <w:rFonts w:ascii="Arial" w:hAnsi="Arial" w:cs="Arial"/>
          <w:i/>
          <w:iCs/>
          <w:sz w:val="24"/>
          <w:szCs w:val="24"/>
        </w:rPr>
        <w:t xml:space="preserve"> major gaps and</w:t>
      </w:r>
      <w:r w:rsidR="00653F55" w:rsidRPr="00031613">
        <w:rPr>
          <w:rFonts w:ascii="Arial" w:hAnsi="Arial" w:cs="Arial"/>
          <w:i/>
          <w:iCs/>
          <w:sz w:val="24"/>
          <w:szCs w:val="24"/>
        </w:rPr>
        <w:t xml:space="preserve"> </w:t>
      </w:r>
      <w:r w:rsidR="00E05784" w:rsidRPr="00031613">
        <w:rPr>
          <w:rFonts w:ascii="Arial" w:hAnsi="Arial" w:cs="Arial"/>
          <w:i/>
          <w:iCs/>
          <w:sz w:val="24"/>
          <w:szCs w:val="24"/>
        </w:rPr>
        <w:t xml:space="preserve">potential </w:t>
      </w:r>
      <w:r w:rsidR="009A1C83" w:rsidRPr="00031613">
        <w:rPr>
          <w:rFonts w:ascii="Arial" w:hAnsi="Arial" w:cs="Arial"/>
          <w:i/>
          <w:iCs/>
          <w:sz w:val="24"/>
          <w:szCs w:val="24"/>
        </w:rPr>
        <w:t>retrogressions</w:t>
      </w:r>
      <w:r w:rsidR="00031613" w:rsidRPr="00031613">
        <w:rPr>
          <w:rFonts w:ascii="Arial" w:hAnsi="Arial" w:cs="Arial"/>
          <w:i/>
          <w:iCs/>
          <w:sz w:val="24"/>
          <w:szCs w:val="24"/>
        </w:rPr>
        <w:t xml:space="preserve"> that could hinder progress</w:t>
      </w:r>
      <w:r w:rsidR="009A1C83" w:rsidRPr="00031613">
        <w:rPr>
          <w:rFonts w:ascii="Arial" w:hAnsi="Arial" w:cs="Arial"/>
          <w:i/>
          <w:iCs/>
          <w:sz w:val="24"/>
          <w:szCs w:val="24"/>
        </w:rPr>
        <w:t xml:space="preserve">. </w:t>
      </w:r>
      <w:r w:rsidR="00031613" w:rsidRPr="00031613">
        <w:rPr>
          <w:rFonts w:ascii="Arial" w:hAnsi="Arial" w:cs="Arial"/>
          <w:i/>
          <w:iCs/>
          <w:sz w:val="24"/>
          <w:szCs w:val="24"/>
        </w:rPr>
        <w:t xml:space="preserve">On the occasion of the tenth International Day of the Girl Child, the experts issued the following </w:t>
      </w:r>
      <w:r w:rsidR="00031613">
        <w:rPr>
          <w:rFonts w:ascii="Arial" w:hAnsi="Arial" w:cs="Arial"/>
          <w:i/>
          <w:iCs/>
          <w:sz w:val="24"/>
          <w:szCs w:val="24"/>
        </w:rPr>
        <w:t xml:space="preserve">joint </w:t>
      </w:r>
      <w:r w:rsidR="00031613" w:rsidRPr="00031613">
        <w:rPr>
          <w:rFonts w:ascii="Arial" w:hAnsi="Arial" w:cs="Arial"/>
          <w:i/>
          <w:iCs/>
          <w:sz w:val="24"/>
          <w:szCs w:val="24"/>
        </w:rPr>
        <w:t>statement:</w:t>
      </w:r>
      <w:r w:rsidR="00031613" w:rsidRPr="00031613">
        <w:rPr>
          <w:rFonts w:ascii="Arial" w:hAnsi="Arial" w:cs="Arial"/>
          <w:sz w:val="24"/>
          <w:szCs w:val="24"/>
        </w:rPr>
        <w:t xml:space="preserve"> </w:t>
      </w:r>
    </w:p>
    <w:p w14:paraId="2DCB145F" w14:textId="09C7A3CC" w:rsidR="007C7DC8" w:rsidRDefault="00031613" w:rsidP="006F3DA8">
      <w:pPr>
        <w:jc w:val="both"/>
        <w:rPr>
          <w:rFonts w:ascii="Arial" w:hAnsi="Arial" w:cs="Arial"/>
          <w:sz w:val="24"/>
          <w:szCs w:val="24"/>
        </w:rPr>
      </w:pPr>
      <w:r w:rsidRPr="00031613">
        <w:rPr>
          <w:rFonts w:ascii="Arial" w:hAnsi="Arial" w:cs="Arial"/>
          <w:sz w:val="24"/>
          <w:szCs w:val="24"/>
        </w:rPr>
        <w:t>“</w:t>
      </w:r>
      <w:r w:rsidR="007C7DC8" w:rsidRPr="007C7DC8">
        <w:rPr>
          <w:rFonts w:ascii="Arial" w:hAnsi="Arial" w:cs="Arial"/>
          <w:sz w:val="24"/>
          <w:szCs w:val="24"/>
        </w:rPr>
        <w:t xml:space="preserve">On this tenth International Day of the Girl Child, we seize the occasion to pay tribute to all the courageous girl activists across the globe and to their admirable transformative potential as </w:t>
      </w:r>
      <w:r w:rsidR="0030619B">
        <w:rPr>
          <w:rFonts w:ascii="Arial" w:hAnsi="Arial" w:cs="Arial"/>
          <w:sz w:val="24"/>
          <w:szCs w:val="24"/>
        </w:rPr>
        <w:t xml:space="preserve">child </w:t>
      </w:r>
      <w:r w:rsidR="007C7DC8" w:rsidRPr="007C7DC8">
        <w:rPr>
          <w:rFonts w:ascii="Arial" w:hAnsi="Arial" w:cs="Arial"/>
          <w:sz w:val="24"/>
          <w:szCs w:val="24"/>
        </w:rPr>
        <w:t xml:space="preserve">human rights defenders. Their voices should be amplified within the UN and beyond as they are key in offering concrete solutions to major challenges our societies face. </w:t>
      </w:r>
    </w:p>
    <w:p w14:paraId="29580A2D" w14:textId="7EC56139" w:rsidR="006F3DA8" w:rsidRPr="00031613" w:rsidRDefault="00207BB5" w:rsidP="006F3DA8">
      <w:pPr>
        <w:jc w:val="both"/>
        <w:rPr>
          <w:rFonts w:ascii="Arial" w:hAnsi="Arial" w:cs="Arial"/>
          <w:sz w:val="24"/>
          <w:szCs w:val="24"/>
        </w:rPr>
      </w:pPr>
      <w:r w:rsidRPr="00031613">
        <w:rPr>
          <w:rFonts w:ascii="Arial" w:hAnsi="Arial" w:cs="Arial"/>
          <w:sz w:val="24"/>
          <w:szCs w:val="24"/>
        </w:rPr>
        <w:t>Girls have been</w:t>
      </w:r>
      <w:r w:rsidR="006F3DA8" w:rsidRPr="00031613">
        <w:rPr>
          <w:rFonts w:ascii="Arial" w:hAnsi="Arial" w:cs="Arial"/>
          <w:sz w:val="24"/>
          <w:szCs w:val="24"/>
        </w:rPr>
        <w:t xml:space="preserve"> mobili</w:t>
      </w:r>
      <w:r w:rsidR="00031613" w:rsidRPr="00031613">
        <w:rPr>
          <w:rFonts w:ascii="Arial" w:hAnsi="Arial" w:cs="Arial"/>
          <w:sz w:val="24"/>
          <w:szCs w:val="24"/>
        </w:rPr>
        <w:t>s</w:t>
      </w:r>
      <w:r w:rsidR="006F3DA8" w:rsidRPr="00031613">
        <w:rPr>
          <w:rFonts w:ascii="Arial" w:hAnsi="Arial" w:cs="Arial"/>
          <w:sz w:val="24"/>
          <w:szCs w:val="24"/>
        </w:rPr>
        <w:t xml:space="preserve">ing worldwide to demand and </w:t>
      </w:r>
      <w:r w:rsidRPr="00031613">
        <w:rPr>
          <w:rFonts w:ascii="Arial" w:hAnsi="Arial" w:cs="Arial"/>
          <w:sz w:val="24"/>
          <w:szCs w:val="24"/>
        </w:rPr>
        <w:t>catalyse</w:t>
      </w:r>
      <w:r w:rsidR="006F3DA8" w:rsidRPr="00031613">
        <w:rPr>
          <w:rFonts w:ascii="Arial" w:hAnsi="Arial" w:cs="Arial"/>
          <w:sz w:val="24"/>
          <w:szCs w:val="24"/>
        </w:rPr>
        <w:t xml:space="preserve"> change on critical global issues. They are at the forefront of initiatives aimed at transforming societies towards social justice, gender equality and sustainability. This is occurring despite  barriers that they continue to face in participating in public and political life, </w:t>
      </w:r>
      <w:r w:rsidR="00031613" w:rsidRPr="00031613">
        <w:rPr>
          <w:rFonts w:ascii="Arial" w:hAnsi="Arial" w:cs="Arial"/>
          <w:sz w:val="24"/>
          <w:szCs w:val="24"/>
        </w:rPr>
        <w:t>because of</w:t>
      </w:r>
      <w:r w:rsidR="006F3DA8" w:rsidRPr="00031613">
        <w:rPr>
          <w:rFonts w:ascii="Arial" w:hAnsi="Arial" w:cs="Arial"/>
          <w:sz w:val="24"/>
          <w:szCs w:val="24"/>
        </w:rPr>
        <w:t xml:space="preserve"> persistent gender-based discrimination</w:t>
      </w:r>
      <w:r w:rsidR="00A9544E">
        <w:rPr>
          <w:rFonts w:ascii="Arial" w:hAnsi="Arial" w:cs="Arial"/>
          <w:sz w:val="24"/>
          <w:szCs w:val="24"/>
        </w:rPr>
        <w:t>, exclusions</w:t>
      </w:r>
      <w:r w:rsidR="006F3DA8" w:rsidRPr="00031613">
        <w:rPr>
          <w:rFonts w:ascii="Arial" w:hAnsi="Arial" w:cs="Arial"/>
          <w:sz w:val="24"/>
          <w:szCs w:val="24"/>
        </w:rPr>
        <w:t xml:space="preserve"> and violence within families, com</w:t>
      </w:r>
      <w:r w:rsidR="00AA477A">
        <w:rPr>
          <w:rFonts w:ascii="Arial" w:hAnsi="Arial" w:cs="Arial"/>
          <w:sz w:val="24"/>
          <w:szCs w:val="24"/>
        </w:rPr>
        <w:t>munities and societies</w:t>
      </w:r>
      <w:r w:rsidRPr="00031613">
        <w:rPr>
          <w:rFonts w:ascii="Arial" w:hAnsi="Arial" w:cs="Arial"/>
          <w:sz w:val="24"/>
          <w:szCs w:val="24"/>
        </w:rPr>
        <w:t xml:space="preserve"> at large. </w:t>
      </w:r>
    </w:p>
    <w:p w14:paraId="318B279B" w14:textId="71230445" w:rsidR="006F3DA8" w:rsidRPr="00031613" w:rsidRDefault="006F3DA8" w:rsidP="006F3DA8">
      <w:pPr>
        <w:jc w:val="both"/>
        <w:rPr>
          <w:rFonts w:ascii="Arial" w:hAnsi="Arial" w:cs="Arial"/>
          <w:sz w:val="24"/>
          <w:szCs w:val="24"/>
        </w:rPr>
      </w:pPr>
      <w:r w:rsidRPr="00031613">
        <w:rPr>
          <w:rFonts w:ascii="Arial" w:hAnsi="Arial" w:cs="Arial"/>
          <w:sz w:val="24"/>
          <w:szCs w:val="24"/>
        </w:rPr>
        <w:t>Girls experience unique challenges to their activism, rooted in the intersection of gender and age, and exacerbated by</w:t>
      </w:r>
      <w:r w:rsidR="0073689A">
        <w:rPr>
          <w:rFonts w:ascii="Arial" w:hAnsi="Arial" w:cs="Arial"/>
          <w:sz w:val="24"/>
          <w:szCs w:val="24"/>
        </w:rPr>
        <w:t xml:space="preserve"> numerous </w:t>
      </w:r>
      <w:r w:rsidR="00A9544E">
        <w:rPr>
          <w:rFonts w:ascii="Arial" w:hAnsi="Arial" w:cs="Arial"/>
          <w:sz w:val="24"/>
          <w:szCs w:val="24"/>
        </w:rPr>
        <w:t xml:space="preserve">other intersecting </w:t>
      </w:r>
      <w:r w:rsidR="0073689A">
        <w:rPr>
          <w:rFonts w:ascii="Arial" w:hAnsi="Arial" w:cs="Arial"/>
          <w:sz w:val="24"/>
          <w:szCs w:val="24"/>
        </w:rPr>
        <w:t>factors. Retrogressive</w:t>
      </w:r>
      <w:r w:rsidRPr="00031613">
        <w:rPr>
          <w:rFonts w:ascii="Arial" w:hAnsi="Arial" w:cs="Arial"/>
          <w:sz w:val="24"/>
          <w:szCs w:val="24"/>
        </w:rPr>
        <w:t xml:space="preserve"> narratives that perpetuate discriminatory gender and age-related stereotypes suggesting that women’s and girls’ role</w:t>
      </w:r>
      <w:r w:rsidR="00031613" w:rsidRPr="00031613">
        <w:rPr>
          <w:rFonts w:ascii="Arial" w:hAnsi="Arial" w:cs="Arial"/>
          <w:sz w:val="24"/>
          <w:szCs w:val="24"/>
        </w:rPr>
        <w:t>s</w:t>
      </w:r>
      <w:r w:rsidRPr="00031613">
        <w:rPr>
          <w:rFonts w:ascii="Arial" w:hAnsi="Arial" w:cs="Arial"/>
          <w:sz w:val="24"/>
          <w:szCs w:val="24"/>
        </w:rPr>
        <w:t xml:space="preserve"> should be limited to the private sphere, family and procreation considerably affect their participation in public life, silence their voices and render t</w:t>
      </w:r>
      <w:r w:rsidR="00EE15D5" w:rsidRPr="00031613">
        <w:rPr>
          <w:rFonts w:ascii="Arial" w:hAnsi="Arial" w:cs="Arial"/>
          <w:sz w:val="24"/>
          <w:szCs w:val="24"/>
        </w:rPr>
        <w:t xml:space="preserve">heir contributions invisible.  </w:t>
      </w:r>
    </w:p>
    <w:p w14:paraId="427B352F" w14:textId="77777777" w:rsidR="00223DD5" w:rsidRPr="00031613" w:rsidRDefault="006F3DA8" w:rsidP="006F3DA8">
      <w:pPr>
        <w:jc w:val="both"/>
        <w:rPr>
          <w:rFonts w:ascii="Arial" w:hAnsi="Arial" w:cs="Arial"/>
          <w:sz w:val="24"/>
          <w:szCs w:val="24"/>
        </w:rPr>
      </w:pPr>
      <w:r w:rsidRPr="00031613">
        <w:rPr>
          <w:rFonts w:ascii="Arial" w:hAnsi="Arial" w:cs="Arial"/>
          <w:sz w:val="24"/>
          <w:szCs w:val="24"/>
        </w:rPr>
        <w:t>The empo</w:t>
      </w:r>
      <w:r w:rsidR="0062627F" w:rsidRPr="00031613">
        <w:rPr>
          <w:rFonts w:ascii="Arial" w:hAnsi="Arial" w:cs="Arial"/>
          <w:sz w:val="24"/>
          <w:szCs w:val="24"/>
        </w:rPr>
        <w:t>werment of girls</w:t>
      </w:r>
      <w:r w:rsidRPr="00031613">
        <w:rPr>
          <w:rFonts w:ascii="Arial" w:hAnsi="Arial" w:cs="Arial"/>
          <w:sz w:val="24"/>
          <w:szCs w:val="24"/>
        </w:rPr>
        <w:t xml:space="preserve"> through the respect, protection and fulfilment of their fundamental human rights is an indispensable precondition for just, inclusive, peaceful and sustainable societies, and the achievement of gender equality.  While in recent years their participation has increasingly been</w:t>
      </w:r>
      <w:r w:rsidR="00632F16" w:rsidRPr="00031613">
        <w:rPr>
          <w:rFonts w:ascii="Arial" w:hAnsi="Arial" w:cs="Arial"/>
          <w:sz w:val="24"/>
          <w:szCs w:val="24"/>
        </w:rPr>
        <w:t xml:space="preserve"> promoted, major gaps persist, </w:t>
      </w:r>
      <w:r w:rsidRPr="00031613">
        <w:rPr>
          <w:rFonts w:ascii="Arial" w:hAnsi="Arial" w:cs="Arial"/>
          <w:sz w:val="24"/>
          <w:szCs w:val="24"/>
        </w:rPr>
        <w:t xml:space="preserve">compounded by predominant gender stereotypes and patriarchal social norms. </w:t>
      </w:r>
    </w:p>
    <w:p w14:paraId="0BB417AE" w14:textId="205D2DBF" w:rsidR="006F3DA8" w:rsidRPr="00031613" w:rsidRDefault="006F3DA8" w:rsidP="006F3DA8">
      <w:pPr>
        <w:jc w:val="both"/>
        <w:rPr>
          <w:rFonts w:ascii="Arial" w:hAnsi="Arial" w:cs="Arial"/>
          <w:sz w:val="24"/>
          <w:szCs w:val="24"/>
        </w:rPr>
      </w:pPr>
      <w:r w:rsidRPr="00031613">
        <w:rPr>
          <w:rFonts w:ascii="Arial" w:hAnsi="Arial" w:cs="Arial"/>
          <w:sz w:val="24"/>
          <w:szCs w:val="24"/>
        </w:rPr>
        <w:t>The sign</w:t>
      </w:r>
      <w:r w:rsidR="00223DD5" w:rsidRPr="00031613">
        <w:rPr>
          <w:rFonts w:ascii="Arial" w:hAnsi="Arial" w:cs="Arial"/>
          <w:sz w:val="24"/>
          <w:szCs w:val="24"/>
        </w:rPr>
        <w:t xml:space="preserve">ificant barriers to </w:t>
      </w:r>
      <w:r w:rsidRPr="00031613">
        <w:rPr>
          <w:rFonts w:ascii="Arial" w:hAnsi="Arial" w:cs="Arial"/>
          <w:sz w:val="24"/>
          <w:szCs w:val="24"/>
        </w:rPr>
        <w:t>girls’ enjoyment of the rights to freedom of</w:t>
      </w:r>
      <w:r w:rsidR="002328B8">
        <w:rPr>
          <w:rFonts w:ascii="Arial" w:hAnsi="Arial" w:cs="Arial"/>
          <w:sz w:val="24"/>
          <w:szCs w:val="24"/>
        </w:rPr>
        <w:t xml:space="preserve"> expression and opinion and to</w:t>
      </w:r>
      <w:r w:rsidRPr="00031613">
        <w:rPr>
          <w:rFonts w:ascii="Arial" w:hAnsi="Arial" w:cs="Arial"/>
          <w:sz w:val="24"/>
          <w:szCs w:val="24"/>
        </w:rPr>
        <w:t xml:space="preserve"> peaceful assembly and association are </w:t>
      </w:r>
      <w:r w:rsidR="002328B8">
        <w:rPr>
          <w:rFonts w:ascii="Arial" w:hAnsi="Arial" w:cs="Arial"/>
          <w:sz w:val="24"/>
          <w:szCs w:val="24"/>
        </w:rPr>
        <w:t xml:space="preserve">often </w:t>
      </w:r>
      <w:r w:rsidRPr="00031613">
        <w:rPr>
          <w:rFonts w:ascii="Arial" w:hAnsi="Arial" w:cs="Arial"/>
          <w:sz w:val="24"/>
          <w:szCs w:val="24"/>
        </w:rPr>
        <w:t>deeply rooted at home, in the family and in the community</w:t>
      </w:r>
      <w:r w:rsidR="00A9544E">
        <w:rPr>
          <w:rFonts w:ascii="Arial" w:hAnsi="Arial" w:cs="Arial"/>
          <w:sz w:val="24"/>
          <w:szCs w:val="24"/>
        </w:rPr>
        <w:t>.</w:t>
      </w:r>
      <w:r w:rsidRPr="00031613">
        <w:rPr>
          <w:rFonts w:ascii="Arial" w:hAnsi="Arial" w:cs="Arial"/>
          <w:sz w:val="24"/>
          <w:szCs w:val="24"/>
        </w:rPr>
        <w:t xml:space="preserve"> </w:t>
      </w:r>
      <w:r w:rsidR="00A9544E">
        <w:rPr>
          <w:rFonts w:ascii="Arial" w:hAnsi="Arial" w:cs="Arial"/>
          <w:sz w:val="24"/>
          <w:szCs w:val="24"/>
        </w:rPr>
        <w:t>Every</w:t>
      </w:r>
      <w:r w:rsidRPr="00031613">
        <w:rPr>
          <w:rFonts w:ascii="Arial" w:hAnsi="Arial" w:cs="Arial"/>
          <w:sz w:val="24"/>
          <w:szCs w:val="24"/>
        </w:rPr>
        <w:t xml:space="preserve">where girls continue to live under </w:t>
      </w:r>
      <w:r w:rsidR="00A9544E">
        <w:rPr>
          <w:rFonts w:ascii="Arial" w:hAnsi="Arial" w:cs="Arial"/>
          <w:sz w:val="24"/>
          <w:szCs w:val="24"/>
        </w:rPr>
        <w:t xml:space="preserve">varying degree of </w:t>
      </w:r>
      <w:r w:rsidRPr="00031613">
        <w:rPr>
          <w:rFonts w:ascii="Arial" w:hAnsi="Arial" w:cs="Arial"/>
          <w:sz w:val="24"/>
          <w:szCs w:val="24"/>
        </w:rPr>
        <w:t xml:space="preserve">patriarchal control and experience wrongful stereotyping, both of which prevent and punish participation in public life. The perception of young activists as challenging established gender norms may lead to aggression, including threats and </w:t>
      </w:r>
      <w:r w:rsidRPr="00031613">
        <w:rPr>
          <w:rFonts w:ascii="Arial" w:hAnsi="Arial" w:cs="Arial"/>
          <w:sz w:val="24"/>
          <w:szCs w:val="24"/>
        </w:rPr>
        <w:lastRenderedPageBreak/>
        <w:t>violence, or lack of support from their families, communities and the general populati</w:t>
      </w:r>
      <w:r w:rsidR="00132370" w:rsidRPr="00031613">
        <w:rPr>
          <w:rFonts w:ascii="Arial" w:hAnsi="Arial" w:cs="Arial"/>
          <w:sz w:val="24"/>
          <w:szCs w:val="24"/>
        </w:rPr>
        <w:t>on, as well as the authorities.</w:t>
      </w:r>
    </w:p>
    <w:p w14:paraId="16FD2C41" w14:textId="7861F826" w:rsidR="006F3DA8" w:rsidRPr="00031613" w:rsidRDefault="006F3DA8" w:rsidP="006F3DA8">
      <w:pPr>
        <w:jc w:val="both"/>
        <w:rPr>
          <w:rFonts w:ascii="Arial" w:hAnsi="Arial" w:cs="Arial"/>
          <w:sz w:val="24"/>
          <w:szCs w:val="24"/>
        </w:rPr>
      </w:pPr>
      <w:r w:rsidRPr="00031613">
        <w:rPr>
          <w:rFonts w:ascii="Arial" w:hAnsi="Arial" w:cs="Arial"/>
          <w:sz w:val="24"/>
          <w:szCs w:val="24"/>
        </w:rPr>
        <w:t>Access to education, especially at secondary and tertiary levels, professional training, productive resources, economic opportunities and information</w:t>
      </w:r>
      <w:r w:rsidR="00A9544E">
        <w:rPr>
          <w:rFonts w:ascii="Arial" w:hAnsi="Arial" w:cs="Arial"/>
          <w:sz w:val="24"/>
          <w:szCs w:val="24"/>
        </w:rPr>
        <w:t xml:space="preserve"> as well as digital connectivity</w:t>
      </w:r>
      <w:r w:rsidRPr="00031613">
        <w:rPr>
          <w:rFonts w:ascii="Arial" w:hAnsi="Arial" w:cs="Arial"/>
          <w:sz w:val="24"/>
          <w:szCs w:val="24"/>
        </w:rPr>
        <w:t xml:space="preserve"> contin</w:t>
      </w:r>
      <w:r w:rsidR="00A72559">
        <w:rPr>
          <w:rFonts w:ascii="Arial" w:hAnsi="Arial" w:cs="Arial"/>
          <w:sz w:val="24"/>
          <w:szCs w:val="24"/>
        </w:rPr>
        <w:t>ue to be limited for many girls</w:t>
      </w:r>
      <w:r w:rsidRPr="00031613">
        <w:rPr>
          <w:rFonts w:ascii="Arial" w:hAnsi="Arial" w:cs="Arial"/>
          <w:sz w:val="24"/>
          <w:szCs w:val="24"/>
        </w:rPr>
        <w:t xml:space="preserve">, particularly those living in rural or precarious settings. Often, they are not sufficiently aware of </w:t>
      </w:r>
      <w:r w:rsidR="00A9544E">
        <w:rPr>
          <w:rFonts w:ascii="Arial" w:hAnsi="Arial" w:cs="Arial"/>
          <w:sz w:val="24"/>
          <w:szCs w:val="24"/>
        </w:rPr>
        <w:t>being rights-holders n</w:t>
      </w:r>
      <w:r w:rsidRPr="00031613">
        <w:rPr>
          <w:rFonts w:ascii="Arial" w:hAnsi="Arial" w:cs="Arial"/>
          <w:sz w:val="24"/>
          <w:szCs w:val="24"/>
        </w:rPr>
        <w:t xml:space="preserve">or </w:t>
      </w:r>
      <w:r w:rsidR="00A9544E">
        <w:rPr>
          <w:rFonts w:ascii="Arial" w:hAnsi="Arial" w:cs="Arial"/>
          <w:sz w:val="24"/>
          <w:szCs w:val="24"/>
        </w:rPr>
        <w:t>are they</w:t>
      </w:r>
      <w:r w:rsidR="00A72559">
        <w:rPr>
          <w:rFonts w:ascii="Arial" w:hAnsi="Arial" w:cs="Arial"/>
          <w:sz w:val="24"/>
          <w:szCs w:val="24"/>
        </w:rPr>
        <w:t xml:space="preserve"> </w:t>
      </w:r>
      <w:r w:rsidRPr="00031613">
        <w:rPr>
          <w:rFonts w:ascii="Arial" w:hAnsi="Arial" w:cs="Arial"/>
          <w:sz w:val="24"/>
          <w:szCs w:val="24"/>
        </w:rPr>
        <w:t>duly informed about their rights, which is a fundamental p</w:t>
      </w:r>
      <w:r w:rsidR="00195176" w:rsidRPr="00031613">
        <w:rPr>
          <w:rFonts w:ascii="Arial" w:hAnsi="Arial" w:cs="Arial"/>
          <w:sz w:val="24"/>
          <w:szCs w:val="24"/>
        </w:rPr>
        <w:t>rerequisite</w:t>
      </w:r>
      <w:r w:rsidR="00132370" w:rsidRPr="00031613">
        <w:rPr>
          <w:rFonts w:ascii="Arial" w:hAnsi="Arial" w:cs="Arial"/>
          <w:sz w:val="24"/>
          <w:szCs w:val="24"/>
        </w:rPr>
        <w:t xml:space="preserve"> for their</w:t>
      </w:r>
      <w:r w:rsidR="00A9544E">
        <w:rPr>
          <w:rFonts w:ascii="Arial" w:hAnsi="Arial" w:cs="Arial"/>
          <w:sz w:val="24"/>
          <w:szCs w:val="24"/>
        </w:rPr>
        <w:t xml:space="preserve"> agency and</w:t>
      </w:r>
      <w:r w:rsidR="00132370" w:rsidRPr="00031613">
        <w:rPr>
          <w:rFonts w:ascii="Arial" w:hAnsi="Arial" w:cs="Arial"/>
          <w:sz w:val="24"/>
          <w:szCs w:val="24"/>
        </w:rPr>
        <w:t xml:space="preserve"> activism.</w:t>
      </w:r>
    </w:p>
    <w:p w14:paraId="09977C61" w14:textId="3ED1C8E9" w:rsidR="006F3DA8" w:rsidRPr="00031613" w:rsidRDefault="00381067" w:rsidP="006F3DA8">
      <w:pPr>
        <w:jc w:val="both"/>
        <w:rPr>
          <w:rFonts w:ascii="Arial" w:hAnsi="Arial" w:cs="Arial"/>
          <w:sz w:val="24"/>
          <w:szCs w:val="24"/>
        </w:rPr>
      </w:pPr>
      <w:r>
        <w:rPr>
          <w:rFonts w:ascii="Arial" w:hAnsi="Arial" w:cs="Arial"/>
          <w:sz w:val="24"/>
          <w:szCs w:val="24"/>
        </w:rPr>
        <w:t>Child</w:t>
      </w:r>
      <w:r w:rsidRPr="00031613">
        <w:rPr>
          <w:rFonts w:ascii="Arial" w:hAnsi="Arial" w:cs="Arial"/>
          <w:sz w:val="24"/>
          <w:szCs w:val="24"/>
        </w:rPr>
        <w:t xml:space="preserve"> </w:t>
      </w:r>
      <w:r w:rsidR="006F3DA8" w:rsidRPr="00031613">
        <w:rPr>
          <w:rFonts w:ascii="Arial" w:hAnsi="Arial" w:cs="Arial"/>
          <w:sz w:val="24"/>
          <w:szCs w:val="24"/>
        </w:rPr>
        <w:t>and forced marriages as well as forced, unwanted or child pregnancies; female genital mutilation; sexual violence, including rape; curtailed access to sexual and reproductive health services, information and goods, including those related to menstrual health, contraception and abortion care, and the denial of their autonomy in relation to these matters, are also major human rights barriers to girl</w:t>
      </w:r>
      <w:r w:rsidR="00132370" w:rsidRPr="00031613">
        <w:rPr>
          <w:rFonts w:ascii="Arial" w:hAnsi="Arial" w:cs="Arial"/>
          <w:sz w:val="24"/>
          <w:szCs w:val="24"/>
        </w:rPr>
        <w:t xml:space="preserve">s’  activism. </w:t>
      </w:r>
    </w:p>
    <w:p w14:paraId="138B42A6" w14:textId="3527933D" w:rsidR="00F551E2" w:rsidRPr="00031613" w:rsidRDefault="006F3DA8" w:rsidP="006F3DA8">
      <w:pPr>
        <w:jc w:val="both"/>
        <w:rPr>
          <w:rFonts w:ascii="Arial" w:hAnsi="Arial" w:cs="Arial"/>
          <w:sz w:val="24"/>
          <w:szCs w:val="24"/>
        </w:rPr>
      </w:pPr>
      <w:r w:rsidRPr="00031613">
        <w:rPr>
          <w:rFonts w:ascii="Arial" w:hAnsi="Arial" w:cs="Arial"/>
          <w:sz w:val="24"/>
          <w:szCs w:val="24"/>
        </w:rPr>
        <w:t>The lack of safety and security are major barriers to girls’</w:t>
      </w:r>
      <w:r w:rsidR="00A9544E">
        <w:rPr>
          <w:rFonts w:ascii="Arial" w:hAnsi="Arial" w:cs="Arial"/>
          <w:sz w:val="24"/>
          <w:szCs w:val="24"/>
        </w:rPr>
        <w:t xml:space="preserve"> agency and</w:t>
      </w:r>
      <w:r w:rsidR="00A72559">
        <w:rPr>
          <w:rFonts w:ascii="Arial" w:hAnsi="Arial" w:cs="Arial"/>
          <w:sz w:val="24"/>
          <w:szCs w:val="24"/>
        </w:rPr>
        <w:t xml:space="preserve"> </w:t>
      </w:r>
      <w:r w:rsidRPr="00031613">
        <w:rPr>
          <w:rFonts w:ascii="Arial" w:hAnsi="Arial" w:cs="Arial"/>
          <w:sz w:val="24"/>
          <w:szCs w:val="24"/>
        </w:rPr>
        <w:t>activism. The frequent occurrence of attacks, harassment and violence in the street and on public transport, deter and limit girls’  activities and travel outside their home, which impedes their access to a</w:t>
      </w:r>
      <w:r w:rsidR="00132370" w:rsidRPr="00031613">
        <w:rPr>
          <w:rFonts w:ascii="Arial" w:hAnsi="Arial" w:cs="Arial"/>
          <w:sz w:val="24"/>
          <w:szCs w:val="24"/>
        </w:rPr>
        <w:t>nd use of spaces for</w:t>
      </w:r>
      <w:r w:rsidR="00A9544E">
        <w:rPr>
          <w:rFonts w:ascii="Arial" w:hAnsi="Arial" w:cs="Arial"/>
          <w:sz w:val="24"/>
          <w:szCs w:val="24"/>
        </w:rPr>
        <w:t xml:space="preserve"> freely exercising and self-assertion.</w:t>
      </w:r>
    </w:p>
    <w:p w14:paraId="608890A0" w14:textId="2EF97449" w:rsidR="006F3DA8" w:rsidRPr="00031613" w:rsidRDefault="006F3DA8" w:rsidP="006F3DA8">
      <w:pPr>
        <w:jc w:val="both"/>
        <w:rPr>
          <w:rFonts w:ascii="Arial" w:hAnsi="Arial" w:cs="Arial"/>
          <w:sz w:val="24"/>
          <w:szCs w:val="24"/>
        </w:rPr>
      </w:pPr>
      <w:r w:rsidRPr="00031613">
        <w:rPr>
          <w:rFonts w:ascii="Arial" w:hAnsi="Arial" w:cs="Arial"/>
          <w:sz w:val="24"/>
          <w:szCs w:val="24"/>
        </w:rPr>
        <w:t>Digital gender-based violence and harassment add a further layer of challenges to girls’ activism. Digital technologies may be used to blackmail, control, surveil, coerce, hara</w:t>
      </w:r>
      <w:r w:rsidR="00A72559">
        <w:rPr>
          <w:rFonts w:ascii="Arial" w:hAnsi="Arial" w:cs="Arial"/>
          <w:sz w:val="24"/>
          <w:szCs w:val="24"/>
        </w:rPr>
        <w:t xml:space="preserve">ss, humiliate or objectify girl </w:t>
      </w:r>
      <w:r w:rsidRPr="00031613">
        <w:rPr>
          <w:rFonts w:ascii="Arial" w:hAnsi="Arial" w:cs="Arial"/>
          <w:sz w:val="24"/>
          <w:szCs w:val="24"/>
        </w:rPr>
        <w:t>activists. Online attacks are often orchestrated against them with the aim of discrediting, de</w:t>
      </w:r>
      <w:r w:rsidR="00B73CA4" w:rsidRPr="00031613">
        <w:rPr>
          <w:rFonts w:ascii="Arial" w:hAnsi="Arial" w:cs="Arial"/>
          <w:sz w:val="24"/>
          <w:szCs w:val="24"/>
        </w:rPr>
        <w:t>legitimi</w:t>
      </w:r>
      <w:r w:rsidR="00031613" w:rsidRPr="00031613">
        <w:rPr>
          <w:rFonts w:ascii="Arial" w:hAnsi="Arial" w:cs="Arial"/>
          <w:sz w:val="24"/>
          <w:szCs w:val="24"/>
        </w:rPr>
        <w:t>s</w:t>
      </w:r>
      <w:r w:rsidR="00B73CA4" w:rsidRPr="00031613">
        <w:rPr>
          <w:rFonts w:ascii="Arial" w:hAnsi="Arial" w:cs="Arial"/>
          <w:sz w:val="24"/>
          <w:szCs w:val="24"/>
        </w:rPr>
        <w:t>ing and defaming them.</w:t>
      </w:r>
    </w:p>
    <w:p w14:paraId="72213E69" w14:textId="250F2AD8" w:rsidR="00984CA9" w:rsidRPr="00031613" w:rsidRDefault="00132370" w:rsidP="00132370">
      <w:pPr>
        <w:jc w:val="both"/>
        <w:rPr>
          <w:rFonts w:ascii="Arial" w:hAnsi="Arial" w:cs="Arial"/>
          <w:sz w:val="24"/>
          <w:szCs w:val="24"/>
        </w:rPr>
      </w:pPr>
      <w:r w:rsidRPr="00031613">
        <w:rPr>
          <w:rFonts w:ascii="Arial" w:hAnsi="Arial" w:cs="Arial"/>
          <w:sz w:val="24"/>
          <w:szCs w:val="24"/>
        </w:rPr>
        <w:t>Beyond the devastating effects of the COVID-19 pandemic, ongoing crises caused by conflict and displacement, climate change, natural disasters, sharp socioeconomic inequalities, political instability and rampant digitali</w:t>
      </w:r>
      <w:r w:rsidR="00031613" w:rsidRPr="00031613">
        <w:rPr>
          <w:rFonts w:ascii="Arial" w:hAnsi="Arial" w:cs="Arial"/>
          <w:sz w:val="24"/>
          <w:szCs w:val="24"/>
        </w:rPr>
        <w:t>s</w:t>
      </w:r>
      <w:r w:rsidRPr="00031613">
        <w:rPr>
          <w:rFonts w:ascii="Arial" w:hAnsi="Arial" w:cs="Arial"/>
          <w:sz w:val="24"/>
          <w:szCs w:val="24"/>
        </w:rPr>
        <w:t>ation have had a considerable impact</w:t>
      </w:r>
      <w:r w:rsidR="00A72559">
        <w:rPr>
          <w:rFonts w:ascii="Arial" w:hAnsi="Arial" w:cs="Arial"/>
          <w:sz w:val="24"/>
          <w:szCs w:val="24"/>
        </w:rPr>
        <w:t xml:space="preserve"> on the possibilities for girls </w:t>
      </w:r>
      <w:r w:rsidRPr="00031613">
        <w:rPr>
          <w:rFonts w:ascii="Arial" w:hAnsi="Arial" w:cs="Arial"/>
          <w:sz w:val="24"/>
          <w:szCs w:val="24"/>
        </w:rPr>
        <w:t>to</w:t>
      </w:r>
      <w:r w:rsidR="00A9544E">
        <w:rPr>
          <w:rFonts w:ascii="Arial" w:hAnsi="Arial" w:cs="Arial"/>
          <w:sz w:val="24"/>
          <w:szCs w:val="24"/>
        </w:rPr>
        <w:t xml:space="preserve"> fully and freely</w:t>
      </w:r>
      <w:r w:rsidRPr="00031613">
        <w:rPr>
          <w:rFonts w:ascii="Arial" w:hAnsi="Arial" w:cs="Arial"/>
          <w:sz w:val="24"/>
          <w:szCs w:val="24"/>
        </w:rPr>
        <w:t xml:space="preserve"> </w:t>
      </w:r>
      <w:r w:rsidR="00031613" w:rsidRPr="00031613">
        <w:rPr>
          <w:rFonts w:ascii="Arial" w:hAnsi="Arial" w:cs="Arial"/>
          <w:sz w:val="24"/>
          <w:szCs w:val="24"/>
        </w:rPr>
        <w:t>engage in</w:t>
      </w:r>
      <w:r w:rsidRPr="00031613">
        <w:rPr>
          <w:rFonts w:ascii="Arial" w:hAnsi="Arial" w:cs="Arial"/>
          <w:sz w:val="24"/>
          <w:szCs w:val="24"/>
        </w:rPr>
        <w:t xml:space="preserve"> </w:t>
      </w:r>
      <w:r w:rsidR="001D7DAE">
        <w:rPr>
          <w:rFonts w:ascii="Arial" w:hAnsi="Arial" w:cs="Arial"/>
          <w:sz w:val="24"/>
          <w:szCs w:val="24"/>
        </w:rPr>
        <w:t>all aspects of life including through</w:t>
      </w:r>
      <w:r w:rsidR="00A72559">
        <w:rPr>
          <w:rFonts w:ascii="Arial" w:hAnsi="Arial" w:cs="Arial"/>
          <w:sz w:val="24"/>
          <w:szCs w:val="24"/>
        </w:rPr>
        <w:t xml:space="preserve"> </w:t>
      </w:r>
      <w:r w:rsidRPr="00031613">
        <w:rPr>
          <w:rFonts w:ascii="Arial" w:hAnsi="Arial" w:cs="Arial"/>
          <w:sz w:val="24"/>
          <w:szCs w:val="24"/>
        </w:rPr>
        <w:t xml:space="preserve">activism. </w:t>
      </w:r>
    </w:p>
    <w:p w14:paraId="5B7AA89E" w14:textId="77777777" w:rsidR="000C6AEE" w:rsidRDefault="00300C13" w:rsidP="00132370">
      <w:pPr>
        <w:jc w:val="both"/>
        <w:rPr>
          <w:rFonts w:ascii="Arial" w:hAnsi="Arial" w:cs="Arial"/>
          <w:sz w:val="24"/>
          <w:szCs w:val="24"/>
        </w:rPr>
      </w:pPr>
      <w:r w:rsidRPr="00031613">
        <w:rPr>
          <w:rFonts w:ascii="Arial" w:hAnsi="Arial" w:cs="Arial"/>
          <w:sz w:val="24"/>
          <w:szCs w:val="24"/>
        </w:rPr>
        <w:t>G</w:t>
      </w:r>
      <w:r w:rsidR="00C16BFD" w:rsidRPr="00031613">
        <w:rPr>
          <w:rFonts w:ascii="Arial" w:hAnsi="Arial" w:cs="Arial"/>
          <w:sz w:val="24"/>
          <w:szCs w:val="24"/>
        </w:rPr>
        <w:t>irls’</w:t>
      </w:r>
      <w:r w:rsidRPr="00031613">
        <w:rPr>
          <w:rFonts w:ascii="Arial" w:hAnsi="Arial" w:cs="Arial"/>
          <w:sz w:val="24"/>
          <w:szCs w:val="24"/>
        </w:rPr>
        <w:t xml:space="preserve"> equal rights and opportunities in all areas, namely family and cultural life, economic and social life, political and public life, safety and health, including sexual and reproductive health, are the basis for creating an enabling and just environment for </w:t>
      </w:r>
      <w:r w:rsidR="001D7DAE">
        <w:rPr>
          <w:rFonts w:ascii="Arial" w:hAnsi="Arial" w:cs="Arial"/>
          <w:sz w:val="24"/>
          <w:szCs w:val="24"/>
        </w:rPr>
        <w:t>girls</w:t>
      </w:r>
      <w:r w:rsidRPr="00031613">
        <w:rPr>
          <w:rFonts w:ascii="Arial" w:hAnsi="Arial" w:cs="Arial"/>
          <w:sz w:val="24"/>
          <w:szCs w:val="24"/>
        </w:rPr>
        <w:t xml:space="preserve">. </w:t>
      </w:r>
    </w:p>
    <w:p w14:paraId="00643EC1" w14:textId="07DA444B" w:rsidR="006F3DA8" w:rsidRPr="00031613" w:rsidRDefault="00300C13" w:rsidP="00132370">
      <w:pPr>
        <w:jc w:val="both"/>
        <w:rPr>
          <w:rFonts w:ascii="Arial" w:hAnsi="Arial" w:cs="Arial"/>
          <w:sz w:val="24"/>
          <w:szCs w:val="24"/>
        </w:rPr>
      </w:pPr>
      <w:r w:rsidRPr="00031613">
        <w:rPr>
          <w:rFonts w:ascii="Arial" w:hAnsi="Arial" w:cs="Arial"/>
          <w:sz w:val="24"/>
          <w:szCs w:val="24"/>
        </w:rPr>
        <w:t>The dignity and agency of all girls must be recogni</w:t>
      </w:r>
      <w:r w:rsidR="00031613" w:rsidRPr="00031613">
        <w:rPr>
          <w:rFonts w:ascii="Arial" w:hAnsi="Arial" w:cs="Arial"/>
          <w:sz w:val="24"/>
          <w:szCs w:val="24"/>
        </w:rPr>
        <w:t>s</w:t>
      </w:r>
      <w:r w:rsidRPr="00031613">
        <w:rPr>
          <w:rFonts w:ascii="Arial" w:hAnsi="Arial" w:cs="Arial"/>
          <w:sz w:val="24"/>
          <w:szCs w:val="24"/>
        </w:rPr>
        <w:t xml:space="preserve">ed and actively promoted, supported and protected, while ensuring safeguards against threats, violence and reprisals, and undertaking concrete steps to remove the structural barriers and the systemic disadvantages that they face. </w:t>
      </w:r>
      <w:r w:rsidR="008050D7">
        <w:rPr>
          <w:rFonts w:ascii="Arial" w:hAnsi="Arial" w:cs="Arial"/>
          <w:sz w:val="24"/>
          <w:szCs w:val="24"/>
        </w:rPr>
        <w:t>We also remind States and others that by virtue of being persons under the age of 18, girls are children and, as such, must be provided with special protection measures. This must always be done, though, prioritising for girls be</w:t>
      </w:r>
      <w:r w:rsidRPr="00031613">
        <w:rPr>
          <w:rFonts w:ascii="Arial" w:hAnsi="Arial" w:cs="Arial"/>
          <w:sz w:val="24"/>
          <w:szCs w:val="24"/>
        </w:rPr>
        <w:t xml:space="preserve"> duly informed about their human rights from the youngest age</w:t>
      </w:r>
      <w:r w:rsidR="00A72559">
        <w:rPr>
          <w:rFonts w:ascii="Arial" w:hAnsi="Arial" w:cs="Arial"/>
          <w:sz w:val="24"/>
          <w:szCs w:val="24"/>
        </w:rPr>
        <w:t xml:space="preserve">, </w:t>
      </w:r>
      <w:r w:rsidRPr="00031613">
        <w:rPr>
          <w:rFonts w:ascii="Arial" w:hAnsi="Arial" w:cs="Arial"/>
          <w:sz w:val="24"/>
          <w:szCs w:val="24"/>
        </w:rPr>
        <w:t>empowered</w:t>
      </w:r>
      <w:r w:rsidR="001D7DAE">
        <w:rPr>
          <w:rFonts w:ascii="Arial" w:hAnsi="Arial" w:cs="Arial"/>
          <w:sz w:val="24"/>
          <w:szCs w:val="24"/>
        </w:rPr>
        <w:t xml:space="preserve"> and supported</w:t>
      </w:r>
      <w:r w:rsidRPr="00031613">
        <w:rPr>
          <w:rFonts w:ascii="Arial" w:hAnsi="Arial" w:cs="Arial"/>
          <w:sz w:val="24"/>
          <w:szCs w:val="24"/>
        </w:rPr>
        <w:t xml:space="preserve"> to be active </w:t>
      </w:r>
      <w:r w:rsidR="001D7DAE">
        <w:rPr>
          <w:rFonts w:ascii="Arial" w:hAnsi="Arial" w:cs="Arial"/>
          <w:sz w:val="24"/>
          <w:szCs w:val="24"/>
        </w:rPr>
        <w:t>decision-makers</w:t>
      </w:r>
      <w:r w:rsidRPr="00031613">
        <w:rPr>
          <w:rFonts w:ascii="Arial" w:hAnsi="Arial" w:cs="Arial"/>
          <w:sz w:val="24"/>
          <w:szCs w:val="24"/>
        </w:rPr>
        <w:t xml:space="preserve"> in their own lives and </w:t>
      </w:r>
      <w:r w:rsidR="001D7DAE">
        <w:rPr>
          <w:rFonts w:ascii="Arial" w:hAnsi="Arial" w:cs="Arial"/>
          <w:sz w:val="24"/>
          <w:szCs w:val="24"/>
        </w:rPr>
        <w:t xml:space="preserve">fully participate </w:t>
      </w:r>
      <w:r w:rsidRPr="00031613">
        <w:rPr>
          <w:rFonts w:ascii="Arial" w:hAnsi="Arial" w:cs="Arial"/>
          <w:sz w:val="24"/>
          <w:szCs w:val="24"/>
        </w:rPr>
        <w:t>in public affairs, enga</w:t>
      </w:r>
      <w:r w:rsidR="00C16BFD" w:rsidRPr="00031613">
        <w:rPr>
          <w:rFonts w:ascii="Arial" w:hAnsi="Arial" w:cs="Arial"/>
          <w:sz w:val="24"/>
          <w:szCs w:val="24"/>
        </w:rPr>
        <w:t>ging creatively in all fields. The root causes of the numerous barriers</w:t>
      </w:r>
      <w:r w:rsidR="008B7DCF" w:rsidRPr="00031613">
        <w:rPr>
          <w:rFonts w:ascii="Arial" w:hAnsi="Arial" w:cs="Arial"/>
          <w:sz w:val="24"/>
          <w:szCs w:val="24"/>
        </w:rPr>
        <w:t xml:space="preserve"> faced by girls </w:t>
      </w:r>
      <w:r w:rsidR="00C16BFD" w:rsidRPr="00031613">
        <w:rPr>
          <w:rFonts w:ascii="Arial" w:hAnsi="Arial" w:cs="Arial"/>
          <w:sz w:val="24"/>
          <w:szCs w:val="24"/>
        </w:rPr>
        <w:t xml:space="preserve">in their attempts to contribute to transformative actions should be tackled through targeted measures by States and all stakeholders concerned. The adoption of a comprehensive human rights-based approach that is </w:t>
      </w:r>
      <w:r w:rsidR="00C16BFD" w:rsidRPr="00031613">
        <w:rPr>
          <w:rFonts w:ascii="Arial" w:hAnsi="Arial" w:cs="Arial"/>
          <w:sz w:val="24"/>
          <w:szCs w:val="24"/>
        </w:rPr>
        <w:lastRenderedPageBreak/>
        <w:t>child rights-centred, while being gender-responsive and intersectional is crucial to ensuring a sustainable environment for girls’ activism.</w:t>
      </w:r>
    </w:p>
    <w:p w14:paraId="39BE5EE0" w14:textId="7952A21D" w:rsidR="005D0954" w:rsidRPr="00031613" w:rsidRDefault="005D0954" w:rsidP="006F3DA8">
      <w:pPr>
        <w:jc w:val="both"/>
        <w:rPr>
          <w:rFonts w:ascii="Arial" w:hAnsi="Arial" w:cs="Arial"/>
          <w:sz w:val="24"/>
          <w:szCs w:val="24"/>
        </w:rPr>
      </w:pPr>
      <w:r w:rsidRPr="00031613">
        <w:rPr>
          <w:rFonts w:ascii="Arial" w:hAnsi="Arial" w:cs="Arial"/>
          <w:sz w:val="24"/>
          <w:szCs w:val="24"/>
        </w:rPr>
        <w:t>Sta</w:t>
      </w:r>
      <w:r w:rsidR="00CD1A41" w:rsidRPr="00031613">
        <w:rPr>
          <w:rFonts w:ascii="Arial" w:hAnsi="Arial" w:cs="Arial"/>
          <w:sz w:val="24"/>
          <w:szCs w:val="24"/>
        </w:rPr>
        <w:t xml:space="preserve">tes have an obligation </w:t>
      </w:r>
      <w:r w:rsidRPr="00031613">
        <w:rPr>
          <w:rFonts w:ascii="Arial" w:hAnsi="Arial" w:cs="Arial"/>
          <w:sz w:val="24"/>
          <w:szCs w:val="24"/>
        </w:rPr>
        <w:t>to recognize and respect activism</w:t>
      </w:r>
      <w:r w:rsidR="007E5A05">
        <w:rPr>
          <w:rFonts w:ascii="Arial" w:hAnsi="Arial" w:cs="Arial"/>
          <w:sz w:val="24"/>
          <w:szCs w:val="24"/>
        </w:rPr>
        <w:t>**</w:t>
      </w:r>
      <w:r w:rsidRPr="00031613">
        <w:rPr>
          <w:rFonts w:ascii="Arial" w:hAnsi="Arial" w:cs="Arial"/>
          <w:sz w:val="24"/>
          <w:szCs w:val="24"/>
        </w:rPr>
        <w:t xml:space="preserve"> as an exercise of the rights to participate in public life, to freedom of opinion and expression and to freedom of assembly and of association. They also need to proactively remove the structural and systemic barriers that impede girls’ activism and t</w:t>
      </w:r>
      <w:r w:rsidR="00A72559">
        <w:rPr>
          <w:rFonts w:ascii="Arial" w:hAnsi="Arial" w:cs="Arial"/>
          <w:sz w:val="24"/>
          <w:szCs w:val="24"/>
        </w:rPr>
        <w:t xml:space="preserve">heir enjoyment of human rights. </w:t>
      </w:r>
      <w:r w:rsidRPr="00031613">
        <w:rPr>
          <w:rFonts w:ascii="Arial" w:hAnsi="Arial" w:cs="Arial"/>
          <w:sz w:val="24"/>
          <w:szCs w:val="24"/>
        </w:rPr>
        <w:t>States should ensure an enabling environment for girls’</w:t>
      </w:r>
      <w:r w:rsidR="008C6F82">
        <w:rPr>
          <w:rFonts w:ascii="Arial" w:hAnsi="Arial" w:cs="Arial"/>
          <w:sz w:val="24"/>
          <w:szCs w:val="24"/>
        </w:rPr>
        <w:t xml:space="preserve"> </w:t>
      </w:r>
      <w:r w:rsidRPr="00031613">
        <w:rPr>
          <w:rFonts w:ascii="Arial" w:hAnsi="Arial" w:cs="Arial"/>
          <w:sz w:val="24"/>
          <w:szCs w:val="24"/>
        </w:rPr>
        <w:t>activism and create the necessary frameworks and policies to promote and guarantee their inclusion and participation in decision-making processes. States should facilitate collaboration and building solidarity within and across movements, organi</w:t>
      </w:r>
      <w:r w:rsidR="00031613" w:rsidRPr="00031613">
        <w:rPr>
          <w:rFonts w:ascii="Arial" w:hAnsi="Arial" w:cs="Arial"/>
          <w:sz w:val="24"/>
          <w:szCs w:val="24"/>
        </w:rPr>
        <w:t>s</w:t>
      </w:r>
      <w:r w:rsidRPr="00031613">
        <w:rPr>
          <w:rFonts w:ascii="Arial" w:hAnsi="Arial" w:cs="Arial"/>
          <w:sz w:val="24"/>
          <w:szCs w:val="24"/>
        </w:rPr>
        <w:t>ations and generations, promote family and community support, bridge the gender-related digital divide, ensure enjoyment of the equal right to quality education, and build gender- and age-sensitive normative and institutional frameworks at the national and international level.</w:t>
      </w:r>
      <w:r w:rsidR="00E808D8" w:rsidRPr="00031613">
        <w:rPr>
          <w:rFonts w:ascii="Arial" w:hAnsi="Arial" w:cs="Arial"/>
          <w:sz w:val="24"/>
          <w:szCs w:val="24"/>
        </w:rPr>
        <w:t xml:space="preserve"> </w:t>
      </w:r>
    </w:p>
    <w:p w14:paraId="574A7DE2" w14:textId="77777777" w:rsidR="00E808D8" w:rsidRPr="00031613" w:rsidRDefault="008063F8" w:rsidP="006F3DA8">
      <w:pPr>
        <w:jc w:val="both"/>
        <w:rPr>
          <w:rFonts w:ascii="Arial" w:hAnsi="Arial" w:cs="Arial"/>
          <w:sz w:val="24"/>
          <w:szCs w:val="24"/>
        </w:rPr>
      </w:pPr>
      <w:r w:rsidRPr="00031613">
        <w:rPr>
          <w:rFonts w:ascii="Arial" w:hAnsi="Arial" w:cs="Arial"/>
          <w:sz w:val="24"/>
          <w:szCs w:val="24"/>
        </w:rPr>
        <w:t>Without tackling the persistence of a global discriminatory cultural construction of gender, often b</w:t>
      </w:r>
      <w:r w:rsidR="00974E76">
        <w:rPr>
          <w:rFonts w:ascii="Arial" w:hAnsi="Arial" w:cs="Arial"/>
          <w:sz w:val="24"/>
          <w:szCs w:val="24"/>
        </w:rPr>
        <w:t>ased on the misuse of religion</w:t>
      </w:r>
      <w:r w:rsidRPr="00031613">
        <w:rPr>
          <w:rFonts w:ascii="Arial" w:hAnsi="Arial" w:cs="Arial"/>
          <w:sz w:val="24"/>
          <w:szCs w:val="24"/>
        </w:rPr>
        <w:t xml:space="preserve">, and the continued cultural justifications for discriminatory laws and practices among States and other stakeholders, there can be no sustained progress. The failure to eliminate discrimination within the family undermines any attempt to ensure gender equality in all areas of society. </w:t>
      </w:r>
      <w:r w:rsidR="00031613" w:rsidRPr="00031613">
        <w:rPr>
          <w:rFonts w:ascii="Arial" w:hAnsi="Arial" w:cs="Arial"/>
          <w:sz w:val="24"/>
          <w:szCs w:val="24"/>
        </w:rPr>
        <w:t>The t</w:t>
      </w:r>
      <w:r w:rsidR="00E808D8" w:rsidRPr="00031613">
        <w:rPr>
          <w:rFonts w:ascii="Arial" w:hAnsi="Arial" w:cs="Arial"/>
          <w:sz w:val="24"/>
          <w:szCs w:val="24"/>
        </w:rPr>
        <w:t>ime has come to review with a critical lens the unful</w:t>
      </w:r>
      <w:r w:rsidR="00DD5EC5" w:rsidRPr="00031613">
        <w:rPr>
          <w:rFonts w:ascii="Arial" w:hAnsi="Arial" w:cs="Arial"/>
          <w:sz w:val="24"/>
          <w:szCs w:val="24"/>
        </w:rPr>
        <w:t>filled commitments made to girls</w:t>
      </w:r>
      <w:r w:rsidR="005D0954" w:rsidRPr="00031613">
        <w:rPr>
          <w:rFonts w:ascii="Arial" w:hAnsi="Arial" w:cs="Arial"/>
          <w:sz w:val="24"/>
          <w:szCs w:val="24"/>
        </w:rPr>
        <w:t xml:space="preserve"> and take corrective actions.</w:t>
      </w:r>
      <w:r w:rsidR="00E808D8" w:rsidRPr="00031613">
        <w:rPr>
          <w:rFonts w:ascii="Arial" w:hAnsi="Arial" w:cs="Arial"/>
          <w:sz w:val="24"/>
          <w:szCs w:val="24"/>
        </w:rPr>
        <w:t xml:space="preserve"> It is a long overdue political commitment which must be fulfilled without delay. There is no acceptable justification to deny th</w:t>
      </w:r>
      <w:r w:rsidR="00E2246E" w:rsidRPr="00031613">
        <w:rPr>
          <w:rFonts w:ascii="Arial" w:hAnsi="Arial" w:cs="Arial"/>
          <w:sz w:val="24"/>
          <w:szCs w:val="24"/>
        </w:rPr>
        <w:t xml:space="preserve">e human rights of girls </w:t>
      </w:r>
      <w:r w:rsidR="00E808D8" w:rsidRPr="00031613">
        <w:rPr>
          <w:rFonts w:ascii="Arial" w:hAnsi="Arial" w:cs="Arial"/>
          <w:sz w:val="24"/>
          <w:szCs w:val="24"/>
        </w:rPr>
        <w:t xml:space="preserve">by allowing </w:t>
      </w:r>
      <w:r w:rsidR="005D0954" w:rsidRPr="00031613">
        <w:rPr>
          <w:rFonts w:ascii="Arial" w:hAnsi="Arial" w:cs="Arial"/>
          <w:sz w:val="24"/>
          <w:szCs w:val="24"/>
        </w:rPr>
        <w:t xml:space="preserve">oppressive patriarchal </w:t>
      </w:r>
      <w:r w:rsidR="00E808D8" w:rsidRPr="00031613">
        <w:rPr>
          <w:rFonts w:ascii="Arial" w:hAnsi="Arial" w:cs="Arial"/>
          <w:sz w:val="24"/>
          <w:szCs w:val="24"/>
        </w:rPr>
        <w:t>practices t</w:t>
      </w:r>
      <w:r w:rsidR="005D0954" w:rsidRPr="00031613">
        <w:rPr>
          <w:rFonts w:ascii="Arial" w:hAnsi="Arial" w:cs="Arial"/>
          <w:sz w:val="24"/>
          <w:szCs w:val="24"/>
        </w:rPr>
        <w:t>o continue which are detrimental to</w:t>
      </w:r>
      <w:r w:rsidR="006B7B64" w:rsidRPr="00031613">
        <w:rPr>
          <w:rFonts w:ascii="Arial" w:hAnsi="Arial" w:cs="Arial"/>
          <w:sz w:val="24"/>
          <w:szCs w:val="24"/>
        </w:rPr>
        <w:t xml:space="preserve"> girls’</w:t>
      </w:r>
      <w:r w:rsidR="005D0954" w:rsidRPr="00031613">
        <w:rPr>
          <w:rFonts w:ascii="Arial" w:hAnsi="Arial" w:cs="Arial"/>
          <w:sz w:val="24"/>
          <w:szCs w:val="24"/>
        </w:rPr>
        <w:t xml:space="preserve"> future oppo</w:t>
      </w:r>
      <w:r w:rsidR="000D7B3B" w:rsidRPr="00031613">
        <w:rPr>
          <w:rFonts w:ascii="Arial" w:hAnsi="Arial" w:cs="Arial"/>
          <w:sz w:val="24"/>
          <w:szCs w:val="24"/>
        </w:rPr>
        <w:t>rtunities</w:t>
      </w:r>
      <w:r w:rsidR="006B7B64" w:rsidRPr="00031613">
        <w:rPr>
          <w:rFonts w:ascii="Arial" w:hAnsi="Arial" w:cs="Arial"/>
          <w:sz w:val="24"/>
          <w:szCs w:val="24"/>
        </w:rPr>
        <w:t xml:space="preserve">, </w:t>
      </w:r>
      <w:r w:rsidR="000D7B3B" w:rsidRPr="00031613">
        <w:rPr>
          <w:rFonts w:ascii="Arial" w:hAnsi="Arial" w:cs="Arial"/>
          <w:sz w:val="24"/>
          <w:szCs w:val="24"/>
        </w:rPr>
        <w:t>dignity and agency.</w:t>
      </w:r>
    </w:p>
    <w:p w14:paraId="34A87444" w14:textId="10EE4167" w:rsidR="001237AE" w:rsidRPr="00461765" w:rsidRDefault="00EC73EF" w:rsidP="00461765">
      <w:pPr>
        <w:rPr>
          <w:rFonts w:ascii="Arial" w:eastAsia="Calibri" w:hAnsi="Arial" w:cs="Arial"/>
          <w:sz w:val="24"/>
          <w:szCs w:val="24"/>
        </w:rPr>
      </w:pPr>
      <w:r w:rsidRPr="00031613">
        <w:rPr>
          <w:rFonts w:ascii="Arial" w:eastAsia="Calibri" w:hAnsi="Arial" w:cs="Arial"/>
          <w:sz w:val="24"/>
          <w:szCs w:val="24"/>
        </w:rPr>
        <w:t>ENDS</w:t>
      </w:r>
    </w:p>
    <w:p w14:paraId="3D81355C" w14:textId="17801150" w:rsidR="00EC73EF" w:rsidRPr="000F2C9F" w:rsidRDefault="003B42EA" w:rsidP="000F2C9F">
      <w:pPr>
        <w:shd w:val="clear" w:color="auto" w:fill="FFFFFF"/>
        <w:spacing w:before="100" w:beforeAutospacing="1" w:after="100" w:afterAutospacing="1" w:line="240" w:lineRule="auto"/>
        <w:rPr>
          <w:rStyle w:val="Emphasis"/>
          <w:rFonts w:ascii="Arial" w:hAnsi="Arial" w:cs="Arial"/>
          <w:b/>
          <w:bCs/>
          <w:color w:val="000000" w:themeColor="text1"/>
          <w:spacing w:val="4"/>
        </w:rPr>
      </w:pPr>
      <w:r w:rsidRPr="00F411D0">
        <w:rPr>
          <w:rFonts w:ascii="Arial" w:eastAsia="Calibri" w:hAnsi="Arial" w:cs="Arial"/>
          <w:b/>
          <w:bCs/>
          <w:lang w:val="en-IE" w:eastAsia="zh-CN"/>
        </w:rPr>
        <w:t>*</w:t>
      </w:r>
      <w:r w:rsidR="00EC73EF" w:rsidRPr="00F411D0">
        <w:rPr>
          <w:rFonts w:ascii="Arial" w:eastAsia="Calibri" w:hAnsi="Arial" w:cs="Arial"/>
          <w:b/>
          <w:bCs/>
          <w:lang w:val="en-IE" w:eastAsia="zh-CN"/>
        </w:rPr>
        <w:t>The experts</w:t>
      </w:r>
      <w:r w:rsidR="00EC73EF" w:rsidRPr="00F411D0">
        <w:rPr>
          <w:rFonts w:ascii="Arial" w:eastAsia="Calibri" w:hAnsi="Arial" w:cs="Arial"/>
          <w:i/>
          <w:iCs/>
          <w:color w:val="000000"/>
          <w:lang w:eastAsia="en-GB"/>
        </w:rPr>
        <w:t xml:space="preserve">: </w:t>
      </w:r>
      <w:r w:rsidR="00DE4F98" w:rsidRPr="00F411D0">
        <w:rPr>
          <w:rStyle w:val="Emphasis"/>
          <w:rFonts w:ascii="Arial" w:hAnsi="Arial" w:cs="Arial"/>
          <w:color w:val="4A4A4A"/>
          <w:spacing w:val="4"/>
        </w:rPr>
        <w:t>Dorothy Estrada Tanck (</w:t>
      </w:r>
      <w:r w:rsidR="001237AE" w:rsidRPr="00F411D0">
        <w:rPr>
          <w:rStyle w:val="Emphasis"/>
          <w:rFonts w:ascii="Arial" w:hAnsi="Arial" w:cs="Arial"/>
          <w:color w:val="4A4A4A"/>
          <w:spacing w:val="4"/>
        </w:rPr>
        <w:t>Chair), Elizabet</w:t>
      </w:r>
      <w:r w:rsidR="00DE4F98" w:rsidRPr="00F411D0">
        <w:rPr>
          <w:rStyle w:val="Emphasis"/>
          <w:rFonts w:ascii="Arial" w:hAnsi="Arial" w:cs="Arial"/>
          <w:color w:val="4A4A4A"/>
          <w:spacing w:val="4"/>
        </w:rPr>
        <w:t xml:space="preserve">h Broderick, Ivana Radačić, </w:t>
      </w:r>
      <w:r w:rsidR="001237AE" w:rsidRPr="00F411D0">
        <w:rPr>
          <w:rStyle w:val="Emphasis"/>
          <w:rFonts w:ascii="Arial" w:hAnsi="Arial" w:cs="Arial"/>
          <w:color w:val="4A4A4A"/>
          <w:spacing w:val="4"/>
        </w:rPr>
        <w:t>Mesk</w:t>
      </w:r>
      <w:r w:rsidR="00DE4F98" w:rsidRPr="00F411D0">
        <w:rPr>
          <w:rStyle w:val="Emphasis"/>
          <w:rFonts w:ascii="Arial" w:hAnsi="Arial" w:cs="Arial"/>
          <w:color w:val="4A4A4A"/>
          <w:spacing w:val="4"/>
        </w:rPr>
        <w:t>erem Geset Techane and</w:t>
      </w:r>
      <w:r w:rsidR="00DE4F98" w:rsidRPr="00F411D0">
        <w:rPr>
          <w:rFonts w:ascii="Arial" w:hAnsi="Arial" w:cs="Arial"/>
        </w:rPr>
        <w:t xml:space="preserve"> </w:t>
      </w:r>
      <w:r w:rsidR="00DE4F98" w:rsidRPr="00F411D0">
        <w:rPr>
          <w:rStyle w:val="Emphasis"/>
          <w:rFonts w:ascii="Arial" w:hAnsi="Arial" w:cs="Arial"/>
          <w:color w:val="4A4A4A"/>
          <w:spacing w:val="4"/>
        </w:rPr>
        <w:t>Melissa Upreti,</w:t>
      </w:r>
      <w:r w:rsidR="001237AE" w:rsidRPr="00F411D0">
        <w:rPr>
          <w:rStyle w:val="Emphasis"/>
          <w:rFonts w:ascii="Arial" w:hAnsi="Arial" w:cs="Arial"/>
          <w:color w:val="4A4A4A"/>
          <w:spacing w:val="4"/>
        </w:rPr>
        <w:t> </w:t>
      </w:r>
      <w:hyperlink r:id="rId6" w:history="1">
        <w:r w:rsidR="001237AE" w:rsidRPr="00F411D0">
          <w:rPr>
            <w:rStyle w:val="Emphasis"/>
            <w:rFonts w:ascii="Arial" w:hAnsi="Arial" w:cs="Arial"/>
            <w:b/>
            <w:bCs/>
            <w:color w:val="0000FF"/>
            <w:spacing w:val="4"/>
          </w:rPr>
          <w:t>Working Group on discrimination against women and girls</w:t>
        </w:r>
      </w:hyperlink>
      <w:r w:rsidR="001237AE" w:rsidRPr="00F411D0">
        <w:rPr>
          <w:rStyle w:val="Emphasis"/>
          <w:rFonts w:ascii="Arial" w:hAnsi="Arial" w:cs="Arial"/>
          <w:color w:val="4A4A4A"/>
          <w:spacing w:val="4"/>
        </w:rPr>
        <w:t>;</w:t>
      </w:r>
      <w:r w:rsidR="000562E2" w:rsidRPr="00F411D0">
        <w:rPr>
          <w:rStyle w:val="Emphasis"/>
          <w:rFonts w:ascii="Arial" w:hAnsi="Arial" w:cs="Arial"/>
          <w:color w:val="4A4A4A"/>
          <w:spacing w:val="4"/>
        </w:rPr>
        <w:t xml:space="preserve"> </w:t>
      </w:r>
      <w:r w:rsidR="005250B7" w:rsidRPr="00F411D0">
        <w:rPr>
          <w:rFonts w:ascii="Arial" w:eastAsia="Calibri" w:hAnsi="Arial" w:cs="Arial"/>
          <w:b/>
          <w:bCs/>
          <w:i/>
          <w:iCs/>
          <w:lang w:val="en-US"/>
        </w:rPr>
        <w:t>Mama Fatima Singhateh</w:t>
      </w:r>
      <w:r w:rsidR="005250B7" w:rsidRPr="00F411D0">
        <w:rPr>
          <w:rFonts w:ascii="Arial" w:eastAsia="Calibri" w:hAnsi="Arial" w:cs="Arial"/>
          <w:i/>
          <w:iCs/>
          <w:lang w:val="en-US"/>
        </w:rPr>
        <w:t xml:space="preserve">, </w:t>
      </w:r>
      <w:hyperlink r:id="rId7" w:history="1">
        <w:r w:rsidR="005250B7" w:rsidRPr="00F411D0">
          <w:rPr>
            <w:rFonts w:ascii="Arial" w:eastAsia="Calibri" w:hAnsi="Arial" w:cs="Arial"/>
            <w:i/>
            <w:iCs/>
            <w:color w:val="4472C4"/>
            <w:u w:val="single"/>
            <w:lang w:val="en-US"/>
          </w:rPr>
          <w:t>Special Rapporteur on the sale and sexual exploitation of children, including child prostitution, child pornography and other child sexual abuse material</w:t>
        </w:r>
      </w:hyperlink>
      <w:r w:rsidR="005250B7" w:rsidRPr="00F411D0">
        <w:rPr>
          <w:rFonts w:ascii="Arial" w:eastAsia="Calibri" w:hAnsi="Arial" w:cs="Arial"/>
          <w:i/>
          <w:iCs/>
          <w:lang w:val="en-US"/>
        </w:rPr>
        <w:t xml:space="preserve">; </w:t>
      </w:r>
      <w:r w:rsidR="005250B7" w:rsidRPr="00F411D0">
        <w:rPr>
          <w:rFonts w:ascii="Arial" w:eastAsia="Calibri" w:hAnsi="Arial" w:cs="Arial"/>
        </w:rPr>
        <w:t xml:space="preserve">Ms. Farida Shaheed, Special Rapporteur on the right to education, </w:t>
      </w:r>
      <w:hyperlink r:id="rId8" w:history="1">
        <w:r w:rsidR="005250B7" w:rsidRPr="00F411D0">
          <w:rPr>
            <w:rFonts w:ascii="Arial" w:eastAsia="Calibri" w:hAnsi="Arial" w:cs="Arial"/>
            <w:color w:val="0563C1"/>
            <w:u w:val="single"/>
          </w:rPr>
          <w:t>OHCHR | Special Rapporteur on the right to education</w:t>
        </w:r>
      </w:hyperlink>
      <w:r w:rsidR="005250B7" w:rsidRPr="00F411D0">
        <w:rPr>
          <w:rFonts w:ascii="Arial" w:eastAsia="Calibri" w:hAnsi="Arial" w:cs="Arial"/>
        </w:rPr>
        <w:t>;</w:t>
      </w:r>
      <w:r w:rsidR="00DD66DC">
        <w:rPr>
          <w:rFonts w:ascii="Arial" w:eastAsia="Calibri" w:hAnsi="Arial" w:cs="Arial"/>
        </w:rPr>
        <w:t xml:space="preserve"> </w:t>
      </w:r>
      <w:r w:rsidR="00DD66DC" w:rsidRPr="00DD66DC">
        <w:rPr>
          <w:rFonts w:ascii="Arial" w:eastAsia="Calibri" w:hAnsi="Arial" w:cs="Arial"/>
        </w:rPr>
        <w:t xml:space="preserve">Ms. Alexandra Xanthaki, Special Rapporteur in the field of cultural rights, </w:t>
      </w:r>
      <w:hyperlink r:id="rId9" w:history="1">
        <w:r w:rsidR="00DD66DC" w:rsidRPr="00DD66DC">
          <w:rPr>
            <w:rFonts w:ascii="Arial" w:eastAsia="Calibri" w:hAnsi="Arial" w:cs="Arial"/>
            <w:color w:val="0563C1"/>
            <w:u w:val="single"/>
          </w:rPr>
          <w:t>OHCHR | Special Rapporteur in the field of cultural rights</w:t>
        </w:r>
      </w:hyperlink>
      <w:r w:rsidR="00DD66DC" w:rsidRPr="00DD66DC">
        <w:rPr>
          <w:rFonts w:ascii="Arial" w:eastAsia="Calibri" w:hAnsi="Arial" w:cs="Arial"/>
        </w:rPr>
        <w:t>;</w:t>
      </w:r>
      <w:r w:rsidR="000F2C9F" w:rsidRPr="000F2C9F">
        <w:rPr>
          <w:rFonts w:ascii="Arial" w:eastAsia="Times New Roman" w:hAnsi="Arial" w:cs="Arial"/>
          <w:b/>
          <w:bCs/>
          <w:i/>
          <w:iCs/>
          <w:color w:val="000000"/>
          <w:lang w:val="en-US" w:eastAsia="en-GB"/>
        </w:rPr>
        <w:t xml:space="preserve"> </w:t>
      </w:r>
      <w:r w:rsidR="000F2C9F" w:rsidRPr="005D6882">
        <w:rPr>
          <w:rFonts w:ascii="Arial" w:eastAsia="Times New Roman" w:hAnsi="Arial" w:cs="Arial"/>
          <w:b/>
          <w:bCs/>
          <w:i/>
          <w:iCs/>
          <w:color w:val="000000"/>
          <w:lang w:val="en-US" w:eastAsia="en-GB"/>
        </w:rPr>
        <w:t>Reem Alsalem</w:t>
      </w:r>
      <w:r w:rsidR="000F2C9F" w:rsidRPr="005D6882">
        <w:rPr>
          <w:rFonts w:ascii="Arial" w:eastAsia="Times New Roman" w:hAnsi="Arial" w:cs="Arial"/>
          <w:i/>
          <w:iCs/>
          <w:color w:val="000000"/>
          <w:lang w:val="en-US" w:eastAsia="en-GB"/>
        </w:rPr>
        <w:t>, </w:t>
      </w:r>
      <w:hyperlink r:id="rId10" w:history="1">
        <w:r w:rsidR="000F2C9F" w:rsidRPr="005D6882">
          <w:rPr>
            <w:rFonts w:ascii="Arial" w:eastAsia="Times New Roman" w:hAnsi="Arial" w:cs="Arial"/>
            <w:i/>
            <w:iCs/>
            <w:color w:val="663399"/>
            <w:u w:val="single"/>
            <w:lang w:val="en-US" w:eastAsia="en-GB"/>
          </w:rPr>
          <w:t>Special Rapporteur on violence against women, its causes and consequences</w:t>
        </w:r>
      </w:hyperlink>
      <w:r w:rsidR="000F2C9F">
        <w:rPr>
          <w:rStyle w:val="Strong"/>
          <w:rFonts w:ascii="Arial" w:hAnsi="Arial" w:cs="Arial"/>
          <w:i/>
          <w:iCs/>
          <w:color w:val="000000" w:themeColor="text1"/>
          <w:spacing w:val="4"/>
          <w:lang w:val="en-US"/>
        </w:rPr>
        <w:t xml:space="preserve">; </w:t>
      </w:r>
      <w:r w:rsidR="008D64AA" w:rsidRPr="00F411D0">
        <w:rPr>
          <w:rFonts w:ascii="Arial" w:eastAsia="Calibri" w:hAnsi="Arial" w:cs="Arial"/>
          <w:i/>
          <w:iCs/>
          <w:color w:val="000000"/>
          <w:spacing w:val="4"/>
          <w:shd w:val="clear" w:color="auto" w:fill="F5F5F1"/>
          <w:lang w:eastAsia="en-GB"/>
        </w:rPr>
        <w:t>The </w:t>
      </w:r>
      <w:hyperlink r:id="rId11" w:history="1">
        <w:r w:rsidR="008D64AA" w:rsidRPr="00F411D0">
          <w:rPr>
            <w:rFonts w:ascii="Arial" w:eastAsia="Calibri" w:hAnsi="Arial" w:cs="Arial"/>
            <w:b/>
            <w:bCs/>
            <w:i/>
            <w:iCs/>
            <w:color w:val="0000FF"/>
            <w:spacing w:val="4"/>
            <w:shd w:val="clear" w:color="auto" w:fill="F5F5F1"/>
            <w:lang w:eastAsia="en-GB"/>
          </w:rPr>
          <w:t>Committee on the Rights of the Child</w:t>
        </w:r>
      </w:hyperlink>
      <w:r w:rsidR="008D64AA" w:rsidRPr="00F411D0">
        <w:rPr>
          <w:rFonts w:ascii="Arial" w:eastAsia="Calibri" w:hAnsi="Arial" w:cs="Arial"/>
          <w:i/>
          <w:iCs/>
          <w:color w:val="000000"/>
          <w:spacing w:val="4"/>
          <w:shd w:val="clear" w:color="auto" w:fill="F5F5F1"/>
          <w:lang w:eastAsia="en-GB"/>
        </w:rPr>
        <w:t xml:space="preserve">, chaired by Mikiko OTANI and </w:t>
      </w:r>
      <w:r w:rsidR="002B46D4">
        <w:rPr>
          <w:rFonts w:ascii="Arial" w:hAnsi="Arial" w:cs="Arial"/>
          <w:color w:val="000000"/>
          <w:spacing w:val="4"/>
          <w:sz w:val="20"/>
          <w:szCs w:val="20"/>
          <w:shd w:val="clear" w:color="auto" w:fill="F5F5F1"/>
        </w:rPr>
        <w:t>t</w:t>
      </w:r>
      <w:r w:rsidR="002B46D4" w:rsidRPr="002B46D4">
        <w:rPr>
          <w:rFonts w:ascii="Arial" w:hAnsi="Arial" w:cs="Arial"/>
          <w:color w:val="000000"/>
          <w:spacing w:val="4"/>
          <w:sz w:val="20"/>
          <w:szCs w:val="20"/>
          <w:shd w:val="clear" w:color="auto" w:fill="F5F5F1"/>
        </w:rPr>
        <w:t>he </w:t>
      </w:r>
      <w:hyperlink r:id="rId12" w:history="1">
        <w:r w:rsidR="002B46D4" w:rsidRPr="002B46D4">
          <w:rPr>
            <w:rFonts w:ascii="Arial" w:hAnsi="Arial" w:cs="Arial"/>
            <w:b/>
            <w:bCs/>
            <w:color w:val="0000FF"/>
            <w:spacing w:val="4"/>
            <w:sz w:val="20"/>
            <w:szCs w:val="20"/>
            <w:u w:val="single"/>
            <w:shd w:val="clear" w:color="auto" w:fill="F5F5F1"/>
          </w:rPr>
          <w:t>Committee on the Elimination of Discrimination against Women</w:t>
        </w:r>
      </w:hyperlink>
      <w:r w:rsidR="002B46D4" w:rsidRPr="002B46D4">
        <w:rPr>
          <w:rFonts w:ascii="Arial" w:hAnsi="Arial" w:cs="Arial"/>
          <w:color w:val="000000"/>
          <w:spacing w:val="4"/>
          <w:sz w:val="20"/>
          <w:szCs w:val="20"/>
          <w:shd w:val="clear" w:color="auto" w:fill="F5F5F1"/>
        </w:rPr>
        <w:t> </w:t>
      </w:r>
      <w:r w:rsidR="002B46D4">
        <w:rPr>
          <w:rFonts w:ascii="Arial" w:hAnsi="Arial" w:cs="Arial"/>
          <w:color w:val="000000"/>
          <w:spacing w:val="4"/>
          <w:sz w:val="20"/>
          <w:szCs w:val="20"/>
          <w:shd w:val="clear" w:color="auto" w:fill="F5F5F1"/>
        </w:rPr>
        <w:t>chaired by</w:t>
      </w:r>
      <w:r w:rsidR="004D79A1" w:rsidRPr="004D79A1">
        <w:t xml:space="preserve"> </w:t>
      </w:r>
      <w:r w:rsidR="004D79A1" w:rsidRPr="004D79A1">
        <w:rPr>
          <w:rFonts w:ascii="Arial" w:hAnsi="Arial" w:cs="Arial"/>
          <w:color w:val="000000"/>
          <w:spacing w:val="4"/>
          <w:sz w:val="20"/>
          <w:szCs w:val="20"/>
          <w:shd w:val="clear" w:color="auto" w:fill="F5F5F1"/>
        </w:rPr>
        <w:t>Gladys Acosta Vargas</w:t>
      </w:r>
      <w:r w:rsidR="004D79A1">
        <w:rPr>
          <w:rFonts w:ascii="Arial" w:hAnsi="Arial" w:cs="Arial"/>
          <w:color w:val="000000"/>
          <w:spacing w:val="4"/>
          <w:sz w:val="20"/>
          <w:szCs w:val="20"/>
          <w:shd w:val="clear" w:color="auto" w:fill="F5F5F1"/>
        </w:rPr>
        <w:t xml:space="preserve"> </w:t>
      </w:r>
      <w:r w:rsidR="002B46D4">
        <w:rPr>
          <w:rFonts w:ascii="Arial" w:hAnsi="Arial" w:cs="Arial"/>
          <w:color w:val="000000"/>
          <w:spacing w:val="4"/>
          <w:sz w:val="20"/>
          <w:szCs w:val="20"/>
          <w:shd w:val="clear" w:color="auto" w:fill="F5F5F1"/>
        </w:rPr>
        <w:t xml:space="preserve"> </w:t>
      </w:r>
    </w:p>
    <w:p w14:paraId="235B5B10" w14:textId="35D710E3" w:rsidR="00EC73EF" w:rsidRPr="002B46D4" w:rsidRDefault="003B42EA" w:rsidP="002B46D4">
      <w:pPr>
        <w:rPr>
          <w:rFonts w:ascii="Arial" w:eastAsia="Calibri" w:hAnsi="Arial" w:cs="Arial"/>
          <w:sz w:val="20"/>
          <w:szCs w:val="20"/>
        </w:rPr>
      </w:pPr>
      <w:r>
        <w:rPr>
          <w:rStyle w:val="Emphasis"/>
          <w:rFonts w:ascii="Arial" w:hAnsi="Arial" w:cs="Arial"/>
          <w:color w:val="4A4A4A"/>
          <w:spacing w:val="4"/>
          <w:sz w:val="20"/>
          <w:szCs w:val="20"/>
        </w:rPr>
        <w:t>**</w:t>
      </w:r>
      <w:hyperlink r:id="rId13" w:history="1">
        <w:r w:rsidRPr="003B42EA">
          <w:rPr>
            <w:rStyle w:val="Hyperlink"/>
            <w:rFonts w:ascii="Arial" w:hAnsi="Arial" w:cs="Arial"/>
            <w:spacing w:val="4"/>
            <w:sz w:val="20"/>
            <w:szCs w:val="20"/>
          </w:rPr>
          <w:t>Making sure girls and young women are always heard</w:t>
        </w:r>
      </w:hyperlink>
    </w:p>
    <w:p w14:paraId="02C13EC5" w14:textId="08EBDBB3" w:rsidR="00EC73EF" w:rsidRDefault="00EC73EF" w:rsidP="001237AE">
      <w:pPr>
        <w:jc w:val="both"/>
        <w:rPr>
          <w:rFonts w:ascii="Arial" w:eastAsia="Calibri" w:hAnsi="Arial" w:cs="Arial"/>
          <w:i/>
          <w:iCs/>
          <w:color w:val="000000"/>
          <w:lang w:eastAsia="en-GB"/>
        </w:rPr>
      </w:pPr>
      <w:r w:rsidRPr="00EC73EF">
        <w:rPr>
          <w:rFonts w:ascii="Arial" w:eastAsia="Calibri" w:hAnsi="Arial" w:cs="Arial"/>
          <w:i/>
          <w:iCs/>
          <w:color w:val="000000"/>
          <w:lang w:eastAsia="en-GB"/>
        </w:rPr>
        <w:t xml:space="preserve">Special Rapporteurs are part of what is known as the </w:t>
      </w:r>
      <w:hyperlink r:id="rId14" w:history="1">
        <w:r w:rsidRPr="00EC73EF">
          <w:rPr>
            <w:rFonts w:ascii="Arial" w:eastAsia="Calibri" w:hAnsi="Arial" w:cs="Arial"/>
            <w:i/>
            <w:iCs/>
            <w:color w:val="0563C1"/>
            <w:u w:val="single"/>
            <w:lang w:eastAsia="en-GB"/>
          </w:rPr>
          <w:t xml:space="preserve">Special Procedures </w:t>
        </w:r>
      </w:hyperlink>
      <w:r w:rsidRPr="00EC73EF">
        <w:rPr>
          <w:rFonts w:ascii="Arial" w:eastAsia="Calibri" w:hAnsi="Arial" w:cs="Arial"/>
          <w:i/>
          <w:iCs/>
          <w:color w:val="000000"/>
          <w:lang w:eastAsia="en-GB"/>
        </w:rPr>
        <w:t>of the Human Rights Council. Special Procedures, the largest body of independent experts in the UN Human Rights system, is the general name of the Council’s independent fact-finding and monitoring mechanisms. Special Procedures mandate-holders are independent human rights experts appointed by the Human Rights Council to address either specific country situations or thematic issues in all parts of the world. They are not UN staff and are independent from any government or organization. They serve in their individual capacity and do not receive a salary for their work.</w:t>
      </w:r>
    </w:p>
    <w:p w14:paraId="2696CDCD" w14:textId="1B231752" w:rsidR="008D64AA" w:rsidRDefault="008D64AA" w:rsidP="008D64AA">
      <w:pPr>
        <w:spacing w:after="0" w:line="240" w:lineRule="auto"/>
        <w:rPr>
          <w:rFonts w:ascii="Arial" w:eastAsia="Calibri" w:hAnsi="Arial" w:cs="Arial"/>
          <w:i/>
          <w:iCs/>
          <w:color w:val="000000"/>
          <w:spacing w:val="4"/>
          <w:sz w:val="20"/>
          <w:szCs w:val="20"/>
          <w:shd w:val="clear" w:color="auto" w:fill="F5F5F1"/>
          <w:lang w:eastAsia="en-GB"/>
        </w:rPr>
      </w:pPr>
      <w:r w:rsidRPr="008D64AA">
        <w:rPr>
          <w:rFonts w:ascii="Arial" w:eastAsia="Calibri" w:hAnsi="Arial" w:cs="Arial"/>
          <w:i/>
          <w:iCs/>
          <w:color w:val="000000"/>
          <w:spacing w:val="4"/>
          <w:sz w:val="20"/>
          <w:szCs w:val="20"/>
          <w:shd w:val="clear" w:color="auto" w:fill="F5F5F1"/>
          <w:lang w:eastAsia="en-GB"/>
        </w:rPr>
        <w:lastRenderedPageBreak/>
        <w:t>The </w:t>
      </w:r>
      <w:hyperlink r:id="rId15" w:history="1">
        <w:r w:rsidRPr="008D64AA">
          <w:rPr>
            <w:rFonts w:ascii="Arial" w:eastAsia="Calibri" w:hAnsi="Arial" w:cs="Arial"/>
            <w:b/>
            <w:bCs/>
            <w:i/>
            <w:iCs/>
            <w:color w:val="0000FF"/>
            <w:spacing w:val="4"/>
            <w:sz w:val="20"/>
            <w:szCs w:val="20"/>
            <w:shd w:val="clear" w:color="auto" w:fill="F5F5F1"/>
            <w:lang w:eastAsia="en-GB"/>
          </w:rPr>
          <w:t>Committee on the Rights of the Child</w:t>
        </w:r>
      </w:hyperlink>
      <w:r w:rsidRPr="008D64AA">
        <w:rPr>
          <w:rFonts w:ascii="Arial" w:eastAsia="Calibri" w:hAnsi="Arial" w:cs="Arial"/>
          <w:i/>
          <w:iCs/>
          <w:color w:val="000000"/>
          <w:spacing w:val="4"/>
          <w:sz w:val="20"/>
          <w:szCs w:val="20"/>
          <w:shd w:val="clear" w:color="auto" w:fill="F5F5F1"/>
          <w:lang w:eastAsia="en-GB"/>
        </w:rPr>
        <w:t>, chaired by Mikiko OTANI (Japan), monitors States parties' adherence to the </w:t>
      </w:r>
      <w:hyperlink r:id="rId16" w:history="1">
        <w:r w:rsidRPr="008D64AA">
          <w:rPr>
            <w:rFonts w:ascii="Arial" w:eastAsia="Calibri" w:hAnsi="Arial" w:cs="Arial"/>
            <w:b/>
            <w:bCs/>
            <w:i/>
            <w:iCs/>
            <w:color w:val="0000FF"/>
            <w:spacing w:val="4"/>
            <w:sz w:val="20"/>
            <w:szCs w:val="20"/>
            <w:shd w:val="clear" w:color="auto" w:fill="F5F5F1"/>
            <w:lang w:eastAsia="en-GB"/>
          </w:rPr>
          <w:t>Convention on the Rights of the Child</w:t>
        </w:r>
      </w:hyperlink>
      <w:r w:rsidRPr="008D64AA">
        <w:rPr>
          <w:rFonts w:ascii="Arial" w:eastAsia="Calibri" w:hAnsi="Arial" w:cs="Arial"/>
          <w:i/>
          <w:iCs/>
          <w:color w:val="000000"/>
          <w:spacing w:val="4"/>
          <w:sz w:val="20"/>
          <w:szCs w:val="20"/>
          <w:shd w:val="clear" w:color="auto" w:fill="F5F5F1"/>
          <w:lang w:eastAsia="en-GB"/>
        </w:rPr>
        <w:t>and its Optional Protocols on involvement of </w:t>
      </w:r>
      <w:hyperlink r:id="rId17" w:history="1">
        <w:r w:rsidRPr="008D64AA">
          <w:rPr>
            <w:rFonts w:ascii="Arial" w:eastAsia="Calibri" w:hAnsi="Arial" w:cs="Arial"/>
            <w:b/>
            <w:bCs/>
            <w:i/>
            <w:iCs/>
            <w:color w:val="0000FF"/>
            <w:spacing w:val="4"/>
            <w:sz w:val="20"/>
            <w:szCs w:val="20"/>
            <w:shd w:val="clear" w:color="auto" w:fill="F5F5F1"/>
            <w:lang w:eastAsia="en-GB"/>
          </w:rPr>
          <w:t>children in armed conflict</w:t>
        </w:r>
      </w:hyperlink>
      <w:r w:rsidRPr="008D64AA">
        <w:rPr>
          <w:rFonts w:ascii="Arial" w:eastAsia="Calibri" w:hAnsi="Arial" w:cs="Arial"/>
          <w:i/>
          <w:iCs/>
          <w:color w:val="000000"/>
          <w:spacing w:val="4"/>
          <w:sz w:val="20"/>
          <w:szCs w:val="20"/>
          <w:shd w:val="clear" w:color="auto" w:fill="F5F5F1"/>
          <w:lang w:eastAsia="en-GB"/>
        </w:rPr>
        <w:t>, and on </w:t>
      </w:r>
      <w:hyperlink r:id="rId18" w:history="1">
        <w:r w:rsidRPr="008D64AA">
          <w:rPr>
            <w:rFonts w:ascii="Arial" w:eastAsia="Calibri" w:hAnsi="Arial" w:cs="Arial"/>
            <w:b/>
            <w:bCs/>
            <w:i/>
            <w:iCs/>
            <w:color w:val="0000FF"/>
            <w:spacing w:val="4"/>
            <w:sz w:val="20"/>
            <w:szCs w:val="20"/>
            <w:shd w:val="clear" w:color="auto" w:fill="F5F5F1"/>
            <w:lang w:eastAsia="en-GB"/>
          </w:rPr>
          <w:t>sale of children, child prostitution and child pornography</w:t>
        </w:r>
      </w:hyperlink>
      <w:r w:rsidRPr="008D64AA">
        <w:rPr>
          <w:rFonts w:ascii="Arial" w:eastAsia="Calibri" w:hAnsi="Arial" w:cs="Arial"/>
          <w:i/>
          <w:iCs/>
          <w:color w:val="000000"/>
          <w:spacing w:val="4"/>
          <w:sz w:val="20"/>
          <w:szCs w:val="20"/>
          <w:shd w:val="clear" w:color="auto" w:fill="F5F5F1"/>
          <w:lang w:eastAsia="en-GB"/>
        </w:rPr>
        <w:t>. The Convention to date has </w:t>
      </w:r>
      <w:hyperlink r:id="rId19" w:history="1">
        <w:r w:rsidRPr="008D64AA">
          <w:rPr>
            <w:rFonts w:ascii="Arial" w:eastAsia="Calibri" w:hAnsi="Arial" w:cs="Arial"/>
            <w:b/>
            <w:bCs/>
            <w:i/>
            <w:iCs/>
            <w:color w:val="0000FF"/>
            <w:spacing w:val="4"/>
            <w:sz w:val="20"/>
            <w:szCs w:val="20"/>
            <w:shd w:val="clear" w:color="auto" w:fill="F5F5F1"/>
            <w:lang w:eastAsia="en-GB"/>
          </w:rPr>
          <w:t>196 States parties</w:t>
        </w:r>
      </w:hyperlink>
      <w:r w:rsidRPr="008D64AA">
        <w:rPr>
          <w:rFonts w:ascii="Arial" w:eastAsia="Calibri" w:hAnsi="Arial" w:cs="Arial"/>
          <w:i/>
          <w:iCs/>
          <w:color w:val="000000"/>
          <w:spacing w:val="4"/>
          <w:sz w:val="20"/>
          <w:szCs w:val="20"/>
          <w:shd w:val="clear" w:color="auto" w:fill="F5F5F1"/>
          <w:lang w:eastAsia="en-GB"/>
        </w:rPr>
        <w:t>. The Committee is made up of </w:t>
      </w:r>
      <w:hyperlink r:id="rId20" w:history="1">
        <w:r w:rsidRPr="008D64AA">
          <w:rPr>
            <w:rFonts w:ascii="Arial" w:eastAsia="Calibri" w:hAnsi="Arial" w:cs="Arial"/>
            <w:b/>
            <w:bCs/>
            <w:i/>
            <w:iCs/>
            <w:color w:val="0000FF"/>
            <w:spacing w:val="4"/>
            <w:sz w:val="20"/>
            <w:szCs w:val="20"/>
            <w:shd w:val="clear" w:color="auto" w:fill="F5F5F1"/>
            <w:lang w:eastAsia="en-GB"/>
          </w:rPr>
          <w:t>18 members</w:t>
        </w:r>
      </w:hyperlink>
      <w:r w:rsidRPr="008D64AA">
        <w:rPr>
          <w:rFonts w:ascii="Arial" w:eastAsia="Calibri" w:hAnsi="Arial" w:cs="Arial"/>
          <w:i/>
          <w:iCs/>
          <w:color w:val="000000"/>
          <w:spacing w:val="4"/>
          <w:sz w:val="20"/>
          <w:szCs w:val="20"/>
          <w:shd w:val="clear" w:color="auto" w:fill="F5F5F1"/>
          <w:lang w:eastAsia="en-GB"/>
        </w:rPr>
        <w:t> who are independent human rights experts drawn from around the world, who serve in their personal capacity and not as representatives of States parties.</w:t>
      </w:r>
      <w:r>
        <w:rPr>
          <w:rFonts w:ascii="Arial" w:eastAsia="Calibri" w:hAnsi="Arial" w:cs="Arial"/>
          <w:i/>
          <w:iCs/>
          <w:color w:val="000000"/>
          <w:spacing w:val="4"/>
          <w:sz w:val="20"/>
          <w:szCs w:val="20"/>
          <w:shd w:val="clear" w:color="auto" w:fill="F5F5F1"/>
          <w:lang w:eastAsia="en-GB"/>
        </w:rPr>
        <w:t xml:space="preserve"> </w:t>
      </w:r>
    </w:p>
    <w:p w14:paraId="2C426767" w14:textId="0A85A041" w:rsidR="002B46D4" w:rsidRDefault="002B46D4" w:rsidP="008D64AA">
      <w:pPr>
        <w:spacing w:after="0" w:line="240" w:lineRule="auto"/>
        <w:rPr>
          <w:rFonts w:ascii="Arial" w:eastAsia="Calibri" w:hAnsi="Arial" w:cs="Arial"/>
          <w:i/>
          <w:iCs/>
          <w:color w:val="000000"/>
          <w:spacing w:val="4"/>
          <w:sz w:val="20"/>
          <w:szCs w:val="20"/>
          <w:shd w:val="clear" w:color="auto" w:fill="F5F5F1"/>
          <w:lang w:eastAsia="en-GB"/>
        </w:rPr>
      </w:pPr>
    </w:p>
    <w:p w14:paraId="5B582310" w14:textId="6331DA38" w:rsidR="008D64AA" w:rsidRPr="002B46D4" w:rsidRDefault="002B46D4" w:rsidP="002B46D4">
      <w:pPr>
        <w:rPr>
          <w:rFonts w:ascii="Arial" w:hAnsi="Arial" w:cs="Arial"/>
          <w:sz w:val="20"/>
          <w:szCs w:val="20"/>
        </w:rPr>
      </w:pPr>
      <w:r w:rsidRPr="002B46D4">
        <w:rPr>
          <w:rFonts w:ascii="Arial" w:hAnsi="Arial" w:cs="Arial"/>
          <w:color w:val="000000"/>
          <w:spacing w:val="4"/>
          <w:sz w:val="20"/>
          <w:szCs w:val="20"/>
          <w:shd w:val="clear" w:color="auto" w:fill="F5F5F1"/>
        </w:rPr>
        <w:t>The </w:t>
      </w:r>
      <w:hyperlink r:id="rId21" w:history="1">
        <w:r w:rsidRPr="002B46D4">
          <w:rPr>
            <w:rFonts w:ascii="Arial" w:hAnsi="Arial" w:cs="Arial"/>
            <w:b/>
            <w:bCs/>
            <w:color w:val="0000FF"/>
            <w:spacing w:val="4"/>
            <w:sz w:val="20"/>
            <w:szCs w:val="20"/>
            <w:u w:val="single"/>
            <w:shd w:val="clear" w:color="auto" w:fill="F5F5F1"/>
          </w:rPr>
          <w:t>Committee on the Elimination of Discrimination against Women</w:t>
        </w:r>
      </w:hyperlink>
      <w:r w:rsidRPr="002B46D4">
        <w:rPr>
          <w:rFonts w:ascii="Arial" w:hAnsi="Arial" w:cs="Arial"/>
          <w:color w:val="000000"/>
          <w:spacing w:val="4"/>
          <w:sz w:val="20"/>
          <w:szCs w:val="20"/>
          <w:shd w:val="clear" w:color="auto" w:fill="F5F5F1"/>
        </w:rPr>
        <w:t> monitors States parties’ adherence to the </w:t>
      </w:r>
      <w:hyperlink r:id="rId22" w:history="1">
        <w:r w:rsidRPr="002B46D4">
          <w:rPr>
            <w:rFonts w:ascii="Arial" w:hAnsi="Arial" w:cs="Arial"/>
            <w:b/>
            <w:bCs/>
            <w:color w:val="0000FF"/>
            <w:spacing w:val="4"/>
            <w:sz w:val="20"/>
            <w:szCs w:val="20"/>
            <w:u w:val="single"/>
            <w:shd w:val="clear" w:color="auto" w:fill="F5F5F1"/>
          </w:rPr>
          <w:t>Convention on the Elimination of All Forms of Discrimination against Women</w:t>
        </w:r>
      </w:hyperlink>
      <w:r w:rsidRPr="002B46D4">
        <w:rPr>
          <w:rFonts w:ascii="Arial" w:hAnsi="Arial" w:cs="Arial"/>
          <w:color w:val="000000"/>
          <w:spacing w:val="4"/>
          <w:sz w:val="20"/>
          <w:szCs w:val="20"/>
          <w:shd w:val="clear" w:color="auto" w:fill="F5F5F1"/>
        </w:rPr>
        <w:t>, which to date has </w:t>
      </w:r>
      <w:hyperlink r:id="rId23" w:history="1">
        <w:r w:rsidRPr="002B46D4">
          <w:rPr>
            <w:rFonts w:ascii="Arial" w:hAnsi="Arial" w:cs="Arial"/>
            <w:b/>
            <w:bCs/>
            <w:color w:val="0000FF"/>
            <w:spacing w:val="4"/>
            <w:sz w:val="20"/>
            <w:szCs w:val="20"/>
            <w:u w:val="single"/>
            <w:shd w:val="clear" w:color="auto" w:fill="F5F5F1"/>
          </w:rPr>
          <w:t>189</w:t>
        </w:r>
      </w:hyperlink>
      <w:r w:rsidRPr="002B46D4">
        <w:rPr>
          <w:rFonts w:ascii="Arial" w:hAnsi="Arial" w:cs="Arial"/>
          <w:color w:val="000000"/>
          <w:spacing w:val="4"/>
          <w:sz w:val="20"/>
          <w:szCs w:val="20"/>
          <w:shd w:val="clear" w:color="auto" w:fill="F5F5F1"/>
        </w:rPr>
        <w:t> States parties. The Committee is made up of </w:t>
      </w:r>
      <w:hyperlink r:id="rId24" w:history="1">
        <w:r w:rsidRPr="002B46D4">
          <w:rPr>
            <w:rFonts w:ascii="Arial" w:hAnsi="Arial" w:cs="Arial"/>
            <w:b/>
            <w:bCs/>
            <w:color w:val="0000FF"/>
            <w:spacing w:val="4"/>
            <w:sz w:val="20"/>
            <w:szCs w:val="20"/>
            <w:u w:val="single"/>
            <w:shd w:val="clear" w:color="auto" w:fill="F5F5F1"/>
          </w:rPr>
          <w:t>23 members</w:t>
        </w:r>
      </w:hyperlink>
      <w:r w:rsidRPr="002B46D4">
        <w:rPr>
          <w:rFonts w:ascii="Arial" w:hAnsi="Arial" w:cs="Arial"/>
          <w:color w:val="000000"/>
          <w:spacing w:val="4"/>
          <w:sz w:val="20"/>
          <w:szCs w:val="20"/>
          <w:shd w:val="clear" w:color="auto" w:fill="F5F5F1"/>
        </w:rPr>
        <w:t> who are independent human rights experts in women’s rights drawn from around the world, who serve in their personal capacity and not as representatives of States parties. The </w:t>
      </w:r>
      <w:hyperlink r:id="rId25" w:history="1">
        <w:r w:rsidRPr="002B46D4">
          <w:rPr>
            <w:rFonts w:ascii="Arial" w:hAnsi="Arial" w:cs="Arial"/>
            <w:b/>
            <w:bCs/>
            <w:color w:val="0000FF"/>
            <w:spacing w:val="4"/>
            <w:sz w:val="20"/>
            <w:szCs w:val="20"/>
            <w:u w:val="single"/>
            <w:shd w:val="clear" w:color="auto" w:fill="F5F5F1"/>
          </w:rPr>
          <w:t>Optional Protocol to the Convention on the Elimination of All Forms of Discrimination against Women</w:t>
        </w:r>
      </w:hyperlink>
      <w:r w:rsidRPr="002B46D4">
        <w:rPr>
          <w:rFonts w:ascii="Arial" w:hAnsi="Arial" w:cs="Arial"/>
          <w:color w:val="000000"/>
          <w:spacing w:val="4"/>
          <w:sz w:val="20"/>
          <w:szCs w:val="20"/>
          <w:shd w:val="clear" w:color="auto" w:fill="F5F5F1"/>
        </w:rPr>
        <w:t> allows the Committee to receive and examine complaints by individuals or groups of individuals under the jurisdiction of a State party to the Optional Protocol, claiming to be victims of a violation of any of the rights set forth in the Convention. To date, </w:t>
      </w:r>
      <w:hyperlink r:id="rId26" w:history="1">
        <w:r w:rsidRPr="002B46D4">
          <w:rPr>
            <w:rFonts w:ascii="Arial" w:hAnsi="Arial" w:cs="Arial"/>
            <w:b/>
            <w:bCs/>
            <w:color w:val="0000FF"/>
            <w:spacing w:val="4"/>
            <w:sz w:val="20"/>
            <w:szCs w:val="20"/>
            <w:u w:val="single"/>
            <w:shd w:val="clear" w:color="auto" w:fill="F5F5F1"/>
          </w:rPr>
          <w:t>115</w:t>
        </w:r>
      </w:hyperlink>
      <w:r w:rsidRPr="002B46D4">
        <w:rPr>
          <w:rFonts w:ascii="Arial" w:hAnsi="Arial" w:cs="Arial"/>
          <w:color w:val="000000"/>
          <w:spacing w:val="4"/>
          <w:sz w:val="20"/>
          <w:szCs w:val="20"/>
          <w:shd w:val="clear" w:color="auto" w:fill="F5F5F1"/>
        </w:rPr>
        <w:t> States have ratified or acceded to the Optional Protocol.</w:t>
      </w:r>
    </w:p>
    <w:p w14:paraId="4A91C9C2" w14:textId="35777033" w:rsidR="00EC73EF" w:rsidRPr="00EC73EF" w:rsidRDefault="00C558BE" w:rsidP="00EC73EF">
      <w:pPr>
        <w:rPr>
          <w:rFonts w:ascii="Arial" w:eastAsia="Calibri" w:hAnsi="Arial" w:cs="Arial"/>
          <w:i/>
          <w:iCs/>
          <w:color w:val="000000"/>
          <w:lang w:eastAsia="en-GB"/>
        </w:rPr>
      </w:pPr>
      <w:r>
        <w:rPr>
          <w:rFonts w:ascii="Arial" w:eastAsia="Calibri" w:hAnsi="Arial" w:cs="Arial"/>
          <w:i/>
          <w:iCs/>
          <w:color w:val="000000"/>
          <w:lang w:eastAsia="en-GB"/>
        </w:rPr>
        <w:t>For more information</w:t>
      </w:r>
      <w:r w:rsidR="00EC73EF" w:rsidRPr="00EC73EF">
        <w:rPr>
          <w:rFonts w:ascii="Arial" w:eastAsia="Calibri" w:hAnsi="Arial" w:cs="Arial"/>
          <w:i/>
          <w:iCs/>
          <w:color w:val="000000"/>
          <w:lang w:eastAsia="en-GB"/>
        </w:rPr>
        <w:t xml:space="preserve"> please </w:t>
      </w:r>
      <w:r w:rsidR="00EC73EF" w:rsidRPr="00EC73EF">
        <w:rPr>
          <w:rFonts w:ascii="Arial" w:eastAsia="Calibri" w:hAnsi="Arial" w:cs="Arial"/>
          <w:i/>
          <w:iCs/>
          <w:lang w:eastAsia="en-GB"/>
        </w:rPr>
        <w:t>contact</w:t>
      </w:r>
      <w:r w:rsidR="001237AE">
        <w:rPr>
          <w:rFonts w:ascii="Arial" w:eastAsia="Calibri" w:hAnsi="Arial" w:cs="Arial"/>
          <w:i/>
          <w:iCs/>
          <w:lang w:eastAsia="en-GB"/>
        </w:rPr>
        <w:t xml:space="preserve"> th</w:t>
      </w:r>
      <w:r w:rsidR="002B46D4">
        <w:rPr>
          <w:rFonts w:ascii="Arial" w:eastAsia="Calibri" w:hAnsi="Arial" w:cs="Arial"/>
          <w:i/>
          <w:iCs/>
          <w:lang w:eastAsia="en-GB"/>
        </w:rPr>
        <w:t xml:space="preserve">e team supporting </w:t>
      </w:r>
      <w:r w:rsidR="001237AE">
        <w:rPr>
          <w:rFonts w:ascii="Arial" w:eastAsia="Calibri" w:hAnsi="Arial" w:cs="Arial"/>
          <w:i/>
          <w:iCs/>
          <w:lang w:eastAsia="en-GB"/>
        </w:rPr>
        <w:t>the Working Group on discrimination against women and girls</w:t>
      </w:r>
      <w:r w:rsidR="00EC73EF" w:rsidRPr="00EC73EF">
        <w:rPr>
          <w:rFonts w:ascii="Arial" w:eastAsia="Calibri" w:hAnsi="Arial" w:cs="Arial"/>
          <w:i/>
          <w:iCs/>
          <w:lang w:eastAsia="en-GB"/>
        </w:rPr>
        <w:t xml:space="preserve">: </w:t>
      </w:r>
      <w:hyperlink r:id="rId27" w:history="1">
        <w:r w:rsidR="001237AE" w:rsidRPr="009508DD">
          <w:rPr>
            <w:rStyle w:val="Hyperlink"/>
            <w:rFonts w:ascii="Arial" w:eastAsia="Calibri" w:hAnsi="Arial" w:cs="Arial"/>
            <w:i/>
            <w:iCs/>
            <w:lang w:eastAsia="en-GB"/>
          </w:rPr>
          <w:t>ohchr-dl-wgdawprofessionalteam@un.org</w:t>
        </w:r>
      </w:hyperlink>
      <w:r w:rsidR="001237AE">
        <w:rPr>
          <w:rFonts w:ascii="Arial" w:eastAsia="Calibri" w:hAnsi="Arial" w:cs="Arial"/>
          <w:i/>
          <w:iCs/>
          <w:lang w:eastAsia="en-GB"/>
        </w:rPr>
        <w:t xml:space="preserve">  </w:t>
      </w:r>
    </w:p>
    <w:p w14:paraId="55F5E82D" w14:textId="77777777" w:rsidR="00EC73EF" w:rsidRPr="00EC73EF" w:rsidRDefault="00EC73EF" w:rsidP="00EC73EF">
      <w:pPr>
        <w:rPr>
          <w:rFonts w:ascii="Arial" w:eastAsia="Calibri" w:hAnsi="Arial" w:cs="Arial"/>
          <w:sz w:val="24"/>
          <w:szCs w:val="24"/>
        </w:rPr>
      </w:pPr>
    </w:p>
    <w:p w14:paraId="55D8E8E1" w14:textId="77777777" w:rsidR="00EC73EF" w:rsidRDefault="00EC73EF" w:rsidP="006F3DA8">
      <w:pPr>
        <w:jc w:val="both"/>
        <w:rPr>
          <w:rFonts w:ascii="Arial" w:hAnsi="Arial" w:cs="Arial"/>
        </w:rPr>
      </w:pPr>
    </w:p>
    <w:p w14:paraId="7D6AD41B" w14:textId="77777777" w:rsidR="00EC73EF" w:rsidRPr="006F3DA8" w:rsidRDefault="00EC73EF" w:rsidP="006F3DA8">
      <w:pPr>
        <w:jc w:val="both"/>
        <w:rPr>
          <w:rFonts w:ascii="Arial" w:hAnsi="Arial" w:cs="Arial"/>
        </w:rPr>
      </w:pPr>
    </w:p>
    <w:sectPr w:rsidR="00EC73EF" w:rsidRPr="006F3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D8"/>
    <w:rsid w:val="00031613"/>
    <w:rsid w:val="0004746A"/>
    <w:rsid w:val="000562E2"/>
    <w:rsid w:val="00071C41"/>
    <w:rsid w:val="000C6AEE"/>
    <w:rsid w:val="000D7B3B"/>
    <w:rsid w:val="000F2C9F"/>
    <w:rsid w:val="0011002D"/>
    <w:rsid w:val="001237AE"/>
    <w:rsid w:val="00132370"/>
    <w:rsid w:val="00195176"/>
    <w:rsid w:val="001D7DAE"/>
    <w:rsid w:val="00207BB5"/>
    <w:rsid w:val="00223DD5"/>
    <w:rsid w:val="002328B8"/>
    <w:rsid w:val="00273F36"/>
    <w:rsid w:val="002B46D4"/>
    <w:rsid w:val="002C0C4A"/>
    <w:rsid w:val="00300C13"/>
    <w:rsid w:val="0030619B"/>
    <w:rsid w:val="00327EBE"/>
    <w:rsid w:val="003408FB"/>
    <w:rsid w:val="00365FD0"/>
    <w:rsid w:val="00381067"/>
    <w:rsid w:val="003846FD"/>
    <w:rsid w:val="003B42EA"/>
    <w:rsid w:val="003F6519"/>
    <w:rsid w:val="00461765"/>
    <w:rsid w:val="00481208"/>
    <w:rsid w:val="004961C7"/>
    <w:rsid w:val="004D79A1"/>
    <w:rsid w:val="004F35BF"/>
    <w:rsid w:val="005000A3"/>
    <w:rsid w:val="0050793B"/>
    <w:rsid w:val="005250B7"/>
    <w:rsid w:val="00552B22"/>
    <w:rsid w:val="005D0954"/>
    <w:rsid w:val="00605788"/>
    <w:rsid w:val="00624481"/>
    <w:rsid w:val="0062627F"/>
    <w:rsid w:val="00632F16"/>
    <w:rsid w:val="00653F55"/>
    <w:rsid w:val="006623F0"/>
    <w:rsid w:val="00673D13"/>
    <w:rsid w:val="006B7B64"/>
    <w:rsid w:val="006F3DA8"/>
    <w:rsid w:val="007068A3"/>
    <w:rsid w:val="00735558"/>
    <w:rsid w:val="0073689A"/>
    <w:rsid w:val="007C7DC8"/>
    <w:rsid w:val="007E5A05"/>
    <w:rsid w:val="00803070"/>
    <w:rsid w:val="008050D7"/>
    <w:rsid w:val="008063F8"/>
    <w:rsid w:val="00810FAB"/>
    <w:rsid w:val="008805C4"/>
    <w:rsid w:val="008B7DCF"/>
    <w:rsid w:val="008C6F82"/>
    <w:rsid w:val="008D64AA"/>
    <w:rsid w:val="009543E5"/>
    <w:rsid w:val="00956DCF"/>
    <w:rsid w:val="009716C5"/>
    <w:rsid w:val="00974E76"/>
    <w:rsid w:val="00984CA9"/>
    <w:rsid w:val="009A1C83"/>
    <w:rsid w:val="009E7FA6"/>
    <w:rsid w:val="00A42F7B"/>
    <w:rsid w:val="00A72559"/>
    <w:rsid w:val="00A76AE1"/>
    <w:rsid w:val="00A9544E"/>
    <w:rsid w:val="00A95666"/>
    <w:rsid w:val="00AA477A"/>
    <w:rsid w:val="00AB7867"/>
    <w:rsid w:val="00B2040D"/>
    <w:rsid w:val="00B73CA4"/>
    <w:rsid w:val="00BA698E"/>
    <w:rsid w:val="00BB29A4"/>
    <w:rsid w:val="00BB6442"/>
    <w:rsid w:val="00BC0E2F"/>
    <w:rsid w:val="00BD5328"/>
    <w:rsid w:val="00BD6137"/>
    <w:rsid w:val="00BF5DB7"/>
    <w:rsid w:val="00C16BFD"/>
    <w:rsid w:val="00C558BE"/>
    <w:rsid w:val="00CC0764"/>
    <w:rsid w:val="00CC2E52"/>
    <w:rsid w:val="00CD1A41"/>
    <w:rsid w:val="00D1796F"/>
    <w:rsid w:val="00D621A1"/>
    <w:rsid w:val="00DA23FE"/>
    <w:rsid w:val="00DA5926"/>
    <w:rsid w:val="00DD5EC5"/>
    <w:rsid w:val="00DD66DC"/>
    <w:rsid w:val="00DE4F98"/>
    <w:rsid w:val="00E00D7D"/>
    <w:rsid w:val="00E05784"/>
    <w:rsid w:val="00E2246E"/>
    <w:rsid w:val="00E323FB"/>
    <w:rsid w:val="00E808D8"/>
    <w:rsid w:val="00EA009D"/>
    <w:rsid w:val="00EC73EF"/>
    <w:rsid w:val="00EE15D5"/>
    <w:rsid w:val="00F01239"/>
    <w:rsid w:val="00F3295A"/>
    <w:rsid w:val="00F33EF0"/>
    <w:rsid w:val="00F411D0"/>
    <w:rsid w:val="00F4495A"/>
    <w:rsid w:val="00F551E2"/>
    <w:rsid w:val="00F77F07"/>
    <w:rsid w:val="00FD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A610"/>
  <w15:chartTrackingRefBased/>
  <w15:docId w15:val="{F833ABB9-1881-4D8E-BBD5-DC56111E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7AE"/>
    <w:rPr>
      <w:color w:val="0563C1" w:themeColor="hyperlink"/>
      <w:u w:val="single"/>
    </w:rPr>
  </w:style>
  <w:style w:type="character" w:styleId="Emphasis">
    <w:name w:val="Emphasis"/>
    <w:basedOn w:val="DefaultParagraphFont"/>
    <w:uiPriority w:val="20"/>
    <w:qFormat/>
    <w:rsid w:val="001237AE"/>
    <w:rPr>
      <w:i/>
      <w:iCs/>
    </w:rPr>
  </w:style>
  <w:style w:type="character" w:styleId="CommentReference">
    <w:name w:val="annotation reference"/>
    <w:basedOn w:val="DefaultParagraphFont"/>
    <w:uiPriority w:val="99"/>
    <w:semiHidden/>
    <w:unhideWhenUsed/>
    <w:rsid w:val="00EA009D"/>
    <w:rPr>
      <w:sz w:val="16"/>
      <w:szCs w:val="16"/>
    </w:rPr>
  </w:style>
  <w:style w:type="paragraph" w:styleId="CommentText">
    <w:name w:val="annotation text"/>
    <w:basedOn w:val="Normal"/>
    <w:link w:val="CommentTextChar"/>
    <w:uiPriority w:val="99"/>
    <w:semiHidden/>
    <w:unhideWhenUsed/>
    <w:rsid w:val="00EA009D"/>
    <w:pPr>
      <w:spacing w:line="240" w:lineRule="auto"/>
    </w:pPr>
    <w:rPr>
      <w:sz w:val="20"/>
      <w:szCs w:val="20"/>
    </w:rPr>
  </w:style>
  <w:style w:type="character" w:customStyle="1" w:styleId="CommentTextChar">
    <w:name w:val="Comment Text Char"/>
    <w:basedOn w:val="DefaultParagraphFont"/>
    <w:link w:val="CommentText"/>
    <w:uiPriority w:val="99"/>
    <w:semiHidden/>
    <w:rsid w:val="00EA009D"/>
    <w:rPr>
      <w:sz w:val="20"/>
      <w:szCs w:val="20"/>
    </w:rPr>
  </w:style>
  <w:style w:type="paragraph" w:styleId="CommentSubject">
    <w:name w:val="annotation subject"/>
    <w:basedOn w:val="CommentText"/>
    <w:next w:val="CommentText"/>
    <w:link w:val="CommentSubjectChar"/>
    <w:uiPriority w:val="99"/>
    <w:semiHidden/>
    <w:unhideWhenUsed/>
    <w:rsid w:val="00EA009D"/>
    <w:rPr>
      <w:b/>
      <w:bCs/>
    </w:rPr>
  </w:style>
  <w:style w:type="character" w:customStyle="1" w:styleId="CommentSubjectChar">
    <w:name w:val="Comment Subject Char"/>
    <w:basedOn w:val="CommentTextChar"/>
    <w:link w:val="CommentSubject"/>
    <w:uiPriority w:val="99"/>
    <w:semiHidden/>
    <w:rsid w:val="00EA009D"/>
    <w:rPr>
      <w:b/>
      <w:bCs/>
      <w:sz w:val="20"/>
      <w:szCs w:val="20"/>
    </w:rPr>
  </w:style>
  <w:style w:type="paragraph" w:styleId="BalloonText">
    <w:name w:val="Balloon Text"/>
    <w:basedOn w:val="Normal"/>
    <w:link w:val="BalloonTextChar"/>
    <w:uiPriority w:val="99"/>
    <w:semiHidden/>
    <w:unhideWhenUsed/>
    <w:rsid w:val="00EA0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9D"/>
    <w:rPr>
      <w:rFonts w:ascii="Segoe UI" w:hAnsi="Segoe UI" w:cs="Segoe UI"/>
      <w:sz w:val="18"/>
      <w:szCs w:val="18"/>
    </w:rPr>
  </w:style>
  <w:style w:type="paragraph" w:styleId="Revision">
    <w:name w:val="Revision"/>
    <w:hidden/>
    <w:uiPriority w:val="99"/>
    <w:semiHidden/>
    <w:rsid w:val="007068A3"/>
    <w:pPr>
      <w:spacing w:after="0" w:line="240" w:lineRule="auto"/>
    </w:pPr>
  </w:style>
  <w:style w:type="character" w:styleId="Strong">
    <w:name w:val="Strong"/>
    <w:basedOn w:val="DefaultParagraphFont"/>
    <w:uiPriority w:val="22"/>
    <w:qFormat/>
    <w:rsid w:val="000F2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557">
      <w:bodyDiv w:val="1"/>
      <w:marLeft w:val="0"/>
      <w:marRight w:val="0"/>
      <w:marTop w:val="0"/>
      <w:marBottom w:val="0"/>
      <w:divBdr>
        <w:top w:val="none" w:sz="0" w:space="0" w:color="auto"/>
        <w:left w:val="none" w:sz="0" w:space="0" w:color="auto"/>
        <w:bottom w:val="none" w:sz="0" w:space="0" w:color="auto"/>
        <w:right w:val="none" w:sz="0" w:space="0" w:color="auto"/>
      </w:divBdr>
    </w:div>
    <w:div w:id="308364997">
      <w:bodyDiv w:val="1"/>
      <w:marLeft w:val="0"/>
      <w:marRight w:val="0"/>
      <w:marTop w:val="0"/>
      <w:marBottom w:val="0"/>
      <w:divBdr>
        <w:top w:val="none" w:sz="0" w:space="0" w:color="auto"/>
        <w:left w:val="none" w:sz="0" w:space="0" w:color="auto"/>
        <w:bottom w:val="none" w:sz="0" w:space="0" w:color="auto"/>
        <w:right w:val="none" w:sz="0" w:space="0" w:color="auto"/>
      </w:divBdr>
    </w:div>
    <w:div w:id="1593707244">
      <w:bodyDiv w:val="1"/>
      <w:marLeft w:val="0"/>
      <w:marRight w:val="0"/>
      <w:marTop w:val="0"/>
      <w:marBottom w:val="0"/>
      <w:divBdr>
        <w:top w:val="none" w:sz="0" w:space="0" w:color="auto"/>
        <w:left w:val="none" w:sz="0" w:space="0" w:color="auto"/>
        <w:bottom w:val="none" w:sz="0" w:space="0" w:color="auto"/>
        <w:right w:val="none" w:sz="0" w:space="0" w:color="auto"/>
      </w:divBdr>
    </w:div>
    <w:div w:id="19269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special-procedures/sr-education" TargetMode="External"/><Relationship Id="rId13" Type="http://schemas.openxmlformats.org/officeDocument/2006/relationships/hyperlink" Target="https://unworkinggroupwomenandgirls.org/reports/making-sure-girls-and-young-women-are-always-heard/" TargetMode="External"/><Relationship Id="rId18" Type="http://schemas.openxmlformats.org/officeDocument/2006/relationships/hyperlink" Target="https://www.ohchr.org/EN/ProfessionalInterest/Pages/OPSCCRC.aspx" TargetMode="External"/><Relationship Id="rId26" Type="http://schemas.openxmlformats.org/officeDocument/2006/relationships/hyperlink" Target="https://treaties.un.org/Pages/ViewDetails.aspx?src=TREATY&amp;mtdsg_no=IV-8-b&amp;chapter=4&amp;clang=_en" TargetMode="External"/><Relationship Id="rId3" Type="http://schemas.openxmlformats.org/officeDocument/2006/relationships/webSettings" Target="webSettings.xml"/><Relationship Id="rId21" Type="http://schemas.openxmlformats.org/officeDocument/2006/relationships/hyperlink" Target="https://www.ohchr.org/en/hrbodies/cedaw/pages/cedawindex.aspx" TargetMode="External"/><Relationship Id="rId7" Type="http://schemas.openxmlformats.org/officeDocument/2006/relationships/hyperlink" Target="https://www.ohchr.org/en/special-procedures/sr-sale-of-children" TargetMode="External"/><Relationship Id="rId12" Type="http://schemas.openxmlformats.org/officeDocument/2006/relationships/hyperlink" Target="https://www.ohchr.org/en/hrbodies/cedaw/pages/cedawindex.aspx" TargetMode="External"/><Relationship Id="rId17" Type="http://schemas.openxmlformats.org/officeDocument/2006/relationships/hyperlink" Target="https://www.ohchr.org/EN/ProfessionalInterest/Pages/OPACCRC.aspx" TargetMode="External"/><Relationship Id="rId25" Type="http://schemas.openxmlformats.org/officeDocument/2006/relationships/hyperlink" Target="https://www.ohchr.org/en/professionalinterest/pages/opcedaw.aspx" TargetMode="External"/><Relationship Id="rId2" Type="http://schemas.openxmlformats.org/officeDocument/2006/relationships/settings" Target="settings.xml"/><Relationship Id="rId16" Type="http://schemas.openxmlformats.org/officeDocument/2006/relationships/hyperlink" Target="https://www.ohchr.org/EN/ProfessionalInterest/Pages/CRC.aspx" TargetMode="External"/><Relationship Id="rId20" Type="http://schemas.openxmlformats.org/officeDocument/2006/relationships/hyperlink" Target="https://www.ohchr.org/EN/HRBodies/CRC/Pages/Membership.asp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hchr.org/en/special-procedures/wg-women-and-girls" TargetMode="External"/><Relationship Id="rId11" Type="http://schemas.openxmlformats.org/officeDocument/2006/relationships/hyperlink" Target="https://www.ohchr.org/en/hrbodies/crc/pages/crcindex.aspx" TargetMode="External"/><Relationship Id="rId24" Type="http://schemas.openxmlformats.org/officeDocument/2006/relationships/hyperlink" Target="https://www.ohchr.org/EN/HRBodies/CEDAW/Pages/Membership.aspx" TargetMode="External"/><Relationship Id="rId5" Type="http://schemas.openxmlformats.org/officeDocument/2006/relationships/image" Target="media/image2.png"/><Relationship Id="rId15" Type="http://schemas.openxmlformats.org/officeDocument/2006/relationships/hyperlink" Target="https://www.ohchr.org/en/hrbodies/crc/pages/crcindex.aspx" TargetMode="External"/><Relationship Id="rId23" Type="http://schemas.openxmlformats.org/officeDocument/2006/relationships/hyperlink" Target="https://treaties.un.org/Pages/ViewDetails.aspx?src=TREATY&amp;mtdsg_no=IV-8&amp;chapter=4&amp;clang=_en" TargetMode="External"/><Relationship Id="rId28" Type="http://schemas.openxmlformats.org/officeDocument/2006/relationships/fontTable" Target="fontTable.xml"/><Relationship Id="rId10" Type="http://schemas.openxmlformats.org/officeDocument/2006/relationships/hyperlink" Target="https://www.ohchr.org/en/issues/women/srwomen/pages/srwomenindex.aspx" TargetMode="External"/><Relationship Id="rId19" Type="http://schemas.openxmlformats.org/officeDocument/2006/relationships/hyperlink" Target="https://treaties.un.org/Pages/ViewDetails.aspx?src=TREATY&amp;mtdsg_no=IV-11&amp;chapter=4&amp;clang=_en" TargetMode="External"/><Relationship Id="rId4" Type="http://schemas.openxmlformats.org/officeDocument/2006/relationships/image" Target="media/image1.gif"/><Relationship Id="rId9" Type="http://schemas.openxmlformats.org/officeDocument/2006/relationships/hyperlink" Target="https://www.ohchr.org/en/special-procedures/sr-cultural-rights" TargetMode="External"/><Relationship Id="rId14" Type="http://schemas.openxmlformats.org/officeDocument/2006/relationships/hyperlink" Target="https://www.ohchr.org/en/special-procedures-human-rights-council" TargetMode="External"/><Relationship Id="rId22" Type="http://schemas.openxmlformats.org/officeDocument/2006/relationships/hyperlink" Target="https://www.ohchr.org/EN/ProfessionalInterest/Pages/CEDAW.aspx" TargetMode="External"/><Relationship Id="rId27" Type="http://schemas.openxmlformats.org/officeDocument/2006/relationships/hyperlink" Target="mailto:ohchr-dl-wgdawprofessionalteam@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1916</Words>
  <Characters>10925</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Arditi</dc:creator>
  <cp:keywords/>
  <dc:description/>
  <cp:lastModifiedBy>Bernadette Arditi</cp:lastModifiedBy>
  <cp:revision>2</cp:revision>
  <dcterms:created xsi:type="dcterms:W3CDTF">2022-10-10T07:21:00Z</dcterms:created>
  <dcterms:modified xsi:type="dcterms:W3CDTF">2022-10-10T07:21:00Z</dcterms:modified>
</cp:coreProperties>
</file>