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059F4" w:rsidRDefault="008059F4">
      <w:pPr>
        <w:spacing w:after="160" w:line="240" w:lineRule="auto"/>
        <w:jc w:val="center"/>
        <w:rPr>
          <w:rFonts w:ascii="Calibri" w:eastAsia="Calibri" w:hAnsi="Calibri" w:cs="Calibri"/>
          <w:b/>
          <w:color w:val="0A0A0A"/>
          <w:sz w:val="24"/>
          <w:szCs w:val="24"/>
        </w:rPr>
      </w:pPr>
      <w:bookmarkStart w:id="0" w:name="_GoBack"/>
      <w:bookmarkEnd w:id="0"/>
    </w:p>
    <w:p w14:paraId="00000002" w14:textId="77777777" w:rsidR="008059F4" w:rsidRDefault="00DB682F">
      <w:pPr>
        <w:spacing w:after="160" w:line="240" w:lineRule="auto"/>
        <w:jc w:val="center"/>
        <w:rPr>
          <w:rFonts w:ascii="Calibri" w:eastAsia="Calibri" w:hAnsi="Calibri" w:cs="Calibri"/>
          <w:b/>
          <w:color w:val="0A0A0A"/>
          <w:sz w:val="24"/>
          <w:szCs w:val="24"/>
        </w:rPr>
      </w:pPr>
      <w:r>
        <w:rPr>
          <w:rFonts w:ascii="Calibri" w:eastAsia="Calibri" w:hAnsi="Calibri" w:cs="Calibri"/>
          <w:b/>
          <w:color w:val="0A0A0A"/>
          <w:sz w:val="24"/>
          <w:szCs w:val="24"/>
        </w:rPr>
        <w:t>Aportes de la Subsecretaría de Protección contra la Violencia de Género sobre la violencia contra las mujeres y las niñas en el deporte para el informe temático a la 79a sesión de la Asamblea General de las Naciones Unidas en octubre de 2024.</w:t>
      </w:r>
    </w:p>
    <w:p w14:paraId="00000003" w14:textId="77777777" w:rsidR="008059F4" w:rsidRDefault="008059F4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04" w14:textId="77777777" w:rsidR="008059F4" w:rsidRDefault="00DB682F">
      <w:pPr>
        <w:numPr>
          <w:ilvl w:val="0"/>
          <w:numId w:val="1"/>
        </w:numPr>
        <w:spacing w:after="160" w:line="240" w:lineRule="auto"/>
        <w:jc w:val="both"/>
        <w:rPr>
          <w:rFonts w:ascii="Calibri" w:eastAsia="Calibri" w:hAnsi="Calibri" w:cs="Calibri"/>
          <w:b/>
          <w:color w:val="0A0A0A"/>
          <w:sz w:val="24"/>
          <w:szCs w:val="24"/>
        </w:rPr>
      </w:pPr>
      <w:r>
        <w:rPr>
          <w:rFonts w:ascii="Calibri" w:eastAsia="Calibri" w:hAnsi="Calibri" w:cs="Calibri"/>
          <w:b/>
          <w:color w:val="0A0A0A"/>
          <w:sz w:val="24"/>
          <w:szCs w:val="24"/>
        </w:rPr>
        <w:t xml:space="preserve">Introducción </w:t>
      </w:r>
    </w:p>
    <w:p w14:paraId="00000005" w14:textId="77777777" w:rsidR="008059F4" w:rsidRDefault="00DB682F">
      <w:pPr>
        <w:spacing w:line="240" w:lineRule="auto"/>
        <w:jc w:val="both"/>
        <w:rPr>
          <w:rFonts w:ascii="Calibri" w:eastAsia="Calibri" w:hAnsi="Calibri" w:cs="Calibri"/>
          <w:b/>
          <w:color w:val="0A0A0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 presente documento ha sido elaborado con el apoyo del equipo técnico y profesional relacionado a la temática de género y diversidad en el ámbito de las Relaciones Internacionales de la Subsecretaría de Protección contra la Violencia de Gén</w:t>
      </w:r>
      <w:r>
        <w:rPr>
          <w:rFonts w:ascii="Calibri" w:eastAsia="Calibri" w:hAnsi="Calibri" w:cs="Calibri"/>
          <w:sz w:val="24"/>
          <w:szCs w:val="24"/>
        </w:rPr>
        <w:t>ero del Ministerio de Capital Humano,</w:t>
      </w:r>
      <w:r>
        <w:rPr>
          <w:rFonts w:ascii="Calibri" w:eastAsia="Calibri" w:hAnsi="Calibri" w:cs="Calibri"/>
          <w:color w:val="0A0A0A"/>
          <w:sz w:val="24"/>
          <w:szCs w:val="24"/>
        </w:rPr>
        <w:t xml:space="preserve"> en respuesta a la solicitud al pedido de la Relatora Especial, </w:t>
      </w:r>
      <w:proofErr w:type="spellStart"/>
      <w:r>
        <w:rPr>
          <w:rFonts w:ascii="Calibri" w:eastAsia="Calibri" w:hAnsi="Calibri" w:cs="Calibri"/>
          <w:color w:val="0A0A0A"/>
          <w:sz w:val="24"/>
          <w:szCs w:val="24"/>
        </w:rPr>
        <w:t>Reem</w:t>
      </w:r>
      <w:proofErr w:type="spellEnd"/>
      <w:r>
        <w:rPr>
          <w:rFonts w:ascii="Calibri" w:eastAsia="Calibri" w:hAnsi="Calibri" w:cs="Calibri"/>
          <w:color w:val="0A0A0A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A0A0A"/>
          <w:sz w:val="24"/>
          <w:szCs w:val="24"/>
        </w:rPr>
        <w:t>Alsalem</w:t>
      </w:r>
      <w:proofErr w:type="spellEnd"/>
      <w:r>
        <w:rPr>
          <w:rFonts w:ascii="Calibri" w:eastAsia="Calibri" w:hAnsi="Calibri" w:cs="Calibri"/>
          <w:color w:val="0A0A0A"/>
          <w:sz w:val="24"/>
          <w:szCs w:val="24"/>
        </w:rPr>
        <w:t>, para el informe temático a la 79a sesión de la Asamblea General de las Naciones Unidas en octubre de 2024 sobre la violencia contra las mujer</w:t>
      </w:r>
      <w:r>
        <w:rPr>
          <w:rFonts w:ascii="Calibri" w:eastAsia="Calibri" w:hAnsi="Calibri" w:cs="Calibri"/>
          <w:color w:val="0A0A0A"/>
          <w:sz w:val="24"/>
          <w:szCs w:val="24"/>
        </w:rPr>
        <w:t>es y niñas en el deporte.</w:t>
      </w:r>
    </w:p>
    <w:p w14:paraId="00000006" w14:textId="77777777" w:rsidR="008059F4" w:rsidRDefault="00DB682F">
      <w:pPr>
        <w:numPr>
          <w:ilvl w:val="0"/>
          <w:numId w:val="1"/>
        </w:numPr>
        <w:spacing w:before="240" w:after="240" w:line="240" w:lineRule="auto"/>
        <w:jc w:val="both"/>
        <w:rPr>
          <w:rFonts w:ascii="Calibri" w:eastAsia="Calibri" w:hAnsi="Calibri" w:cs="Calibri"/>
          <w:b/>
          <w:color w:val="0A0A0A"/>
          <w:sz w:val="24"/>
          <w:szCs w:val="24"/>
        </w:rPr>
      </w:pPr>
      <w:r>
        <w:rPr>
          <w:rFonts w:ascii="Calibri" w:eastAsia="Calibri" w:hAnsi="Calibri" w:cs="Calibri"/>
          <w:b/>
          <w:color w:val="0A0A0A"/>
          <w:sz w:val="24"/>
          <w:szCs w:val="24"/>
        </w:rPr>
        <w:t xml:space="preserve">Acerca de la cuestión de la violencia de género contra las mujeres y las niñas en Argentina en el deporte </w:t>
      </w:r>
    </w:p>
    <w:p w14:paraId="00000007" w14:textId="107281EB" w:rsidR="008059F4" w:rsidRDefault="00DB682F">
      <w:pPr>
        <w:spacing w:before="240" w:after="240" w:line="240" w:lineRule="auto"/>
        <w:jc w:val="both"/>
        <w:rPr>
          <w:rFonts w:ascii="Calibri" w:eastAsia="Calibri" w:hAnsi="Calibri" w:cs="Calibri"/>
          <w:color w:val="0A0A0A"/>
          <w:sz w:val="24"/>
          <w:szCs w:val="24"/>
        </w:rPr>
      </w:pPr>
      <w:r>
        <w:rPr>
          <w:rFonts w:ascii="Calibri" w:eastAsia="Calibri" w:hAnsi="Calibri" w:cs="Calibri"/>
          <w:color w:val="0A0A0A"/>
          <w:sz w:val="24"/>
          <w:szCs w:val="24"/>
        </w:rPr>
        <w:t>En relación al ámbito deportivo, resulta importante garantizar un ambiente libre de violencias de género, fomentando condic</w:t>
      </w:r>
      <w:r>
        <w:rPr>
          <w:rFonts w:ascii="Calibri" w:eastAsia="Calibri" w:hAnsi="Calibri" w:cs="Calibri"/>
          <w:color w:val="0A0A0A"/>
          <w:sz w:val="24"/>
          <w:szCs w:val="24"/>
        </w:rPr>
        <w:t>iones de igualdad. En este sentido, Argentina promueve que las instituciones deportivas puedan contar con un protocolo de actuación ante estas situaciones y conformar áreas de género que actúen en el marco de un abordaje integral situado. Mediante la Ley N</w:t>
      </w:r>
      <w:r>
        <w:rPr>
          <w:rFonts w:ascii="Calibri" w:eastAsia="Calibri" w:hAnsi="Calibri" w:cs="Calibri"/>
          <w:color w:val="0A0A0A"/>
          <w:sz w:val="24"/>
          <w:szCs w:val="24"/>
        </w:rPr>
        <w:t>°27.580</w:t>
      </w:r>
      <w:r>
        <w:rPr>
          <w:rFonts w:ascii="Calibri" w:eastAsia="Calibri" w:hAnsi="Calibri" w:cs="Calibri"/>
          <w:color w:val="0A0A0A"/>
          <w:sz w:val="24"/>
          <w:szCs w:val="24"/>
          <w:vertAlign w:val="superscript"/>
        </w:rPr>
        <w:footnoteReference w:id="1"/>
      </w:r>
      <w:r>
        <w:rPr>
          <w:rFonts w:ascii="Calibri" w:eastAsia="Calibri" w:hAnsi="Calibri" w:cs="Calibri"/>
          <w:color w:val="0A0A0A"/>
          <w:sz w:val="24"/>
          <w:szCs w:val="24"/>
        </w:rPr>
        <w:t>, nuestro país, ratificó el Convenio sobre la violencia y el acoso N° 190 de la Organización Internacional del Trabajo (OIT</w:t>
      </w:r>
      <w:r w:rsidR="0002467F">
        <w:rPr>
          <w:rFonts w:ascii="Calibri" w:eastAsia="Calibri" w:hAnsi="Calibri" w:cs="Calibri"/>
          <w:color w:val="0A0A0A"/>
          <w:sz w:val="24"/>
          <w:szCs w:val="24"/>
        </w:rPr>
        <w:t>),</w:t>
      </w:r>
      <w:r>
        <w:rPr>
          <w:rFonts w:ascii="Calibri" w:eastAsia="Calibri" w:hAnsi="Calibri" w:cs="Calibri"/>
          <w:color w:val="0A0A0A"/>
          <w:sz w:val="24"/>
          <w:szCs w:val="24"/>
        </w:rPr>
        <w:t xml:space="preserve"> el cual alude a que las instituciones deportivas puedan concientizarse sobre las responsabilidades respecto a la protecció</w:t>
      </w:r>
      <w:r>
        <w:rPr>
          <w:rFonts w:ascii="Calibri" w:eastAsia="Calibri" w:hAnsi="Calibri" w:cs="Calibri"/>
          <w:color w:val="0A0A0A"/>
          <w:sz w:val="24"/>
          <w:szCs w:val="24"/>
        </w:rPr>
        <w:t xml:space="preserve">n y abordaje de la violencia y el acoso en el trabajo. El Convenio también promueve mecanismos eficientes para detectar las actividades y/o modalidades de trabajo o sectores que estén más expuestas a la violencia y el acoso.  </w:t>
      </w:r>
    </w:p>
    <w:p w14:paraId="00000008" w14:textId="3ACA13D2" w:rsidR="008059F4" w:rsidRDefault="00DB682F">
      <w:p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A0A0A"/>
          <w:sz w:val="24"/>
          <w:szCs w:val="24"/>
        </w:rPr>
        <w:t>Además, debe destacarse la Le</w:t>
      </w:r>
      <w:r>
        <w:rPr>
          <w:rFonts w:ascii="Calibri" w:eastAsia="Calibri" w:hAnsi="Calibri" w:cs="Calibri"/>
          <w:color w:val="0A0A0A"/>
          <w:sz w:val="24"/>
          <w:szCs w:val="24"/>
        </w:rPr>
        <w:t>y N° 26. 485</w:t>
      </w:r>
      <w:r>
        <w:rPr>
          <w:rFonts w:ascii="Calibri" w:eastAsia="Calibri" w:hAnsi="Calibri" w:cs="Calibri"/>
          <w:color w:val="0A0A0A"/>
          <w:sz w:val="24"/>
          <w:szCs w:val="24"/>
          <w:vertAlign w:val="superscript"/>
        </w:rPr>
        <w:footnoteReference w:id="2"/>
      </w:r>
      <w:r>
        <w:rPr>
          <w:rFonts w:ascii="Calibri" w:eastAsia="Calibri" w:hAnsi="Calibri" w:cs="Calibri"/>
          <w:color w:val="0A0A0A"/>
          <w:sz w:val="24"/>
          <w:szCs w:val="24"/>
        </w:rPr>
        <w:t xml:space="preserve"> de Protección Integral para Prevenir, Sancionar y Erradicar la Violencia contra las Mujeres en los ámbitos en que desarrollen sus relaciones interpersonales”, que establece los tipos y modalidades de violencia por motivos de género e incluye </w:t>
      </w:r>
      <w:r>
        <w:rPr>
          <w:rFonts w:ascii="Calibri" w:eastAsia="Calibri" w:hAnsi="Calibri" w:cs="Calibri"/>
          <w:color w:val="0A0A0A"/>
          <w:sz w:val="24"/>
          <w:szCs w:val="24"/>
        </w:rPr>
        <w:t xml:space="preserve">al deporte y a las instituciones deportivas como un ámbito </w:t>
      </w:r>
      <w:r w:rsidR="0002467F">
        <w:rPr>
          <w:rFonts w:ascii="Calibri" w:eastAsia="Calibri" w:hAnsi="Calibri" w:cs="Calibri"/>
          <w:color w:val="0A0A0A"/>
          <w:sz w:val="24"/>
          <w:szCs w:val="24"/>
        </w:rPr>
        <w:t>dónde se</w:t>
      </w:r>
      <w:r>
        <w:rPr>
          <w:rFonts w:ascii="Calibri" w:eastAsia="Calibri" w:hAnsi="Calibri" w:cs="Calibri"/>
          <w:color w:val="0A0A0A"/>
          <w:sz w:val="24"/>
          <w:szCs w:val="24"/>
        </w:rPr>
        <w:t xml:space="preserve"> reproducen. </w:t>
      </w:r>
    </w:p>
    <w:p w14:paraId="00000009" w14:textId="434140A3" w:rsidR="008059F4" w:rsidRDefault="00DB682F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La violencia por motivos de género es una práctica estructural que viola los derechos humanos y las libertades fundamentales de las personas.  Se produce cuando las mujeres y 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niñas sufren algún tipo de discriminación, agresión, hostigamiento o degradación por su identidad de género, expresión de género u orientación sexual. En este sentido, la violencia contra las mujeres </w:t>
      </w:r>
      <w:r w:rsidR="0002467F">
        <w:rPr>
          <w:rFonts w:ascii="Calibri" w:eastAsia="Calibri" w:hAnsi="Calibri" w:cs="Calibri"/>
          <w:sz w:val="24"/>
          <w:szCs w:val="24"/>
          <w:highlight w:val="white"/>
        </w:rPr>
        <w:t>y niñas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consiste </w:t>
      </w:r>
      <w:r w:rsidR="0002467F">
        <w:rPr>
          <w:rFonts w:ascii="Calibri" w:eastAsia="Calibri" w:hAnsi="Calibri" w:cs="Calibri"/>
          <w:sz w:val="24"/>
          <w:szCs w:val="24"/>
          <w:highlight w:val="white"/>
        </w:rPr>
        <w:t>en cualquier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conducta que produzca un d</w:t>
      </w:r>
      <w:r>
        <w:rPr>
          <w:rFonts w:ascii="Calibri" w:eastAsia="Calibri" w:hAnsi="Calibri" w:cs="Calibri"/>
          <w:sz w:val="24"/>
          <w:szCs w:val="24"/>
          <w:highlight w:val="white"/>
        </w:rPr>
        <w:t>año a la persona por el solo hecho de ser mujer (no se trata solo de agresiones físicas)</w:t>
      </w:r>
      <w:r>
        <w:rPr>
          <w:rFonts w:ascii="Calibri" w:eastAsia="Calibri" w:hAnsi="Calibri" w:cs="Calibri"/>
          <w:sz w:val="24"/>
          <w:szCs w:val="24"/>
          <w:highlight w:val="white"/>
          <w:vertAlign w:val="superscript"/>
        </w:rPr>
        <w:footnoteReference w:id="3"/>
      </w:r>
      <w:r>
        <w:rPr>
          <w:rFonts w:ascii="Calibri" w:eastAsia="Calibri" w:hAnsi="Calibri" w:cs="Calibri"/>
          <w:sz w:val="24"/>
          <w:szCs w:val="24"/>
          <w:highlight w:val="white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      </w:t>
      </w:r>
    </w:p>
    <w:p w14:paraId="0000000A" w14:textId="77777777" w:rsidR="008059F4" w:rsidRDefault="00DB682F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 relación a</w:t>
      </w:r>
      <w:r>
        <w:rPr>
          <w:rFonts w:ascii="Calibri" w:eastAsia="Calibri" w:hAnsi="Calibri" w:cs="Calibri"/>
          <w:sz w:val="24"/>
          <w:szCs w:val="24"/>
        </w:rPr>
        <w:t xml:space="preserve"> los derechos humanos vulnerados pueden presentarse diversos delitos penalizados por el Código Penal: abusos sexuales, abusos sexuales agravados (Art. 119), ciberacoso sexual infantil o grooming (Art.131), promoción y facilitación de la prostitución (Art. </w:t>
      </w:r>
      <w:r>
        <w:rPr>
          <w:rFonts w:ascii="Calibri" w:eastAsia="Calibri" w:hAnsi="Calibri" w:cs="Calibri"/>
          <w:sz w:val="24"/>
          <w:szCs w:val="24"/>
        </w:rPr>
        <w:t xml:space="preserve">125 bis), corrupción de menores (Art. 125). (Art. 128), exhibiciones obscenas (Art. 129), sustracción o retención de una persona con la intención de menoscabar su integridad sexual (Art. 130).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 xml:space="preserve">    </w:t>
      </w:r>
    </w:p>
    <w:p w14:paraId="0000000B" w14:textId="77777777" w:rsidR="008059F4" w:rsidRDefault="00DB682F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Por su parte, los actores estatales se focalizan en la transformación y en la aplicación del criterio de igualdad de oportunidades entre varones y mujeres con el propósito de lograr la equidad.  </w:t>
      </w:r>
    </w:p>
    <w:p w14:paraId="0000000C" w14:textId="77777777" w:rsidR="008059F4" w:rsidRDefault="00DB682F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 este sentido, el ex Ministerio de las Mujeres, Géner</w:t>
      </w:r>
      <w:r>
        <w:rPr>
          <w:rFonts w:ascii="Calibri" w:eastAsia="Calibri" w:hAnsi="Calibri" w:cs="Calibri"/>
          <w:sz w:val="24"/>
          <w:szCs w:val="24"/>
        </w:rPr>
        <w:t xml:space="preserve">os y Diversidad impulsó junto al Ex- Ministerio de Turismo y Deportes el </w:t>
      </w:r>
      <w:r>
        <w:rPr>
          <w:rFonts w:ascii="Calibri" w:eastAsia="Calibri" w:hAnsi="Calibri" w:cs="Calibri"/>
          <w:b/>
          <w:sz w:val="24"/>
          <w:szCs w:val="24"/>
        </w:rPr>
        <w:t>Programa Interministerial para la Prevención de la Violencia y la Promoción de la Igualdad de Género</w:t>
      </w:r>
      <w:r>
        <w:rPr>
          <w:rFonts w:ascii="Calibri" w:eastAsia="Calibri" w:hAnsi="Calibri" w:cs="Calibri"/>
          <w:sz w:val="24"/>
          <w:szCs w:val="24"/>
        </w:rPr>
        <w:t>, a partir de la Resolución Conjunta 5/2020</w:t>
      </w:r>
      <w:r>
        <w:rPr>
          <w:rFonts w:ascii="Calibri" w:eastAsia="Calibri" w:hAnsi="Calibri" w:cs="Calibri"/>
          <w:sz w:val="24"/>
          <w:szCs w:val="24"/>
          <w:vertAlign w:val="superscript"/>
        </w:rPr>
        <w:footnoteReference w:id="4"/>
      </w:r>
      <w:r>
        <w:rPr>
          <w:rFonts w:ascii="Calibri" w:eastAsia="Calibri" w:hAnsi="Calibri" w:cs="Calibri"/>
          <w:sz w:val="24"/>
          <w:szCs w:val="24"/>
        </w:rPr>
        <w:t>, con el propósito de efectuar acciones</w:t>
      </w:r>
      <w:r>
        <w:rPr>
          <w:rFonts w:ascii="Calibri" w:eastAsia="Calibri" w:hAnsi="Calibri" w:cs="Calibri"/>
          <w:sz w:val="24"/>
          <w:szCs w:val="24"/>
        </w:rPr>
        <w:t xml:space="preserve"> de prevención y la promoción de la igualdad de género en el deporte. </w:t>
      </w:r>
    </w:p>
    <w:p w14:paraId="0000000D" w14:textId="64EDFD6F" w:rsidR="008059F4" w:rsidRDefault="00DB682F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En el marco del </w:t>
      </w:r>
      <w:r w:rsidR="0002467F">
        <w:rPr>
          <w:rFonts w:ascii="Calibri" w:eastAsia="Calibri" w:hAnsi="Calibri" w:cs="Calibri"/>
          <w:sz w:val="24"/>
          <w:szCs w:val="24"/>
        </w:rPr>
        <w:t>programa,</w:t>
      </w:r>
      <w:r>
        <w:rPr>
          <w:rFonts w:ascii="Calibri" w:eastAsia="Calibri" w:hAnsi="Calibri" w:cs="Calibri"/>
          <w:sz w:val="24"/>
          <w:szCs w:val="24"/>
        </w:rPr>
        <w:t xml:space="preserve"> se realizaron diferentes acciones: </w:t>
      </w:r>
    </w:p>
    <w:p w14:paraId="0000000E" w14:textId="77777777" w:rsidR="008059F4" w:rsidRDefault="00DB682F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 realizaron capacitaciones a Mujeres, Organizaciones de la Sociedad Civil e instituciones del ámbito deportivo en distint</w:t>
      </w:r>
      <w:r>
        <w:rPr>
          <w:rFonts w:ascii="Calibri" w:eastAsia="Calibri" w:hAnsi="Calibri" w:cs="Calibri"/>
          <w:sz w:val="24"/>
          <w:szCs w:val="24"/>
        </w:rPr>
        <w:t>as provincias del país</w:t>
      </w:r>
    </w:p>
    <w:p w14:paraId="0000000F" w14:textId="2ED8B6F4" w:rsidR="008059F4" w:rsidRDefault="00DB682F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 asistió técnicamente para adecuar la normativa interna de funcionamiento de los distintos organismos con perspectiva de género para la promoción de la inclusión y el desarrollo de mujeres en el ámbito </w:t>
      </w:r>
      <w:r w:rsidR="0002467F">
        <w:rPr>
          <w:rFonts w:ascii="Calibri" w:eastAsia="Calibri" w:hAnsi="Calibri" w:cs="Calibri"/>
          <w:sz w:val="24"/>
          <w:szCs w:val="24"/>
        </w:rPr>
        <w:t>deportivo en</w:t>
      </w:r>
      <w:r>
        <w:rPr>
          <w:rFonts w:ascii="Calibri" w:eastAsia="Calibri" w:hAnsi="Calibri" w:cs="Calibri"/>
          <w:sz w:val="24"/>
          <w:szCs w:val="24"/>
        </w:rPr>
        <w:t xml:space="preserve"> los siguientes c</w:t>
      </w:r>
      <w:r>
        <w:rPr>
          <w:rFonts w:ascii="Calibri" w:eastAsia="Calibri" w:hAnsi="Calibri" w:cs="Calibri"/>
          <w:sz w:val="24"/>
          <w:szCs w:val="24"/>
        </w:rPr>
        <w:t>lubes deportivos: Estudiantes de La Plata, Nueva Chicago, Lanús, Ferro, Midland, Premier</w:t>
      </w:r>
    </w:p>
    <w:p w14:paraId="00000010" w14:textId="4390A811" w:rsidR="008059F4" w:rsidRDefault="00DB682F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 efectuaron capacitaciones para que las </w:t>
      </w:r>
      <w:r w:rsidR="0002467F">
        <w:rPr>
          <w:rFonts w:ascii="Calibri" w:eastAsia="Calibri" w:hAnsi="Calibri" w:cs="Calibri"/>
          <w:sz w:val="24"/>
          <w:szCs w:val="24"/>
        </w:rPr>
        <w:t>instituciones puedan</w:t>
      </w:r>
      <w:r>
        <w:rPr>
          <w:rFonts w:ascii="Calibri" w:eastAsia="Calibri" w:hAnsi="Calibri" w:cs="Calibri"/>
          <w:sz w:val="24"/>
          <w:szCs w:val="24"/>
        </w:rPr>
        <w:t xml:space="preserve"> conformar áreas de género y capacitar a </w:t>
      </w:r>
      <w:r w:rsidR="0002467F">
        <w:rPr>
          <w:rFonts w:ascii="Calibri" w:eastAsia="Calibri" w:hAnsi="Calibri" w:cs="Calibri"/>
          <w:sz w:val="24"/>
          <w:szCs w:val="24"/>
        </w:rPr>
        <w:t>referentes para</w:t>
      </w:r>
      <w:r>
        <w:rPr>
          <w:rFonts w:ascii="Calibri" w:eastAsia="Calibri" w:hAnsi="Calibri" w:cs="Calibri"/>
          <w:sz w:val="24"/>
          <w:szCs w:val="24"/>
        </w:rPr>
        <w:t xml:space="preserve"> trabajar la temática</w:t>
      </w:r>
    </w:p>
    <w:p w14:paraId="00000011" w14:textId="2472A32C" w:rsidR="008059F4" w:rsidRDefault="00DB682F">
      <w:pPr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 emprendieron diferentes </w:t>
      </w:r>
      <w:r>
        <w:rPr>
          <w:rFonts w:ascii="Calibri" w:eastAsia="Calibri" w:hAnsi="Calibri" w:cs="Calibri"/>
          <w:sz w:val="24"/>
          <w:szCs w:val="24"/>
        </w:rPr>
        <w:t>campañas:  a)Día Internacional de la Homofobia en el Fútbol: En el marco del Día Internacional de la Homofobia en el Fútbol (19/02), se coordinó una acción en redes sociales para propiciar una conversación sobre las orientaciones sexuales diversas en el am</w:t>
      </w:r>
      <w:r>
        <w:rPr>
          <w:rFonts w:ascii="Calibri" w:eastAsia="Calibri" w:hAnsi="Calibri" w:cs="Calibri"/>
          <w:sz w:val="24"/>
          <w:szCs w:val="24"/>
        </w:rPr>
        <w:t>biente deportivo (específicamente, en el fútbol), el contraste  entre homofobia/discriminación por orientación sexual, la relación entre los estereotipos de género en los deportes y las nuevas formas de entender las masculinidades sin violencias. Participa</w:t>
      </w:r>
      <w:r>
        <w:rPr>
          <w:rFonts w:ascii="Calibri" w:eastAsia="Calibri" w:hAnsi="Calibri" w:cs="Calibri"/>
          <w:sz w:val="24"/>
          <w:szCs w:val="24"/>
        </w:rPr>
        <w:t xml:space="preserve">ron futbolistas de primera división y periodistas deportivos con diversas identidades de género y orientaciones sexuales. </w:t>
      </w:r>
      <w:r w:rsidR="0002467F">
        <w:rPr>
          <w:rFonts w:ascii="Calibri" w:eastAsia="Calibri" w:hAnsi="Calibri" w:cs="Calibri"/>
          <w:sz w:val="24"/>
          <w:szCs w:val="24"/>
        </w:rPr>
        <w:t>b) Campaña</w:t>
      </w:r>
      <w:r>
        <w:rPr>
          <w:rFonts w:ascii="Calibri" w:eastAsia="Calibri" w:hAnsi="Calibri" w:cs="Calibri"/>
          <w:sz w:val="24"/>
          <w:szCs w:val="24"/>
        </w:rPr>
        <w:t xml:space="preserve"> Mujeres Olímpicas:  en el marco de los Juegos Olímpicos </w:t>
      </w:r>
      <w:proofErr w:type="spellStart"/>
      <w:r>
        <w:rPr>
          <w:rFonts w:ascii="Calibri" w:eastAsia="Calibri" w:hAnsi="Calibri" w:cs="Calibri"/>
          <w:sz w:val="24"/>
          <w:szCs w:val="24"/>
        </w:rPr>
        <w:t>Tokyo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2020 se visibilizaron los nombres y recorridos de las más de </w:t>
      </w:r>
      <w:r>
        <w:rPr>
          <w:rFonts w:ascii="Calibri" w:eastAsia="Calibri" w:hAnsi="Calibri" w:cs="Calibri"/>
          <w:sz w:val="24"/>
          <w:szCs w:val="24"/>
        </w:rPr>
        <w:t xml:space="preserve">50 deportistas argentinas que participaron en ellos. </w:t>
      </w:r>
    </w:p>
    <w:p w14:paraId="00000012" w14:textId="31139B8F" w:rsidR="008059F4" w:rsidRDefault="00DB682F">
      <w:pPr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Cuadernillo publicado</w:t>
      </w:r>
      <w:r w:rsidR="0002467F">
        <w:rPr>
          <w:rFonts w:ascii="Calibri" w:eastAsia="Calibri" w:hAnsi="Calibri" w:cs="Calibri"/>
          <w:sz w:val="24"/>
          <w:szCs w:val="24"/>
        </w:rPr>
        <w:t>: “</w:t>
      </w:r>
      <w:r>
        <w:rPr>
          <w:rFonts w:ascii="Calibri" w:eastAsia="Calibri" w:hAnsi="Calibri" w:cs="Calibri"/>
          <w:b/>
          <w:sz w:val="24"/>
          <w:szCs w:val="24"/>
        </w:rPr>
        <w:t>Guía para hacer talleres: perspectiva de género y diversidad en el deporte</w:t>
      </w:r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z w:val="24"/>
          <w:szCs w:val="24"/>
          <w:vertAlign w:val="superscript"/>
        </w:rPr>
        <w:footnoteReference w:id="5"/>
      </w:r>
      <w:r>
        <w:rPr>
          <w:rFonts w:ascii="Calibri" w:eastAsia="Calibri" w:hAnsi="Calibri" w:cs="Calibri"/>
          <w:sz w:val="24"/>
          <w:szCs w:val="24"/>
        </w:rPr>
        <w:t xml:space="preserve"> , cuyo objetivo consistió en realizar aportes concretos para identificar las desigualdades y violenci</w:t>
      </w:r>
      <w:r>
        <w:rPr>
          <w:rFonts w:ascii="Calibri" w:eastAsia="Calibri" w:hAnsi="Calibri" w:cs="Calibri"/>
          <w:sz w:val="24"/>
          <w:szCs w:val="24"/>
        </w:rPr>
        <w:t xml:space="preserve">as de género y elaborar estrategias para su erradicación. </w:t>
      </w:r>
    </w:p>
    <w:p w14:paraId="00000013" w14:textId="321C8AA7" w:rsidR="008059F4" w:rsidRDefault="00DB682F">
      <w:pPr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 </w:t>
      </w:r>
      <w:r w:rsidR="0002467F">
        <w:rPr>
          <w:rFonts w:ascii="Calibri" w:eastAsia="Calibri" w:hAnsi="Calibri" w:cs="Calibri"/>
          <w:sz w:val="24"/>
          <w:szCs w:val="24"/>
        </w:rPr>
        <w:t>elaboró una</w:t>
      </w:r>
      <w:r>
        <w:rPr>
          <w:rFonts w:ascii="Calibri" w:eastAsia="Calibri" w:hAnsi="Calibri" w:cs="Calibri"/>
          <w:sz w:val="24"/>
          <w:szCs w:val="24"/>
        </w:rPr>
        <w:t xml:space="preserve"> “</w:t>
      </w:r>
      <w:r>
        <w:rPr>
          <w:rFonts w:ascii="Calibri" w:eastAsia="Calibri" w:hAnsi="Calibri" w:cs="Calibri"/>
          <w:b/>
          <w:sz w:val="24"/>
          <w:szCs w:val="24"/>
        </w:rPr>
        <w:t>Guía para el Abordaje Integral de las violencias por motivos de género en instituciones deportivas</w:t>
      </w:r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z w:val="24"/>
          <w:szCs w:val="24"/>
          <w:vertAlign w:val="superscript"/>
        </w:rPr>
        <w:footnoteReference w:id="6"/>
      </w:r>
      <w:r>
        <w:rPr>
          <w:rFonts w:ascii="Calibri" w:eastAsia="Calibri" w:hAnsi="Calibri" w:cs="Calibri"/>
          <w:sz w:val="24"/>
          <w:szCs w:val="24"/>
        </w:rPr>
        <w:t>.  Su contenido y orientaciones buscaron complementar y fortalecer el trabajo desarrollado en la “Guía para construir un protocolo de prevención e intervención ante situaciones de violencia de género en instituciones deportivas”, el “Decálogo de buenas prá</w:t>
      </w:r>
      <w:r>
        <w:rPr>
          <w:rFonts w:ascii="Calibri" w:eastAsia="Calibri" w:hAnsi="Calibri" w:cs="Calibri"/>
          <w:sz w:val="24"/>
          <w:szCs w:val="24"/>
        </w:rPr>
        <w:t xml:space="preserve">cticas para prevenir y erradicar la violencia de género en el deporte” y los cuadernillos </w:t>
      </w:r>
      <w:proofErr w:type="spellStart"/>
      <w:r>
        <w:rPr>
          <w:rFonts w:ascii="Calibri" w:eastAsia="Calibri" w:hAnsi="Calibri" w:cs="Calibri"/>
          <w:sz w:val="24"/>
          <w:szCs w:val="24"/>
        </w:rPr>
        <w:t>Nro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1, 2 y 3 “ABRIR EL JUEGO Estrategias para la erradicación de la violencia de género y la construcción de un deporte más justo”  publicados por la Ex- Secretaría d</w:t>
      </w:r>
      <w:r>
        <w:rPr>
          <w:rFonts w:ascii="Calibri" w:eastAsia="Calibri" w:hAnsi="Calibri" w:cs="Calibri"/>
          <w:sz w:val="24"/>
          <w:szCs w:val="24"/>
        </w:rPr>
        <w:t>e Deportes en el año 2020.</w:t>
      </w:r>
    </w:p>
    <w:p w14:paraId="00000014" w14:textId="7702ABAE" w:rsidR="008059F4" w:rsidRDefault="00DB682F">
      <w:pPr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Micaela Deportes,</w:t>
      </w:r>
      <w:r>
        <w:rPr>
          <w:rFonts w:ascii="Calibri" w:eastAsia="Calibri" w:hAnsi="Calibri" w:cs="Calibri"/>
          <w:sz w:val="24"/>
          <w:szCs w:val="24"/>
        </w:rPr>
        <w:t xml:space="preserve"> en el marco de la implementación de la Ley N° 27.499 (Ley Micaela), se elaboró este </w:t>
      </w:r>
      <w:r w:rsidR="0002467F">
        <w:rPr>
          <w:rFonts w:ascii="Calibri" w:eastAsia="Calibri" w:hAnsi="Calibri" w:cs="Calibri"/>
          <w:sz w:val="24"/>
          <w:szCs w:val="24"/>
        </w:rPr>
        <w:t>dispositivo.</w:t>
      </w:r>
      <w:r>
        <w:rPr>
          <w:rFonts w:ascii="Calibri" w:eastAsia="Calibri" w:hAnsi="Calibri" w:cs="Calibri"/>
          <w:sz w:val="24"/>
          <w:szCs w:val="24"/>
        </w:rPr>
        <w:t xml:space="preserve"> El objetivo de este curso consistió en que los participantes incorporen herramientas para la revisión, reflexión y</w:t>
      </w:r>
      <w:r>
        <w:rPr>
          <w:rFonts w:ascii="Calibri" w:eastAsia="Calibri" w:hAnsi="Calibri" w:cs="Calibri"/>
          <w:sz w:val="24"/>
          <w:szCs w:val="24"/>
        </w:rPr>
        <w:t xml:space="preserve"> el abordaje de obstáculos en el acceso al deporte y el desarrollo de trayectorias deportivas sin discriminación y violencia por razones de género y orientación sexual.</w:t>
      </w:r>
    </w:p>
    <w:p w14:paraId="00000015" w14:textId="77777777" w:rsidR="008059F4" w:rsidRDefault="00DB682F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Intervención en casos específicos de deportistas en conflicto con clubes y/o ligas.    </w:t>
      </w:r>
      <w:r>
        <w:rPr>
          <w:rFonts w:ascii="Calibri" w:eastAsia="Calibri" w:hAnsi="Calibri" w:cs="Calibri"/>
          <w:sz w:val="24"/>
          <w:szCs w:val="24"/>
        </w:rPr>
        <w:t xml:space="preserve">    </w:t>
      </w:r>
    </w:p>
    <w:p w14:paraId="00000016" w14:textId="5F570AC1" w:rsidR="008059F4" w:rsidRDefault="00DB682F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 impulsó la </w:t>
      </w:r>
      <w:r>
        <w:rPr>
          <w:rFonts w:ascii="Calibri" w:eastAsia="Calibri" w:hAnsi="Calibri" w:cs="Calibri"/>
          <w:b/>
          <w:sz w:val="24"/>
          <w:szCs w:val="24"/>
        </w:rPr>
        <w:t xml:space="preserve">Red Federal de Deporte y Diversidad “Tercer Tiempo” </w:t>
      </w:r>
      <w:r>
        <w:rPr>
          <w:rFonts w:ascii="Calibri" w:eastAsia="Calibri" w:hAnsi="Calibri" w:cs="Calibri"/>
          <w:sz w:val="24"/>
          <w:szCs w:val="24"/>
        </w:rPr>
        <w:t xml:space="preserve">que nuclea organizaciones civiles y más de 20 equipos de distintas provincias del país: </w:t>
      </w:r>
      <w:r w:rsidR="0002467F">
        <w:rPr>
          <w:rFonts w:ascii="Calibri" w:eastAsia="Calibri" w:hAnsi="Calibri" w:cs="Calibri"/>
          <w:sz w:val="24"/>
          <w:szCs w:val="24"/>
        </w:rPr>
        <w:t>a) Talleres</w:t>
      </w:r>
      <w:r>
        <w:rPr>
          <w:rFonts w:ascii="Calibri" w:eastAsia="Calibri" w:hAnsi="Calibri" w:cs="Calibri"/>
          <w:sz w:val="24"/>
          <w:szCs w:val="24"/>
        </w:rPr>
        <w:t xml:space="preserve"> con perspectiva de género y diversidad en el deporte, b) Información y asesoramiento para la organización y el desarrollo de </w:t>
      </w:r>
      <w:proofErr w:type="gramStart"/>
      <w:r>
        <w:rPr>
          <w:rFonts w:ascii="Calibri" w:eastAsia="Calibri" w:hAnsi="Calibri" w:cs="Calibri"/>
          <w:sz w:val="24"/>
          <w:szCs w:val="24"/>
        </w:rPr>
        <w:t>torneos  dirigida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 deportistas, entrenadores, árbitros, organizadores, etc. El </w:t>
      </w:r>
      <w:proofErr w:type="spellStart"/>
      <w:r>
        <w:rPr>
          <w:rFonts w:ascii="Calibri" w:eastAsia="Calibri" w:hAnsi="Calibri" w:cs="Calibri"/>
          <w:sz w:val="24"/>
          <w:szCs w:val="24"/>
        </w:rPr>
        <w:t>proposito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la Red consistió en ofrecer herramien</w:t>
      </w:r>
      <w:r>
        <w:rPr>
          <w:rFonts w:ascii="Calibri" w:eastAsia="Calibri" w:hAnsi="Calibri" w:cs="Calibri"/>
          <w:sz w:val="24"/>
          <w:szCs w:val="24"/>
        </w:rPr>
        <w:t>tas teóricas para el abordaje de obstáculos; fomentar un modelo deportivo que promueva la visibilidad, la lucha contra la discriminación y la violencia por razones de género y diversidad; promover el deporte y la actividad física como un valor para la part</w:t>
      </w:r>
      <w:r>
        <w:rPr>
          <w:rFonts w:ascii="Calibri" w:eastAsia="Calibri" w:hAnsi="Calibri" w:cs="Calibri"/>
          <w:sz w:val="24"/>
          <w:szCs w:val="24"/>
        </w:rPr>
        <w:t>icipación social, la salud integral y recreación.</w:t>
      </w:r>
    </w:p>
    <w:p w14:paraId="00000017" w14:textId="77777777" w:rsidR="008059F4" w:rsidRDefault="00DB682F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 impulsó políticas de abordaje integral de las situaciones de violencias por motivos de género en el ámbito deportivo.</w:t>
      </w:r>
    </w:p>
    <w:p w14:paraId="00000018" w14:textId="77777777" w:rsidR="008059F4" w:rsidRDefault="008059F4">
      <w:pPr>
        <w:shd w:val="clear" w:color="auto" w:fill="FFFFFF"/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00000019" w14:textId="77777777" w:rsidR="008059F4" w:rsidRDefault="00DB682F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 ex Ministerio de las Mujeres, Géneros y Diversidad en 2022 lanzó la</w:t>
      </w:r>
      <w:r>
        <w:rPr>
          <w:rFonts w:ascii="Calibri" w:eastAsia="Calibri" w:hAnsi="Calibri" w:cs="Calibri"/>
          <w:b/>
          <w:sz w:val="24"/>
          <w:szCs w:val="24"/>
        </w:rPr>
        <w:t xml:space="preserve"> Campaña “La I</w:t>
      </w:r>
      <w:r>
        <w:rPr>
          <w:rFonts w:ascii="Calibri" w:eastAsia="Calibri" w:hAnsi="Calibri" w:cs="Calibri"/>
          <w:b/>
          <w:sz w:val="24"/>
          <w:szCs w:val="24"/>
        </w:rPr>
        <w:t>gualdad es Mundial</w:t>
      </w:r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z w:val="24"/>
          <w:szCs w:val="24"/>
          <w:vertAlign w:val="superscript"/>
        </w:rPr>
        <w:footnoteReference w:id="7"/>
      </w:r>
      <w:r>
        <w:rPr>
          <w:rFonts w:ascii="Calibri" w:eastAsia="Calibri" w:hAnsi="Calibri" w:cs="Calibri"/>
          <w:sz w:val="24"/>
          <w:szCs w:val="24"/>
        </w:rPr>
        <w:t xml:space="preserve"> durante el mundial de fútbol masculino Qatar 2022 haciendo foco en la igualdad y la participación de mujeres y diversidades en el deporte (tanto jugadores como hinchas), y rompiendo con los estereotipos de que el fútbol es solamente de</w:t>
      </w:r>
      <w:r>
        <w:rPr>
          <w:rFonts w:ascii="Calibri" w:eastAsia="Calibri" w:hAnsi="Calibri" w:cs="Calibri"/>
          <w:sz w:val="24"/>
          <w:szCs w:val="24"/>
        </w:rPr>
        <w:t xml:space="preserve"> varones para varones.</w:t>
      </w:r>
    </w:p>
    <w:p w14:paraId="0000001A" w14:textId="77777777" w:rsidR="008059F4" w:rsidRDefault="00DB68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 este sentido, el estado argentino trabaja en la transformación y la aplicación del criterio de igualdad de oportunidades de todas las personas para el logro de la equidad en el deporte, entendiendo la importancia de la articulació</w:t>
      </w:r>
      <w:r>
        <w:rPr>
          <w:rFonts w:ascii="Calibri" w:eastAsia="Calibri" w:hAnsi="Calibri" w:cs="Calibri"/>
          <w:sz w:val="24"/>
          <w:szCs w:val="24"/>
        </w:rPr>
        <w:t>n de acciones con todos los sectores del ámbito público, garantizando el cumplimiento de la normativa nacional e internacional vigente en materia de políticas de género, igualdad y diversidad.</w:t>
      </w:r>
    </w:p>
    <w:p w14:paraId="0000001B" w14:textId="77777777" w:rsidR="008059F4" w:rsidRDefault="008059F4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1C" w14:textId="4BF1106F" w:rsidR="008059F4" w:rsidRDefault="00DB682F">
      <w:pPr>
        <w:spacing w:after="160" w:line="240" w:lineRule="auto"/>
        <w:jc w:val="both"/>
        <w:rPr>
          <w:rFonts w:ascii="Calibri" w:eastAsia="Calibri" w:hAnsi="Calibri" w:cs="Calibri"/>
          <w:b/>
          <w:color w:val="0A0A0A"/>
          <w:sz w:val="24"/>
          <w:szCs w:val="24"/>
        </w:rPr>
      </w:pPr>
      <w:r>
        <w:rPr>
          <w:rFonts w:ascii="Calibri" w:eastAsia="Calibri" w:hAnsi="Calibri" w:cs="Calibri"/>
          <w:b/>
          <w:color w:val="0A0A0A"/>
          <w:sz w:val="24"/>
          <w:szCs w:val="24"/>
        </w:rPr>
        <w:t xml:space="preserve">Marco normativo </w:t>
      </w:r>
      <w:r w:rsidR="0002467F">
        <w:rPr>
          <w:rFonts w:ascii="Calibri" w:eastAsia="Calibri" w:hAnsi="Calibri" w:cs="Calibri"/>
          <w:b/>
          <w:color w:val="0A0A0A"/>
          <w:sz w:val="24"/>
          <w:szCs w:val="24"/>
        </w:rPr>
        <w:t>nacional de</w:t>
      </w:r>
      <w:r>
        <w:rPr>
          <w:rFonts w:ascii="Calibri" w:eastAsia="Calibri" w:hAnsi="Calibri" w:cs="Calibri"/>
          <w:b/>
          <w:color w:val="0A0A0A"/>
          <w:sz w:val="24"/>
          <w:szCs w:val="24"/>
        </w:rPr>
        <w:t xml:space="preserve"> referencia en materia de deportes </w:t>
      </w:r>
      <w:r>
        <w:rPr>
          <w:rFonts w:ascii="Calibri" w:eastAsia="Calibri" w:hAnsi="Calibri" w:cs="Calibri"/>
          <w:b/>
          <w:color w:val="0A0A0A"/>
          <w:sz w:val="24"/>
          <w:szCs w:val="24"/>
        </w:rPr>
        <w:t xml:space="preserve">y violencia de género.                      </w:t>
      </w:r>
    </w:p>
    <w:p w14:paraId="0000001D" w14:textId="77777777" w:rsidR="008059F4" w:rsidRDefault="00DB682F">
      <w:pPr>
        <w:spacing w:before="240" w:after="240" w:line="240" w:lineRule="auto"/>
        <w:jc w:val="both"/>
        <w:rPr>
          <w:rFonts w:ascii="Calibri" w:eastAsia="Calibri" w:hAnsi="Calibri" w:cs="Calibri"/>
          <w:color w:val="0A0A0A"/>
          <w:sz w:val="24"/>
          <w:szCs w:val="24"/>
        </w:rPr>
      </w:pPr>
      <w:r>
        <w:rPr>
          <w:rFonts w:ascii="Calibri" w:eastAsia="Calibri" w:hAnsi="Calibri" w:cs="Calibri"/>
          <w:color w:val="0A0A0A"/>
          <w:sz w:val="24"/>
          <w:szCs w:val="24"/>
        </w:rPr>
        <w:t>• Ley Nº27.202 (2015) modificatoria de la Ley Nº 20.655 del Deporte (1974).</w:t>
      </w:r>
    </w:p>
    <w:p w14:paraId="0000001E" w14:textId="77777777" w:rsidR="008059F4" w:rsidRDefault="00DB682F">
      <w:pPr>
        <w:spacing w:before="240" w:after="240" w:line="240" w:lineRule="auto"/>
        <w:jc w:val="both"/>
        <w:rPr>
          <w:rFonts w:ascii="Calibri" w:eastAsia="Calibri" w:hAnsi="Calibri" w:cs="Calibri"/>
          <w:color w:val="0A0A0A"/>
          <w:sz w:val="24"/>
          <w:szCs w:val="24"/>
        </w:rPr>
      </w:pPr>
      <w:r>
        <w:rPr>
          <w:rFonts w:ascii="Calibri" w:eastAsia="Calibri" w:hAnsi="Calibri" w:cs="Calibri"/>
          <w:color w:val="0A0A0A"/>
          <w:sz w:val="24"/>
          <w:szCs w:val="24"/>
        </w:rPr>
        <w:t>• Ley Nº26.061 de Protección Integral de Niñas, Niños y Adolescentes (2005).</w:t>
      </w:r>
    </w:p>
    <w:p w14:paraId="0000001F" w14:textId="77777777" w:rsidR="008059F4" w:rsidRDefault="00DB682F">
      <w:pPr>
        <w:spacing w:before="240" w:after="240" w:line="240" w:lineRule="auto"/>
        <w:jc w:val="both"/>
        <w:rPr>
          <w:rFonts w:ascii="Calibri" w:eastAsia="Calibri" w:hAnsi="Calibri" w:cs="Calibri"/>
          <w:color w:val="0A0A0A"/>
          <w:sz w:val="24"/>
          <w:szCs w:val="24"/>
        </w:rPr>
      </w:pPr>
      <w:r>
        <w:rPr>
          <w:rFonts w:ascii="Calibri" w:eastAsia="Calibri" w:hAnsi="Calibri" w:cs="Calibri"/>
          <w:color w:val="0A0A0A"/>
          <w:sz w:val="24"/>
          <w:szCs w:val="24"/>
        </w:rPr>
        <w:t>• Ley N°26.485 de Protección Integral para Prevenir, Sanci</w:t>
      </w:r>
      <w:r>
        <w:rPr>
          <w:rFonts w:ascii="Calibri" w:eastAsia="Calibri" w:hAnsi="Calibri" w:cs="Calibri"/>
          <w:color w:val="0A0A0A"/>
          <w:sz w:val="24"/>
          <w:szCs w:val="24"/>
        </w:rPr>
        <w:t>onar y Erradicar la Violencia contra las Mujeres en todos los Ámbitos en que se Desarrollen sus Relaciones Interpersonales (2009).</w:t>
      </w:r>
    </w:p>
    <w:p w14:paraId="00000020" w14:textId="77777777" w:rsidR="008059F4" w:rsidRDefault="00DB682F">
      <w:pPr>
        <w:spacing w:before="240" w:after="240" w:line="240" w:lineRule="auto"/>
        <w:jc w:val="both"/>
        <w:rPr>
          <w:rFonts w:ascii="Calibri" w:eastAsia="Calibri" w:hAnsi="Calibri" w:cs="Calibri"/>
          <w:color w:val="0A0A0A"/>
          <w:sz w:val="24"/>
          <w:szCs w:val="24"/>
        </w:rPr>
      </w:pPr>
      <w:r>
        <w:rPr>
          <w:rFonts w:ascii="Calibri" w:eastAsia="Calibri" w:hAnsi="Calibri" w:cs="Calibri"/>
          <w:color w:val="0A0A0A"/>
          <w:sz w:val="24"/>
          <w:szCs w:val="24"/>
        </w:rPr>
        <w:t>• Ley N°26.364 de Prevención y Sanción de la Trata de Personas y Asistencia a sus Víctimas, (2008) modificada por la Ley N°26</w:t>
      </w:r>
      <w:r>
        <w:rPr>
          <w:rFonts w:ascii="Calibri" w:eastAsia="Calibri" w:hAnsi="Calibri" w:cs="Calibri"/>
          <w:color w:val="0A0A0A"/>
          <w:sz w:val="24"/>
          <w:szCs w:val="24"/>
        </w:rPr>
        <w:t>.842 (2012).</w:t>
      </w:r>
    </w:p>
    <w:p w14:paraId="00000021" w14:textId="77777777" w:rsidR="008059F4" w:rsidRDefault="00DB682F">
      <w:pPr>
        <w:spacing w:before="240" w:after="240" w:line="240" w:lineRule="auto"/>
        <w:jc w:val="both"/>
        <w:rPr>
          <w:rFonts w:ascii="Calibri" w:eastAsia="Calibri" w:hAnsi="Calibri" w:cs="Calibri"/>
          <w:color w:val="0A0A0A"/>
          <w:sz w:val="24"/>
          <w:szCs w:val="24"/>
        </w:rPr>
      </w:pPr>
      <w:r>
        <w:rPr>
          <w:rFonts w:ascii="Calibri" w:eastAsia="Calibri" w:hAnsi="Calibri" w:cs="Calibri"/>
          <w:color w:val="0A0A0A"/>
          <w:sz w:val="24"/>
          <w:szCs w:val="24"/>
        </w:rPr>
        <w:t xml:space="preserve">• Ley N°26.743 de Identidad de Género, que reconoce el derecho a la identidad de género </w:t>
      </w:r>
      <w:proofErr w:type="spellStart"/>
      <w:r>
        <w:rPr>
          <w:rFonts w:ascii="Calibri" w:eastAsia="Calibri" w:hAnsi="Calibri" w:cs="Calibri"/>
          <w:color w:val="0A0A0A"/>
          <w:sz w:val="24"/>
          <w:szCs w:val="24"/>
        </w:rPr>
        <w:t>autopercibida</w:t>
      </w:r>
      <w:proofErr w:type="spellEnd"/>
      <w:r>
        <w:rPr>
          <w:rFonts w:ascii="Calibri" w:eastAsia="Calibri" w:hAnsi="Calibri" w:cs="Calibri"/>
          <w:color w:val="0A0A0A"/>
          <w:sz w:val="24"/>
          <w:szCs w:val="24"/>
        </w:rPr>
        <w:t xml:space="preserve"> de cada persona y a un trato digno conforme a ella (2012).</w:t>
      </w:r>
    </w:p>
    <w:p w14:paraId="00000022" w14:textId="77777777" w:rsidR="008059F4" w:rsidRDefault="00DB682F">
      <w:pPr>
        <w:spacing w:before="240" w:after="240" w:line="240" w:lineRule="auto"/>
        <w:jc w:val="both"/>
        <w:rPr>
          <w:rFonts w:ascii="Calibri" w:eastAsia="Calibri" w:hAnsi="Calibri" w:cs="Calibri"/>
          <w:color w:val="0A0A0A"/>
          <w:sz w:val="24"/>
          <w:szCs w:val="24"/>
        </w:rPr>
      </w:pPr>
      <w:r>
        <w:rPr>
          <w:rFonts w:ascii="Calibri" w:eastAsia="Calibri" w:hAnsi="Calibri" w:cs="Calibri"/>
          <w:color w:val="0A0A0A"/>
          <w:sz w:val="24"/>
          <w:szCs w:val="24"/>
        </w:rPr>
        <w:t>• Ley N°26.791, incorporación de la figura de femicidio al Código Penal: agrava el</w:t>
      </w:r>
      <w:r>
        <w:rPr>
          <w:rFonts w:ascii="Calibri" w:eastAsia="Calibri" w:hAnsi="Calibri" w:cs="Calibri"/>
          <w:color w:val="0A0A0A"/>
          <w:sz w:val="24"/>
          <w:szCs w:val="24"/>
        </w:rPr>
        <w:t xml:space="preserve"> homicidio de una mujer cuando el hecho sea perpetrado por un varón y mediare violencia de género (2012).</w:t>
      </w:r>
    </w:p>
    <w:p w14:paraId="00000023" w14:textId="77777777" w:rsidR="008059F4" w:rsidRDefault="00DB682F">
      <w:pPr>
        <w:spacing w:before="240" w:after="240" w:line="240" w:lineRule="auto"/>
        <w:jc w:val="both"/>
        <w:rPr>
          <w:rFonts w:ascii="Calibri" w:eastAsia="Calibri" w:hAnsi="Calibri" w:cs="Calibri"/>
          <w:color w:val="0A0A0A"/>
          <w:sz w:val="24"/>
          <w:szCs w:val="24"/>
        </w:rPr>
      </w:pPr>
      <w:r>
        <w:rPr>
          <w:rFonts w:ascii="Calibri" w:eastAsia="Calibri" w:hAnsi="Calibri" w:cs="Calibri"/>
          <w:color w:val="0A0A0A"/>
          <w:sz w:val="24"/>
          <w:szCs w:val="24"/>
        </w:rPr>
        <w:t>• Ley N°27.499 (Ley Micaela) de capacitación obligatoria en género para todas las personas que integran los tres poderes del estado (2018).</w:t>
      </w:r>
    </w:p>
    <w:p w14:paraId="00000024" w14:textId="77777777" w:rsidR="008059F4" w:rsidRDefault="00DB682F">
      <w:pPr>
        <w:spacing w:before="240" w:after="240" w:line="240" w:lineRule="auto"/>
        <w:jc w:val="both"/>
        <w:rPr>
          <w:rFonts w:ascii="Calibri" w:eastAsia="Calibri" w:hAnsi="Calibri" w:cs="Calibri"/>
          <w:b/>
          <w:color w:val="0A0A0A"/>
          <w:sz w:val="24"/>
          <w:szCs w:val="24"/>
        </w:rPr>
      </w:pPr>
      <w:r>
        <w:rPr>
          <w:rFonts w:ascii="Calibri" w:eastAsia="Calibri" w:hAnsi="Calibri" w:cs="Calibri"/>
          <w:b/>
          <w:color w:val="0A0A0A"/>
          <w:sz w:val="24"/>
          <w:szCs w:val="24"/>
        </w:rPr>
        <w:t xml:space="preserve">Marco Normativo Internacional </w:t>
      </w:r>
    </w:p>
    <w:p w14:paraId="00000025" w14:textId="77777777" w:rsidR="008059F4" w:rsidRDefault="00DB682F">
      <w:pPr>
        <w:spacing w:before="240" w:after="240" w:line="240" w:lineRule="auto"/>
        <w:jc w:val="both"/>
        <w:rPr>
          <w:rFonts w:ascii="Calibri" w:eastAsia="Calibri" w:hAnsi="Calibri" w:cs="Calibri"/>
          <w:color w:val="0A0A0A"/>
          <w:sz w:val="24"/>
          <w:szCs w:val="24"/>
        </w:rPr>
      </w:pPr>
      <w:r>
        <w:rPr>
          <w:rFonts w:ascii="Calibri" w:eastAsia="Calibri" w:hAnsi="Calibri" w:cs="Calibri"/>
          <w:color w:val="0A0A0A"/>
          <w:sz w:val="24"/>
          <w:szCs w:val="24"/>
        </w:rPr>
        <w:t>• La Convención sobre la Eliminación de Todas las formas de Discriminación contra la Mujer (CEDAW- 1979).</w:t>
      </w:r>
    </w:p>
    <w:p w14:paraId="00000026" w14:textId="77777777" w:rsidR="008059F4" w:rsidRDefault="00DB682F">
      <w:pPr>
        <w:spacing w:before="240" w:after="240" w:line="240" w:lineRule="auto"/>
        <w:jc w:val="both"/>
        <w:rPr>
          <w:rFonts w:ascii="Calibri" w:eastAsia="Calibri" w:hAnsi="Calibri" w:cs="Calibri"/>
          <w:color w:val="0A0A0A"/>
          <w:sz w:val="24"/>
          <w:szCs w:val="24"/>
        </w:rPr>
      </w:pPr>
      <w:r>
        <w:rPr>
          <w:rFonts w:ascii="Calibri" w:eastAsia="Calibri" w:hAnsi="Calibri" w:cs="Calibri"/>
          <w:color w:val="0A0A0A"/>
          <w:sz w:val="24"/>
          <w:szCs w:val="24"/>
        </w:rPr>
        <w:t>• Convención sobre los derechos del Niño (ONU- 1990).</w:t>
      </w:r>
    </w:p>
    <w:p w14:paraId="00000027" w14:textId="77777777" w:rsidR="008059F4" w:rsidRDefault="00DB682F">
      <w:pPr>
        <w:spacing w:before="240" w:after="240" w:line="240" w:lineRule="auto"/>
        <w:jc w:val="both"/>
        <w:rPr>
          <w:rFonts w:ascii="Calibri" w:eastAsia="Calibri" w:hAnsi="Calibri" w:cs="Calibri"/>
          <w:color w:val="0A0A0A"/>
          <w:sz w:val="24"/>
          <w:szCs w:val="24"/>
        </w:rPr>
      </w:pPr>
      <w:r>
        <w:rPr>
          <w:rFonts w:ascii="Calibri" w:eastAsia="Calibri" w:hAnsi="Calibri" w:cs="Calibri"/>
          <w:color w:val="0A0A0A"/>
          <w:sz w:val="24"/>
          <w:szCs w:val="24"/>
        </w:rPr>
        <w:t xml:space="preserve">• Convención Interamericana para Prevenir, Erradicar y Sancionar </w:t>
      </w:r>
      <w:r>
        <w:rPr>
          <w:rFonts w:ascii="Calibri" w:eastAsia="Calibri" w:hAnsi="Calibri" w:cs="Calibri"/>
          <w:color w:val="0A0A0A"/>
          <w:sz w:val="24"/>
          <w:szCs w:val="24"/>
        </w:rPr>
        <w:t>la Violencia contra la Mujer (Belém do Pará - 1994).</w:t>
      </w:r>
    </w:p>
    <w:p w14:paraId="00000028" w14:textId="77777777" w:rsidR="008059F4" w:rsidRDefault="00DB682F">
      <w:pPr>
        <w:spacing w:before="240" w:after="240" w:line="240" w:lineRule="auto"/>
        <w:jc w:val="both"/>
        <w:rPr>
          <w:rFonts w:ascii="Calibri" w:eastAsia="Calibri" w:hAnsi="Calibri" w:cs="Calibri"/>
          <w:color w:val="0A0A0A"/>
          <w:sz w:val="24"/>
          <w:szCs w:val="24"/>
        </w:rPr>
      </w:pPr>
      <w:r>
        <w:rPr>
          <w:rFonts w:ascii="Calibri" w:eastAsia="Calibri" w:hAnsi="Calibri" w:cs="Calibri"/>
          <w:color w:val="0A0A0A"/>
          <w:sz w:val="24"/>
          <w:szCs w:val="24"/>
        </w:rPr>
        <w:t>• Principios de Yogyakarta (2016).</w:t>
      </w:r>
    </w:p>
    <w:p w14:paraId="00000029" w14:textId="77777777" w:rsidR="008059F4" w:rsidRDefault="008059F4">
      <w:pPr>
        <w:spacing w:after="160" w:line="240" w:lineRule="auto"/>
        <w:jc w:val="both"/>
        <w:rPr>
          <w:rFonts w:ascii="Calibri" w:eastAsia="Calibri" w:hAnsi="Calibri" w:cs="Calibri"/>
          <w:color w:val="0A0A0A"/>
          <w:sz w:val="24"/>
          <w:szCs w:val="24"/>
        </w:rPr>
      </w:pPr>
    </w:p>
    <w:p w14:paraId="0000002A" w14:textId="77777777" w:rsidR="008059F4" w:rsidRDefault="008059F4">
      <w:pPr>
        <w:spacing w:after="160" w:line="240" w:lineRule="auto"/>
        <w:jc w:val="both"/>
        <w:rPr>
          <w:rFonts w:ascii="Calibri" w:eastAsia="Calibri" w:hAnsi="Calibri" w:cs="Calibri"/>
          <w:color w:val="0A0A0A"/>
          <w:sz w:val="24"/>
          <w:szCs w:val="24"/>
        </w:rPr>
      </w:pPr>
    </w:p>
    <w:p w14:paraId="0000002B" w14:textId="77777777" w:rsidR="008059F4" w:rsidRDefault="008059F4">
      <w:pPr>
        <w:rPr>
          <w:b/>
        </w:rPr>
      </w:pPr>
    </w:p>
    <w:sectPr w:rsidR="008059F4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95271" w14:textId="77777777" w:rsidR="00DB682F" w:rsidRDefault="00DB682F">
      <w:pPr>
        <w:spacing w:line="240" w:lineRule="auto"/>
      </w:pPr>
      <w:r>
        <w:separator/>
      </w:r>
    </w:p>
  </w:endnote>
  <w:endnote w:type="continuationSeparator" w:id="0">
    <w:p w14:paraId="3B080CC4" w14:textId="77777777" w:rsidR="00DB682F" w:rsidRDefault="00DB68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D" w14:textId="77777777" w:rsidR="008059F4" w:rsidRDefault="008059F4"/>
  <w:p w14:paraId="0000002E" w14:textId="77777777" w:rsidR="008059F4" w:rsidRDefault="008059F4">
    <w:pPr>
      <w:rPr>
        <w:rFonts w:ascii="Calibri" w:eastAsia="Calibri" w:hAnsi="Calibri" w:cs="Calibri"/>
        <w:color w:val="0A0A0A"/>
        <w:sz w:val="24"/>
        <w:szCs w:val="24"/>
      </w:rPr>
    </w:pPr>
  </w:p>
  <w:p w14:paraId="0000002F" w14:textId="77777777" w:rsidR="008059F4" w:rsidRDefault="00DB682F">
    <w:pPr>
      <w:jc w:val="right"/>
      <w:rPr>
        <w:rFonts w:ascii="Calibri" w:eastAsia="Calibri" w:hAnsi="Calibri" w:cs="Calibri"/>
        <w:color w:val="0A0A0A"/>
        <w:sz w:val="24"/>
        <w:szCs w:val="24"/>
      </w:rPr>
    </w:pPr>
    <w:r>
      <w:rPr>
        <w:rFonts w:ascii="Calibri" w:eastAsia="Calibri" w:hAnsi="Calibri" w:cs="Calibri"/>
        <w:color w:val="0A0A0A"/>
        <w:sz w:val="24"/>
        <w:szCs w:val="24"/>
      </w:rPr>
      <w:fldChar w:fldCharType="begin"/>
    </w:r>
    <w:r>
      <w:rPr>
        <w:rFonts w:ascii="Calibri" w:eastAsia="Calibri" w:hAnsi="Calibri" w:cs="Calibri"/>
        <w:color w:val="0A0A0A"/>
        <w:sz w:val="24"/>
        <w:szCs w:val="24"/>
      </w:rPr>
      <w:instrText>PAGE</w:instrText>
    </w:r>
    <w:r>
      <w:rPr>
        <w:rFonts w:ascii="Calibri" w:eastAsia="Calibri" w:hAnsi="Calibri" w:cs="Calibri"/>
        <w:color w:val="0A0A0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15243" w14:textId="77777777" w:rsidR="00DB682F" w:rsidRDefault="00DB682F">
      <w:pPr>
        <w:spacing w:line="240" w:lineRule="auto"/>
      </w:pPr>
      <w:r>
        <w:separator/>
      </w:r>
    </w:p>
  </w:footnote>
  <w:footnote w:type="continuationSeparator" w:id="0">
    <w:p w14:paraId="57B6AB08" w14:textId="77777777" w:rsidR="00DB682F" w:rsidRDefault="00DB682F">
      <w:pPr>
        <w:spacing w:line="240" w:lineRule="auto"/>
      </w:pPr>
      <w:r>
        <w:continuationSeparator/>
      </w:r>
    </w:p>
  </w:footnote>
  <w:footnote w:id="1">
    <w:p w14:paraId="0000002C" w14:textId="77777777" w:rsidR="008059F4" w:rsidRDefault="00DB682F">
      <w:pPr>
        <w:spacing w:line="240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Argentina ratificó el Convenio 190 de la OIT mediante Ley N°27.580 </w:t>
      </w:r>
      <w:r>
        <w:rPr>
          <w:rFonts w:ascii="Calibri" w:eastAsia="Calibri" w:hAnsi="Calibri" w:cs="Calibri"/>
          <w:color w:val="0A0A0A"/>
          <w:sz w:val="18"/>
          <w:szCs w:val="18"/>
        </w:rPr>
        <w:t xml:space="preserve"> el 11 de nov</w:t>
      </w:r>
      <w:r>
        <w:rPr>
          <w:rFonts w:ascii="Calibri" w:eastAsia="Calibri" w:hAnsi="Calibri" w:cs="Calibri"/>
          <w:color w:val="0A0A0A"/>
          <w:sz w:val="18"/>
          <w:szCs w:val="18"/>
        </w:rPr>
        <w:t>iembre del año 2020, disponible en : https://servicios.infoleg.gob.ar/infolegInternet/anexos/385000-389999/385008/norma.htm#:~:text=El%20ESTADO%20ARGENTINO%2C%20mediante%20ley,de%20noviembre%20del%20a%C3%B1o%202020.</w:t>
      </w:r>
    </w:p>
  </w:footnote>
  <w:footnote w:id="2">
    <w:p w14:paraId="00000030" w14:textId="77777777" w:rsidR="008059F4" w:rsidRDefault="00DB682F">
      <w:pPr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18"/>
          <w:szCs w:val="18"/>
        </w:rPr>
        <w:t xml:space="preserve">Ley N° 26. 485, disponible en: </w:t>
      </w:r>
      <w:r>
        <w:rPr>
          <w:rFonts w:ascii="Calibri" w:eastAsia="Calibri" w:hAnsi="Calibri" w:cs="Calibri"/>
          <w:sz w:val="18"/>
          <w:szCs w:val="18"/>
        </w:rPr>
        <w:t>https://www.argentina.gob.ar/sites/default/files/ley_26485_violencia_familiar.pdf</w:t>
      </w:r>
    </w:p>
  </w:footnote>
  <w:footnote w:id="3">
    <w:p w14:paraId="00000035" w14:textId="77777777" w:rsidR="008059F4" w:rsidRDefault="00DB682F">
      <w:pPr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18"/>
          <w:szCs w:val="18"/>
        </w:rPr>
        <w:t>Guía de información sobre violencia de género: https://www.argentina.gob.ar/justicia/afianzar/caj/conoce-y-ejerce-tus-derechos/guia-de-informacion-sobre-violencia-de-genero</w:t>
      </w:r>
    </w:p>
  </w:footnote>
  <w:footnote w:id="4">
    <w:p w14:paraId="00000036" w14:textId="77777777" w:rsidR="008059F4" w:rsidRDefault="00DB682F">
      <w:pPr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18"/>
          <w:szCs w:val="18"/>
        </w:rPr>
        <w:t xml:space="preserve"> https://www.boletinoficial.gob.ar/detalleAviso/primera/234556/20200904</w:t>
      </w:r>
    </w:p>
  </w:footnote>
  <w:footnote w:id="5">
    <w:p w14:paraId="00000031" w14:textId="77777777" w:rsidR="008059F4" w:rsidRDefault="00DB682F">
      <w:pPr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“Guía para hacer talleres: perspectiva de género y diversidad en el deporte”, disponible en: </w:t>
      </w:r>
      <w:hyperlink r:id="rId1">
        <w:r>
          <w:rPr>
            <w:rFonts w:ascii="Calibri" w:eastAsia="Calibri" w:hAnsi="Calibri" w:cs="Calibri"/>
            <w:color w:val="1155CC"/>
            <w:sz w:val="18"/>
            <w:szCs w:val="18"/>
            <w:u w:val="single"/>
          </w:rPr>
          <w:t>https://www.argentina.gob.ar/sites/default/files/2020/02/230630_micaela_deportes-_guia_para_hacer_talleres_formador_de_fermadoras_editable_1.pdf</w:t>
        </w:r>
      </w:hyperlink>
      <w:r>
        <w:rPr>
          <w:rFonts w:ascii="Calibri" w:eastAsia="Calibri" w:hAnsi="Calibri" w:cs="Calibri"/>
          <w:sz w:val="18"/>
          <w:szCs w:val="18"/>
        </w:rPr>
        <w:t xml:space="preserve"> </w:t>
      </w:r>
    </w:p>
  </w:footnote>
  <w:footnote w:id="6">
    <w:p w14:paraId="00000032" w14:textId="77777777" w:rsidR="008059F4" w:rsidRDefault="00DB682F">
      <w:pPr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“</w:t>
      </w:r>
      <w:r>
        <w:rPr>
          <w:rFonts w:ascii="Calibri" w:eastAsia="Calibri" w:hAnsi="Calibri" w:cs="Calibri"/>
          <w:sz w:val="18"/>
          <w:szCs w:val="18"/>
        </w:rPr>
        <w:t xml:space="preserve">Guía para el Abordaje Integral </w:t>
      </w:r>
      <w:r>
        <w:rPr>
          <w:rFonts w:ascii="Calibri" w:eastAsia="Calibri" w:hAnsi="Calibri" w:cs="Calibri"/>
          <w:sz w:val="18"/>
          <w:szCs w:val="18"/>
        </w:rPr>
        <w:t xml:space="preserve">de las violencias por motivos de género en instituciones deportivas” disponible en: </w:t>
      </w:r>
      <w:hyperlink r:id="rId2">
        <w:r>
          <w:rPr>
            <w:rFonts w:ascii="Calibri" w:eastAsia="Calibri" w:hAnsi="Calibri" w:cs="Calibri"/>
            <w:color w:val="1155CC"/>
            <w:sz w:val="18"/>
            <w:szCs w:val="18"/>
            <w:u w:val="single"/>
          </w:rPr>
          <w:t>https://www.argentina.g</w:t>
        </w:r>
        <w:r>
          <w:rPr>
            <w:rFonts w:ascii="Calibri" w:eastAsia="Calibri" w:hAnsi="Calibri" w:cs="Calibri"/>
            <w:color w:val="1155CC"/>
            <w:sz w:val="18"/>
            <w:szCs w:val="18"/>
            <w:u w:val="single"/>
          </w:rPr>
          <w:t>ob.ar/turismoydeportes/secretaria-de-deportes/guia-para-el-abordaje-integral-de-las-violencias-por-motivos</w:t>
        </w:r>
      </w:hyperlink>
    </w:p>
    <w:p w14:paraId="00000033" w14:textId="77777777" w:rsidR="008059F4" w:rsidRDefault="008059F4">
      <w:pPr>
        <w:spacing w:line="240" w:lineRule="auto"/>
        <w:rPr>
          <w:sz w:val="20"/>
          <w:szCs w:val="20"/>
        </w:rPr>
      </w:pPr>
    </w:p>
  </w:footnote>
  <w:footnote w:id="7">
    <w:p w14:paraId="00000034" w14:textId="77777777" w:rsidR="008059F4" w:rsidRDefault="00DB682F">
      <w:pPr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18"/>
          <w:szCs w:val="18"/>
        </w:rPr>
        <w:t xml:space="preserve"> Taller de podcast disponible en https://prevencion.mingeneros.gob.ar/downloads/estereotiposGenero/Taller-de_podcast-la_igualdad_es_mundial.pdf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24347"/>
    <w:multiLevelType w:val="multilevel"/>
    <w:tmpl w:val="63F8B7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7930C6E"/>
    <w:multiLevelType w:val="multilevel"/>
    <w:tmpl w:val="165890A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F4"/>
    <w:rsid w:val="0002467F"/>
    <w:rsid w:val="002C202E"/>
    <w:rsid w:val="008059F4"/>
    <w:rsid w:val="00AC6D30"/>
    <w:rsid w:val="00DB682F"/>
    <w:rsid w:val="00E4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rgentina.gob.ar/turismoydeportes/secretaria-de-deportes/guia-para-el-abordaje-integral-de-las-violencias-por-motivos" TargetMode="External"/><Relationship Id="rId1" Type="http://schemas.openxmlformats.org/officeDocument/2006/relationships/hyperlink" Target="https://www.argentina.gob.ar/sites/default/files/2020/02/230630_micaela_deportes-_guia_para_hacer_talleres_formador_de_fermadoras_editable_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24" ma:contentTypeDescription="Create a new document." ma:contentTypeScope="" ma:versionID="a2cffc622bec53f124635a3504c776b3">
  <xsd:schema xmlns:xsd="http://www.w3.org/2001/XMLSchema" xmlns:xs="http://www.w3.org/2001/XMLSchema" xmlns:p="http://schemas.microsoft.com/office/2006/metadata/properties" xmlns:ns2="d42e65b2-cf21-49c1-b27d-d23f90380c0e" xmlns:ns3="9c2e4527-2efa-4ade-b3d6-b2418af14986" xmlns:ns4="985ec44e-1bab-4c0b-9df0-6ba128686fc9" targetNamespace="http://schemas.microsoft.com/office/2006/metadata/properties" ma:root="true" ma:fieldsID="4df2b8be154dd2c117d7ec9c300c6b0c" ns2:_="" ns3:_="" ns4:_="">
    <xsd:import namespace="d42e65b2-cf21-49c1-b27d-d23f90380c0e"/>
    <xsd:import namespace="9c2e4527-2efa-4ade-b3d6-b2418af1498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IGO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genous Peoples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English version"/>
              <xsd:enumeration value="French version"/>
              <xsd:enumeration value="Spanish version"/>
              <xsd:enumeration value="Arabic version"/>
              <xsd:enumeration value="Chinese version"/>
              <xsd:enumeration value="Russian version"/>
              <xsd:enumeration value="English translation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d42e65b2-cf21-49c1-b27d-d23f90380c0e">
      <Terms xmlns="http://schemas.microsoft.com/office/infopath/2007/PartnerControls"/>
    </lcf76f155ced4ddcb4097134ff3c332f>
    <Category xmlns="d42e65b2-cf21-49c1-b27d-d23f90380c0e">States</Category>
    <Filename xmlns="d42e65b2-cf21-49c1-b27d-d23f90380c0e" xsi:nil="true"/>
    <Doctype xmlns="d42e65b2-cf21-49c1-b27d-d23f90380c0e">input</Doctype>
    <Contributor xmlns="d42e65b2-cf21-49c1-b27d-d23f90380c0e">Argentina</Contributor>
  </documentManagement>
</p:properties>
</file>

<file path=customXml/itemProps1.xml><?xml version="1.0" encoding="utf-8"?>
<ds:datastoreItem xmlns:ds="http://schemas.openxmlformats.org/officeDocument/2006/customXml" ds:itemID="{A6BC304D-F680-46D3-8E4D-DF897B9438DA}"/>
</file>

<file path=customXml/itemProps2.xml><?xml version="1.0" encoding="utf-8"?>
<ds:datastoreItem xmlns:ds="http://schemas.openxmlformats.org/officeDocument/2006/customXml" ds:itemID="{B2EE8892-FF9B-4523-AC74-25B52CBA8013}"/>
</file>

<file path=customXml/itemProps3.xml><?xml version="1.0" encoding="utf-8"?>
<ds:datastoreItem xmlns:ds="http://schemas.openxmlformats.org/officeDocument/2006/customXml" ds:itemID="{C09A9036-73A8-4D31-9EAE-5D50ABF396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1498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Egido</dc:creator>
  <cp:lastModifiedBy>Nazareno Cruz Montani Cazabat</cp:lastModifiedBy>
  <cp:revision>2</cp:revision>
  <dcterms:created xsi:type="dcterms:W3CDTF">2024-04-09T18:26:00Z</dcterms:created>
  <dcterms:modified xsi:type="dcterms:W3CDTF">2024-04-09T18:26:00Z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  <property fmtid="{D5CDD505-2E9C-101B-9397-08002B2CF9AE}" pid="3" name="MediaServiceImageTags">
    <vt:lpwstr/>
  </property>
</Properties>
</file>