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122" w:rsidRPr="00855BAD" w:rsidRDefault="00177122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77122" w:rsidRPr="00855BAD" w:rsidRDefault="00385EB4">
      <w:pPr>
        <w:spacing w:after="0"/>
        <w:jc w:val="center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hyperlink r:id="rId8">
        <w:r w:rsidR="008C2BC0" w:rsidRPr="00855BAD">
          <w:rPr>
            <w:rFonts w:ascii="Arial" w:eastAsia="Arial" w:hAnsi="Arial" w:cs="Arial"/>
            <w:b/>
            <w:color w:val="000000" w:themeColor="text1"/>
            <w:sz w:val="24"/>
            <w:szCs w:val="24"/>
          </w:rPr>
          <w:t>Convocatoria de aportaciones para el informe de la Relatora Especial sobre la violencia contra las mujeres y las niñas a la Asamblea General de las Naciones Unidas sobre la violencia contra las mujeres y las niñas en el deporte</w:t>
        </w:r>
      </w:hyperlink>
    </w:p>
    <w:p w:rsidR="000C423B" w:rsidRPr="00855BAD" w:rsidRDefault="008C2BC0">
      <w:pPr>
        <w:spacing w:before="240" w:after="240"/>
        <w:jc w:val="both"/>
        <w:rPr>
          <w:rFonts w:ascii="Arial" w:hAnsi="Arial" w:cs="Arial"/>
          <w:b/>
          <w:bCs/>
          <w:i/>
          <w:color w:val="000000" w:themeColor="text1"/>
          <w:spacing w:val="4"/>
          <w:sz w:val="24"/>
          <w:szCs w:val="24"/>
        </w:rPr>
      </w:pP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Desde la Comisión de Derechos Humanos de la Ciudad de México vemos con preocupación </w:t>
      </w:r>
      <w:r w:rsidR="000C423B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el planteamiento excluyente y discriminatorio a partir del cual se hace un llamado a contribuir con aportaciones para la elaboración del Informe de la Relatora Especial mismo que expresa que </w:t>
      </w:r>
      <w:r w:rsidR="000C423B" w:rsidRPr="00855BAD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>“</w:t>
      </w:r>
      <w:r w:rsidR="000C423B" w:rsidRPr="00855BAD">
        <w:rPr>
          <w:rFonts w:ascii="Arial" w:hAnsi="Arial" w:cs="Arial"/>
          <w:b/>
          <w:bCs/>
          <w:i/>
          <w:color w:val="000000" w:themeColor="text1"/>
          <w:spacing w:val="4"/>
          <w:sz w:val="24"/>
          <w:szCs w:val="24"/>
        </w:rPr>
        <w:t>los deportes tradicionalmente reservados para las atletas femeninas ahora están abiertos a los atletas masculinos en función de su identidad de género y si se identifican como mujeres y niñas.”</w:t>
      </w:r>
      <w:bookmarkStart w:id="0" w:name="_GoBack"/>
      <w:bookmarkEnd w:id="0"/>
    </w:p>
    <w:p w:rsidR="008D189B" w:rsidRPr="00855BAD" w:rsidRDefault="000C423B">
      <w:pPr>
        <w:spacing w:before="240" w:after="240"/>
        <w:jc w:val="both"/>
        <w:rPr>
          <w:rFonts w:ascii="Arial" w:hAnsi="Arial" w:cs="Arial"/>
          <w:color w:val="000000" w:themeColor="text1"/>
          <w:spacing w:val="4"/>
          <w:sz w:val="24"/>
          <w:szCs w:val="24"/>
        </w:rPr>
      </w:pPr>
      <w:r w:rsidRPr="00855BAD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La Comisión encuentra esta afirmación no solo incongruente con los principios </w:t>
      </w:r>
      <w:r w:rsidR="008D189B" w:rsidRPr="00855BAD">
        <w:rPr>
          <w:rFonts w:ascii="Arial" w:hAnsi="Arial" w:cs="Arial"/>
          <w:color w:val="000000" w:themeColor="text1"/>
          <w:spacing w:val="4"/>
          <w:sz w:val="24"/>
          <w:szCs w:val="24"/>
        </w:rPr>
        <w:t>del Sistema Universal de Derechos Humanos sino con</w:t>
      </w:r>
      <w:r w:rsidR="00A36F23" w:rsidRPr="00855BAD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su jurisprudencia y</w:t>
      </w:r>
      <w:r w:rsidR="008D189B" w:rsidRPr="00855BAD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lo desarrollado por el propio Comité </w:t>
      </w:r>
      <w:r w:rsidR="00A36F23" w:rsidRPr="00855BAD">
        <w:rPr>
          <w:rFonts w:ascii="Arial" w:hAnsi="Arial" w:cs="Arial"/>
          <w:color w:val="000000" w:themeColor="text1"/>
          <w:spacing w:val="4"/>
          <w:sz w:val="24"/>
          <w:szCs w:val="24"/>
        </w:rPr>
        <w:t>CEDAW</w:t>
      </w:r>
      <w:r w:rsidR="008D189B" w:rsidRPr="00855BAD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en su Recomendación </w:t>
      </w:r>
      <w:r w:rsidR="00A36F23" w:rsidRPr="00855BAD">
        <w:rPr>
          <w:rFonts w:ascii="Arial" w:hAnsi="Arial" w:cs="Arial"/>
          <w:color w:val="000000" w:themeColor="text1"/>
          <w:spacing w:val="4"/>
          <w:sz w:val="24"/>
          <w:szCs w:val="24"/>
        </w:rPr>
        <w:t>G</w:t>
      </w:r>
      <w:r w:rsidR="008D189B" w:rsidRPr="00855BAD">
        <w:rPr>
          <w:rFonts w:ascii="Arial" w:hAnsi="Arial" w:cs="Arial"/>
          <w:color w:val="000000" w:themeColor="text1"/>
          <w:spacing w:val="4"/>
          <w:sz w:val="24"/>
          <w:szCs w:val="24"/>
        </w:rPr>
        <w:t>eneral 35 sobre la violencia en razón de género contra la mujer</w:t>
      </w:r>
      <w:r w:rsidR="00A36F23" w:rsidRPr="00855BAD">
        <w:rPr>
          <w:rFonts w:ascii="Arial" w:hAnsi="Arial" w:cs="Arial"/>
          <w:color w:val="000000" w:themeColor="text1"/>
          <w:spacing w:val="4"/>
          <w:sz w:val="24"/>
          <w:szCs w:val="24"/>
        </w:rPr>
        <w:t>.</w:t>
      </w:r>
    </w:p>
    <w:p w:rsidR="00BD585B" w:rsidRPr="00855BAD" w:rsidRDefault="008D189B" w:rsidP="00BD585B">
      <w:pPr>
        <w:spacing w:before="240" w:after="240"/>
        <w:ind w:left="72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855BAD">
        <w:rPr>
          <w:rFonts w:ascii="Arial" w:eastAsia="Arial" w:hAnsi="Arial" w:cs="Arial"/>
          <w:i/>
          <w:color w:val="000000" w:themeColor="text1"/>
          <w:sz w:val="24"/>
          <w:szCs w:val="24"/>
        </w:rPr>
        <w:t>“</w:t>
      </w:r>
      <w:r w:rsidRPr="00855BAD">
        <w:rPr>
          <w:rFonts w:ascii="Arial" w:hAnsi="Arial" w:cs="Arial"/>
          <w:i/>
          <w:color w:val="000000" w:themeColor="text1"/>
          <w:sz w:val="24"/>
          <w:szCs w:val="24"/>
        </w:rPr>
        <w:t xml:space="preserve">12. En la </w:t>
      </w:r>
      <w:r w:rsidRPr="00855BAD">
        <w:rPr>
          <w:rFonts w:ascii="Arial" w:hAnsi="Arial" w:cs="Arial"/>
          <w:b/>
          <w:i/>
          <w:color w:val="000000" w:themeColor="text1"/>
          <w:sz w:val="24"/>
          <w:szCs w:val="24"/>
        </w:rPr>
        <w:t>recomendación general núm. 28</w:t>
      </w:r>
      <w:r w:rsidRPr="00855BAD">
        <w:rPr>
          <w:rFonts w:ascii="Arial" w:hAnsi="Arial" w:cs="Arial"/>
          <w:i/>
          <w:color w:val="000000" w:themeColor="text1"/>
          <w:sz w:val="24"/>
          <w:szCs w:val="24"/>
        </w:rPr>
        <w:t xml:space="preserve"> y la </w:t>
      </w:r>
      <w:r w:rsidRPr="00855BAD">
        <w:rPr>
          <w:rFonts w:ascii="Arial" w:hAnsi="Arial" w:cs="Arial"/>
          <w:b/>
          <w:i/>
          <w:color w:val="000000" w:themeColor="text1"/>
          <w:sz w:val="24"/>
          <w:szCs w:val="24"/>
        </w:rPr>
        <w:t>recomendación general núm. 33</w:t>
      </w:r>
      <w:r w:rsidRPr="00855BAD">
        <w:rPr>
          <w:rFonts w:ascii="Arial" w:hAnsi="Arial" w:cs="Arial"/>
          <w:i/>
          <w:color w:val="000000" w:themeColor="text1"/>
          <w:sz w:val="24"/>
          <w:szCs w:val="24"/>
        </w:rPr>
        <w:t xml:space="preserve">, el Comité confirmó que </w:t>
      </w:r>
      <w:r w:rsidRPr="00855BAD">
        <w:rPr>
          <w:rFonts w:ascii="Arial" w:hAnsi="Arial" w:cs="Arial"/>
          <w:b/>
          <w:i/>
          <w:color w:val="000000" w:themeColor="text1"/>
          <w:sz w:val="24"/>
          <w:szCs w:val="24"/>
        </w:rPr>
        <w:t>la discriminación contra la mujer estaba inseparablemente vinculada a otros factores que afectan a su vida. El Comité, en su jurisprudencia, ha destacado que esos factores incluyen</w:t>
      </w:r>
      <w:r w:rsidRPr="00855BAD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BD585B" w:rsidRPr="00855BAD">
        <w:rPr>
          <w:rFonts w:ascii="Arial" w:hAnsi="Arial" w:cs="Arial"/>
          <w:i/>
          <w:color w:val="000000" w:themeColor="text1"/>
          <w:sz w:val="24"/>
          <w:szCs w:val="24"/>
        </w:rPr>
        <w:t>[…]</w:t>
      </w:r>
      <w:r w:rsidRPr="00855BAD">
        <w:rPr>
          <w:rFonts w:ascii="Arial" w:hAnsi="Arial" w:cs="Arial"/>
          <w:i/>
          <w:color w:val="000000" w:themeColor="text1"/>
          <w:sz w:val="24"/>
          <w:szCs w:val="24"/>
        </w:rPr>
        <w:t xml:space="preserve"> la condición de lesbiana, bisexual, </w:t>
      </w:r>
      <w:r w:rsidRPr="00855BAD">
        <w:rPr>
          <w:rFonts w:ascii="Arial" w:hAnsi="Arial" w:cs="Arial"/>
          <w:b/>
          <w:i/>
          <w:color w:val="000000" w:themeColor="text1"/>
          <w:sz w:val="24"/>
          <w:szCs w:val="24"/>
        </w:rPr>
        <w:t>transgénero o intersexual</w:t>
      </w:r>
      <w:r w:rsidRPr="00855BAD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 w:rsidR="00BD585B" w:rsidRPr="00855BAD">
        <w:rPr>
          <w:rFonts w:ascii="Arial" w:hAnsi="Arial" w:cs="Arial"/>
          <w:i/>
          <w:color w:val="000000" w:themeColor="text1"/>
          <w:sz w:val="24"/>
          <w:szCs w:val="24"/>
        </w:rPr>
        <w:t>[…]</w:t>
      </w:r>
      <w:r w:rsidRPr="00855BAD">
        <w:rPr>
          <w:rFonts w:ascii="Arial" w:hAnsi="Arial" w:cs="Arial"/>
          <w:i/>
          <w:color w:val="000000" w:themeColor="text1"/>
          <w:sz w:val="24"/>
          <w:szCs w:val="24"/>
        </w:rPr>
        <w:t xml:space="preserve">. En consecuencia, </w:t>
      </w:r>
      <w:r w:rsidRPr="00855BAD">
        <w:rPr>
          <w:rFonts w:ascii="Arial" w:hAnsi="Arial" w:cs="Arial"/>
          <w:b/>
          <w:i/>
          <w:color w:val="000000" w:themeColor="text1"/>
          <w:sz w:val="24"/>
          <w:szCs w:val="24"/>
        </w:rPr>
        <w:t>dado que las mujeres experimentan formas múltiples e interrelacionadas de discriminación, que tienen un agravante efecto negativo, el Comité reconoce que la violencia por razón de género puede afectar a algunas mujeres en distinta medida, o en distintas formas, lo que significa que se requieren respuestas jurídicas y normativas adecuadas</w:t>
      </w:r>
      <w:r w:rsidRPr="00855BAD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="00BD585B" w:rsidRPr="00855BAD">
        <w:rPr>
          <w:rFonts w:ascii="Arial" w:hAnsi="Arial" w:cs="Arial"/>
          <w:i/>
          <w:color w:val="000000" w:themeColor="text1"/>
          <w:sz w:val="24"/>
          <w:szCs w:val="24"/>
        </w:rPr>
        <w:t>”</w:t>
      </w:r>
    </w:p>
    <w:p w:rsidR="00AC7B07" w:rsidRPr="00855BAD" w:rsidRDefault="00BD585B">
      <w:pPr>
        <w:spacing w:before="240" w:after="24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55BAD">
        <w:rPr>
          <w:rFonts w:ascii="Arial" w:hAnsi="Arial" w:cs="Arial"/>
          <w:color w:val="000000" w:themeColor="text1"/>
          <w:sz w:val="24"/>
          <w:szCs w:val="24"/>
        </w:rPr>
        <w:t>Resulta preocupante que la Relatoría Especial parta de esa contradicción</w:t>
      </w:r>
      <w:r w:rsidR="00A36F23" w:rsidRPr="00855BAD">
        <w:rPr>
          <w:rFonts w:ascii="Arial" w:hAnsi="Arial" w:cs="Arial"/>
          <w:color w:val="000000" w:themeColor="text1"/>
          <w:sz w:val="24"/>
          <w:szCs w:val="24"/>
        </w:rPr>
        <w:t>, ya que ésta</w:t>
      </w:r>
      <w:r w:rsidRPr="00855BAD">
        <w:rPr>
          <w:rFonts w:ascii="Arial" w:hAnsi="Arial" w:cs="Arial"/>
          <w:color w:val="000000" w:themeColor="text1"/>
          <w:sz w:val="24"/>
          <w:szCs w:val="24"/>
        </w:rPr>
        <w:t xml:space="preserve"> tiene por efecto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reproducir y promover 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violencia contra de las mujeres trans 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>e intersexuales en general y particularmente en el deporte, lo que no contribuye a una discusión seria sobre los cambios estructurales que tendría que tener un sistema deportivo para favorecer la competencia a partir de parámetros que garanticen la equidad</w:t>
      </w:r>
      <w:r w:rsidR="00AC7B07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:rsidR="00AC7B07" w:rsidRPr="00855BAD" w:rsidRDefault="00AC7B07" w:rsidP="00AC7B07">
      <w:pPr>
        <w:spacing w:before="240" w:after="24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La resistencia a fomentar estas discusiones es un obstáculo para la transformación de las prácticas deportivas y los sistemas que los promueven como parte del 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ejercicio de la accesibilidad y aceptabilidad del derecho al deporte al mencionar que su inclusión en el ámbito deportivo atenta contra los derechos de las mujeres y su participación en la sociedad. </w:t>
      </w:r>
    </w:p>
    <w:p w:rsidR="00AC7B07" w:rsidRPr="00855BAD" w:rsidRDefault="00AC7B07">
      <w:pPr>
        <w:spacing w:before="240" w:after="24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>El reconocimiento de que el sistema patriarcal asigna a los cuerpos femeninos o percibidos como tales</w:t>
      </w:r>
      <w:r w:rsidR="00BF5903" w:rsidRPr="00855BAD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una segunda categoría por debajo de la de los varones es una lucha que no está en contra del reconocimiento de la pluralidad de mujeres y del impacto diferenciado que la desigualdad y violencia tiene en todas ellas. </w:t>
      </w:r>
    </w:p>
    <w:p w:rsidR="00177122" w:rsidRPr="00855BAD" w:rsidRDefault="00AC7B07">
      <w:pPr>
        <w:spacing w:before="240" w:after="24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>Lo anterior es congruente con la jurisprudencia no solo del Sistema Universal sino también del Sistema Interamericano de Derechos Humanos</w:t>
      </w:r>
      <w:r w:rsidR="00887A4E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tanto en los casos resueltos</w:t>
      </w:r>
      <w:r w:rsidR="00BF5903" w:rsidRPr="00855BAD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887A4E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como en su Opinión Consultiva 24. </w:t>
      </w:r>
    </w:p>
    <w:p w:rsidR="00177122" w:rsidRPr="00855BAD" w:rsidRDefault="008C2BC0">
      <w:pPr>
        <w:spacing w:before="240" w:after="24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Por tanto, la CDHCM </w:t>
      </w:r>
      <w:r w:rsidR="00887A4E" w:rsidRPr="00855BAD">
        <w:rPr>
          <w:rFonts w:ascii="Arial" w:eastAsia="Arial" w:hAnsi="Arial" w:cs="Arial"/>
          <w:color w:val="000000" w:themeColor="text1"/>
          <w:sz w:val="24"/>
          <w:szCs w:val="24"/>
        </w:rPr>
        <w:t>se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pronuncia enérgicamente por detener este tipo de afirmaciones que perpetúan la violencia por prejuicio en contra de las personas trans y hacemos un llamado para que </w:t>
      </w:r>
      <w:r w:rsidR="00887A4E" w:rsidRPr="00855BAD">
        <w:rPr>
          <w:rFonts w:ascii="Arial" w:eastAsia="Arial" w:hAnsi="Arial" w:cs="Arial"/>
          <w:color w:val="000000" w:themeColor="text1"/>
          <w:sz w:val="24"/>
          <w:szCs w:val="24"/>
        </w:rPr>
        <w:t>el Sistema de Naciones Unidas mantenga en todos sus espacios congruencia con el contenido del Derecho Internacional de los Derechos Humanos.</w:t>
      </w:r>
    </w:p>
    <w:p w:rsidR="00177122" w:rsidRPr="00855BAD" w:rsidRDefault="008C2BC0" w:rsidP="00887A4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855BAD">
        <w:rPr>
          <w:rFonts w:ascii="Arial" w:eastAsia="Arial" w:hAnsi="Arial" w:cs="Arial"/>
          <w:b/>
          <w:color w:val="000000" w:themeColor="text1"/>
          <w:sz w:val="24"/>
          <w:szCs w:val="24"/>
        </w:rPr>
        <w:t>¿Qué actores son responsables de cometer actos de violencia contra mujeres y niñas y de aumentar los riesgos de violencia contra mujeres y niñas en el deporte?</w:t>
      </w:r>
    </w:p>
    <w:p w:rsidR="00177122" w:rsidRPr="00855BAD" w:rsidRDefault="008C2BC0">
      <w:pPr>
        <w:spacing w:before="240"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Se </w:t>
      </w:r>
      <w:r w:rsidR="00BF5903" w:rsidRPr="00855BAD">
        <w:rPr>
          <w:rFonts w:ascii="Arial" w:eastAsia="Arial" w:hAnsi="Arial" w:cs="Arial"/>
          <w:color w:val="000000" w:themeColor="text1"/>
          <w:sz w:val="24"/>
          <w:szCs w:val="24"/>
        </w:rPr>
        <w:t>identifican dos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actores principales </w:t>
      </w:r>
      <w:r w:rsidR="00BF5903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que por 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acción u omisión </w:t>
      </w:r>
      <w:r w:rsidR="00BF5903" w:rsidRPr="00855BAD">
        <w:rPr>
          <w:rFonts w:ascii="Arial" w:eastAsia="Arial" w:hAnsi="Arial" w:cs="Arial"/>
          <w:color w:val="000000" w:themeColor="text1"/>
          <w:sz w:val="24"/>
          <w:szCs w:val="24"/>
        </w:rPr>
        <w:t>incurren en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violencia </w:t>
      </w:r>
      <w:r w:rsidR="00BF5903" w:rsidRPr="00855BAD">
        <w:rPr>
          <w:rFonts w:ascii="Arial" w:eastAsia="Arial" w:hAnsi="Arial" w:cs="Arial"/>
          <w:color w:val="000000" w:themeColor="text1"/>
          <w:sz w:val="24"/>
          <w:szCs w:val="24"/>
        </w:rPr>
        <w:t>en contra de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niñas y mujeres: el Estado, sus instituciones y las personas servidoras públicas y el sector privado, por medio de las federaciones y asociaciones deportivas, escuelas y personas entrenadoras particulares.</w:t>
      </w:r>
    </w:p>
    <w:p w:rsidR="007379B7" w:rsidRPr="00855BAD" w:rsidRDefault="008C2BC0">
      <w:pPr>
        <w:spacing w:before="240"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En el sector </w:t>
      </w:r>
      <w:r w:rsidR="007379B7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público las principales agresiones consisten en la reducción o cancelación de recursos y la omisión para investigar actos que son denunciados </w:t>
      </w:r>
      <w:r w:rsidR="00855BAD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por su propio personal. Mientras que en el sector privado las agresiones que se presentan con mayor frecuencia están relacionadas con el abuso y el acoso sexual. </w:t>
      </w:r>
    </w:p>
    <w:p w:rsidR="00177122" w:rsidRPr="00855BAD" w:rsidRDefault="001771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</w:pPr>
    </w:p>
    <w:p w:rsidR="00177122" w:rsidRPr="00855BAD" w:rsidRDefault="008C2BC0" w:rsidP="00887A4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855BAD">
        <w:rPr>
          <w:rFonts w:ascii="Arial" w:eastAsia="Arial" w:hAnsi="Arial" w:cs="Arial"/>
          <w:b/>
          <w:color w:val="000000" w:themeColor="text1"/>
          <w:sz w:val="24"/>
          <w:szCs w:val="24"/>
        </w:rPr>
        <w:t>¿Cuáles son las principales causas de la violencia que experimentan las mujeres y las niñas en los deportes, incluidas las causas estructurales de dicha violencia?</w:t>
      </w:r>
    </w:p>
    <w:p w:rsidR="00177122" w:rsidRPr="00855BAD" w:rsidRDefault="00855BAD">
      <w:pPr>
        <w:spacing w:before="240"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El deporte desde su origen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ha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sido 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considerado masculino por asociarse con </w:t>
      </w:r>
      <w:r w:rsidR="00887A4E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estereotipos asignados a </w:t>
      </w:r>
      <w:r w:rsidR="000753F7">
        <w:rPr>
          <w:rFonts w:ascii="Arial" w:eastAsia="Arial" w:hAnsi="Arial" w:cs="Arial"/>
          <w:color w:val="000000" w:themeColor="text1"/>
          <w:sz w:val="24"/>
          <w:szCs w:val="24"/>
        </w:rPr>
        <w:t>ellos</w:t>
      </w:r>
      <w:r w:rsidR="00887A4E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como </w:t>
      </w:r>
      <w:r w:rsidR="000753F7">
        <w:rPr>
          <w:rFonts w:ascii="Arial" w:eastAsia="Arial" w:hAnsi="Arial" w:cs="Arial"/>
          <w:color w:val="000000" w:themeColor="text1"/>
          <w:sz w:val="24"/>
          <w:szCs w:val="24"/>
        </w:rPr>
        <w:t xml:space="preserve">es 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la fuerza, lo agresivo y lo físico, e incluso con </w:t>
      </w:r>
      <w:r w:rsidR="00887A4E" w:rsidRPr="00855BAD">
        <w:rPr>
          <w:rFonts w:ascii="Arial" w:eastAsia="Arial" w:hAnsi="Arial" w:cs="Arial"/>
          <w:color w:val="000000" w:themeColor="text1"/>
          <w:sz w:val="24"/>
          <w:szCs w:val="24"/>
        </w:rPr>
        <w:t>la dominancia d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>el espacio público. Estos factores se han interpretado como un efecto directo de la testosterona, perpetuando el</w:t>
      </w:r>
      <w:hyperlink r:id="rId9">
        <w:r w:rsidR="008C2BC0" w:rsidRPr="00855BAD">
          <w:rPr>
            <w:rFonts w:ascii="Arial" w:eastAsia="Arial" w:hAnsi="Arial" w:cs="Arial"/>
            <w:color w:val="000000" w:themeColor="text1"/>
            <w:sz w:val="24"/>
            <w:szCs w:val="24"/>
          </w:rPr>
          <w:t xml:space="preserve"> </w:t>
        </w:r>
      </w:hyperlink>
      <w:r w:rsidR="008C2BC0" w:rsidRPr="000753F7">
        <w:rPr>
          <w:rFonts w:ascii="Arial" w:eastAsia="Arial" w:hAnsi="Arial" w:cs="Arial"/>
          <w:color w:val="000000" w:themeColor="text1"/>
          <w:sz w:val="24"/>
          <w:szCs w:val="24"/>
        </w:rPr>
        <w:t xml:space="preserve">estereotipo de la mujer débil y </w:t>
      </w:r>
      <w:r w:rsidR="008C2BC0" w:rsidRPr="000753F7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frágil. Estos prejuicios surgen desde la infancia por medio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de </w:t>
      </w:r>
      <w:r w:rsidR="000753F7">
        <w:rPr>
          <w:rFonts w:ascii="Arial" w:eastAsia="Arial" w:hAnsi="Arial" w:cs="Arial"/>
          <w:color w:val="000000" w:themeColor="text1"/>
          <w:sz w:val="24"/>
          <w:szCs w:val="24"/>
        </w:rPr>
        <w:t>la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cultura, mismos que </w:t>
      </w:r>
      <w:r w:rsidR="000753F7">
        <w:rPr>
          <w:rFonts w:ascii="Arial" w:hAnsi="Arial" w:cs="Arial"/>
          <w:color w:val="000000" w:themeColor="text1"/>
          <w:sz w:val="24"/>
          <w:szCs w:val="24"/>
        </w:rPr>
        <w:t>se reproducen en los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deportes </w:t>
      </w:r>
      <w:r w:rsidR="000753F7">
        <w:rPr>
          <w:rFonts w:ascii="Arial" w:eastAsia="Arial" w:hAnsi="Arial" w:cs="Arial"/>
          <w:color w:val="000000" w:themeColor="text1"/>
          <w:sz w:val="24"/>
          <w:szCs w:val="24"/>
        </w:rPr>
        <w:t>que las infancias juegan de forma cotidiana,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inclusive en el uso </w:t>
      </w:r>
      <w:r w:rsidR="008C2BC0" w:rsidRPr="000753F7">
        <w:rPr>
          <w:rFonts w:ascii="Arial" w:eastAsia="Arial" w:hAnsi="Arial" w:cs="Arial"/>
          <w:color w:val="000000" w:themeColor="text1"/>
          <w:sz w:val="24"/>
          <w:szCs w:val="24"/>
        </w:rPr>
        <w:t>de los patios y espacios recreativos en las escuelas</w:t>
      </w:r>
      <w:r w:rsidR="00D35D24">
        <w:rPr>
          <w:rFonts w:ascii="Arial" w:eastAsia="Arial" w:hAnsi="Arial" w:cs="Arial"/>
          <w:color w:val="000000" w:themeColor="text1"/>
          <w:sz w:val="24"/>
          <w:szCs w:val="24"/>
        </w:rPr>
        <w:t xml:space="preserve"> en el que se da mayor espacio a los deportes que</w:t>
      </w:r>
      <w:r w:rsidR="008C2BC0" w:rsidRPr="000753F7">
        <w:rPr>
          <w:rFonts w:ascii="Arial" w:eastAsia="Arial" w:hAnsi="Arial" w:cs="Arial"/>
          <w:color w:val="000000" w:themeColor="text1"/>
          <w:sz w:val="24"/>
          <w:szCs w:val="24"/>
        </w:rPr>
        <w:t xml:space="preserve"> practica</w:t>
      </w:r>
      <w:r w:rsidR="00D35D24">
        <w:rPr>
          <w:rFonts w:ascii="Arial" w:eastAsia="Arial" w:hAnsi="Arial" w:cs="Arial"/>
          <w:color w:val="000000" w:themeColor="text1"/>
          <w:sz w:val="24"/>
          <w:szCs w:val="24"/>
        </w:rPr>
        <w:t xml:space="preserve">n </w:t>
      </w:r>
      <w:r w:rsidR="008C2BC0" w:rsidRPr="000753F7">
        <w:rPr>
          <w:rFonts w:ascii="Arial" w:eastAsia="Arial" w:hAnsi="Arial" w:cs="Arial"/>
          <w:color w:val="000000" w:themeColor="text1"/>
          <w:sz w:val="24"/>
          <w:szCs w:val="24"/>
        </w:rPr>
        <w:t>los niños en comparación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con los de las niñas, asimismo, generando estereotipos de actividades para cada quien.</w:t>
      </w:r>
    </w:p>
    <w:p w:rsidR="00177122" w:rsidRPr="00855BAD" w:rsidRDefault="008C2BC0">
      <w:pPr>
        <w:spacing w:before="240"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>En México en 2023, el INEGI reportó que los hombres de 18 años y más fueron la población más activa físicamente con el 46.5%, mientras que las mujeres de 18 años y más con el 34%.  Sumado a lo anterior, una de cada cuatro mujeres de 18 años y más, nunca ha realizado deporte o ejercicio físico en su tiempo libre.</w:t>
      </w:r>
    </w:p>
    <w:p w:rsidR="00AA74F0" w:rsidRDefault="00E862D9">
      <w:pPr>
        <w:spacing w:before="240" w:after="24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En el deporte profesional, otra posible 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>causa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es el prejuicio acerca de la rentabilidad económica de las </w:t>
      </w:r>
      <w:r w:rsidR="0096412C">
        <w:rPr>
          <w:rFonts w:ascii="Arial" w:eastAsia="Arial" w:hAnsi="Arial" w:cs="Arial"/>
          <w:color w:val="000000" w:themeColor="text1"/>
          <w:sz w:val="24"/>
          <w:szCs w:val="24"/>
        </w:rPr>
        <w:t>competiciones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femeniles</w:t>
      </w:r>
      <w:r w:rsidR="0096412C">
        <w:rPr>
          <w:rFonts w:ascii="Arial" w:eastAsia="Arial" w:hAnsi="Arial" w:cs="Arial"/>
          <w:color w:val="000000" w:themeColor="text1"/>
          <w:sz w:val="24"/>
          <w:szCs w:val="24"/>
        </w:rPr>
        <w:t xml:space="preserve"> lo </w:t>
      </w:r>
      <w:r w:rsidR="00D83555">
        <w:rPr>
          <w:rFonts w:ascii="Arial" w:eastAsia="Arial" w:hAnsi="Arial" w:cs="Arial"/>
          <w:color w:val="000000" w:themeColor="text1"/>
          <w:sz w:val="24"/>
          <w:szCs w:val="24"/>
        </w:rPr>
        <w:t>que,</w:t>
      </w:r>
      <w:r w:rsidR="0096412C">
        <w:rPr>
          <w:rFonts w:ascii="Arial" w:eastAsia="Arial" w:hAnsi="Arial" w:cs="Arial"/>
          <w:color w:val="000000" w:themeColor="text1"/>
          <w:sz w:val="24"/>
          <w:szCs w:val="24"/>
        </w:rPr>
        <w:t xml:space="preserve"> a su vez, genera que ellas reciban menores salarios y menores apoyos por parte del gobierno</w:t>
      </w:r>
      <w:r w:rsidR="002C7959">
        <w:rPr>
          <w:rFonts w:ascii="Arial" w:eastAsia="Arial" w:hAnsi="Arial" w:cs="Arial"/>
          <w:color w:val="000000" w:themeColor="text1"/>
          <w:sz w:val="24"/>
          <w:szCs w:val="24"/>
        </w:rPr>
        <w:t xml:space="preserve"> o empresas</w:t>
      </w:r>
      <w:r w:rsidR="0096412C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D83555">
        <w:rPr>
          <w:rFonts w:ascii="Arial" w:eastAsia="Arial" w:hAnsi="Arial" w:cs="Arial"/>
          <w:color w:val="000000" w:themeColor="text1"/>
          <w:sz w:val="24"/>
          <w:szCs w:val="24"/>
        </w:rPr>
        <w:t>Al respecto, e</w:t>
      </w:r>
      <w:r w:rsidR="00B4612A">
        <w:rPr>
          <w:rFonts w:ascii="Arial" w:eastAsia="Arial" w:hAnsi="Arial" w:cs="Arial"/>
          <w:color w:val="000000" w:themeColor="text1"/>
          <w:sz w:val="24"/>
          <w:szCs w:val="24"/>
        </w:rPr>
        <w:t xml:space="preserve">l pasado 5 de marzo el Senado de la República aprobó reformas </w:t>
      </w:r>
      <w:r w:rsidR="0083766D">
        <w:rPr>
          <w:rFonts w:ascii="Arial" w:eastAsia="Arial" w:hAnsi="Arial" w:cs="Arial"/>
          <w:color w:val="000000" w:themeColor="text1"/>
          <w:sz w:val="24"/>
          <w:szCs w:val="24"/>
        </w:rPr>
        <w:t xml:space="preserve">-pendientes de aprobación en la Cámara de Diputados- </w:t>
      </w:r>
      <w:r w:rsidR="00B4612A">
        <w:rPr>
          <w:rFonts w:ascii="Arial" w:eastAsia="Arial" w:hAnsi="Arial" w:cs="Arial"/>
          <w:color w:val="000000" w:themeColor="text1"/>
          <w:sz w:val="24"/>
          <w:szCs w:val="24"/>
        </w:rPr>
        <w:t>para garantizar</w:t>
      </w:r>
      <w:r w:rsidR="002D238A">
        <w:rPr>
          <w:rFonts w:ascii="Arial" w:eastAsia="Arial" w:hAnsi="Arial" w:cs="Arial"/>
          <w:color w:val="000000" w:themeColor="text1"/>
          <w:sz w:val="24"/>
          <w:szCs w:val="24"/>
        </w:rPr>
        <w:t xml:space="preserve"> que los salarios base para trabajos igual no pued</w:t>
      </w:r>
      <w:r w:rsidR="00D83555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="002D238A">
        <w:rPr>
          <w:rFonts w:ascii="Arial" w:eastAsia="Arial" w:hAnsi="Arial" w:cs="Arial"/>
          <w:color w:val="000000" w:themeColor="text1"/>
          <w:sz w:val="24"/>
          <w:szCs w:val="24"/>
        </w:rPr>
        <w:t>n ser distintos en función del género, sexo, edad o discapacidad</w:t>
      </w:r>
      <w:r w:rsidR="00341392">
        <w:rPr>
          <w:rFonts w:ascii="Arial" w:eastAsia="Arial" w:hAnsi="Arial" w:cs="Arial"/>
          <w:color w:val="000000" w:themeColor="text1"/>
          <w:sz w:val="24"/>
          <w:szCs w:val="24"/>
        </w:rPr>
        <w:t xml:space="preserve"> con lo que se contribuye a reducir las brechas salariales. </w:t>
      </w:r>
      <w:r w:rsidR="00AA74F0">
        <w:rPr>
          <w:rFonts w:ascii="Arial" w:eastAsia="Arial" w:hAnsi="Arial" w:cs="Arial"/>
          <w:color w:val="000000" w:themeColor="text1"/>
          <w:sz w:val="24"/>
          <w:szCs w:val="24"/>
        </w:rPr>
        <w:t>Si bien d</w:t>
      </w:r>
      <w:r w:rsidR="00341392">
        <w:rPr>
          <w:rFonts w:ascii="Arial" w:eastAsia="Arial" w:hAnsi="Arial" w:cs="Arial"/>
          <w:color w:val="000000" w:themeColor="text1"/>
          <w:sz w:val="24"/>
          <w:szCs w:val="24"/>
        </w:rPr>
        <w:t>icho Dictamen</w:t>
      </w:r>
      <w:r w:rsidR="00AA74F0">
        <w:rPr>
          <w:rFonts w:ascii="Arial" w:eastAsia="Arial" w:hAnsi="Arial" w:cs="Arial"/>
          <w:color w:val="000000" w:themeColor="text1"/>
          <w:sz w:val="24"/>
          <w:szCs w:val="24"/>
        </w:rPr>
        <w:t xml:space="preserve"> es un paso importante, éste contempla que al salario base se le puedan adicionar otras aportaciones derivadas de la categoría de los eventos o funciones, los equipos o la experiencia</w:t>
      </w:r>
      <w:r w:rsidR="00D83555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:rsidR="00A36F23" w:rsidRPr="00855BAD" w:rsidRDefault="00D83555">
      <w:pPr>
        <w:spacing w:before="240"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Además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, existen afirmaciones sin evidencias sólidas que buscan racionalizar acciones discriminatorias contra mujeres trans basándose en los altos niveles de testosterona para justificar su exclusión del ámbito deportivo alegando que </w:t>
      </w:r>
      <w:r w:rsidR="00AF5CCC">
        <w:rPr>
          <w:rFonts w:ascii="Arial" w:eastAsia="Arial" w:hAnsi="Arial" w:cs="Arial"/>
          <w:color w:val="000000" w:themeColor="text1"/>
          <w:sz w:val="24"/>
          <w:szCs w:val="24"/>
        </w:rPr>
        <w:t xml:space="preserve">eso 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>conlleva</w:t>
      </w:r>
      <w:r w:rsidR="00AF5CCC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un mayor rendimiento deportivo o que son peligrosas por su socialización masculina. Sin embargo, </w:t>
      </w:r>
      <w:r w:rsidR="00AF5CCC">
        <w:rPr>
          <w:rFonts w:ascii="Arial" w:eastAsia="Arial" w:hAnsi="Arial" w:cs="Arial"/>
          <w:color w:val="000000" w:themeColor="text1"/>
          <w:sz w:val="24"/>
          <w:szCs w:val="24"/>
        </w:rPr>
        <w:t xml:space="preserve">esto es 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un discurso </w:t>
      </w:r>
      <w:r w:rsidR="00A36F23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pseudo 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>científico</w:t>
      </w:r>
      <w:r w:rsidR="00AF5CCC">
        <w:rPr>
          <w:rFonts w:ascii="Arial" w:eastAsia="Arial" w:hAnsi="Arial" w:cs="Arial"/>
          <w:color w:val="000000" w:themeColor="text1"/>
          <w:sz w:val="24"/>
          <w:szCs w:val="24"/>
        </w:rPr>
        <w:t xml:space="preserve"> que carece de elementos racionales en tanto </w:t>
      </w:r>
      <w:r w:rsidR="00556020">
        <w:rPr>
          <w:rFonts w:ascii="Arial" w:eastAsia="Arial" w:hAnsi="Arial" w:cs="Arial"/>
          <w:color w:val="000000" w:themeColor="text1"/>
          <w:sz w:val="24"/>
          <w:szCs w:val="24"/>
        </w:rPr>
        <w:t xml:space="preserve">la capacidad atleta depende de elementos como la alimentación, la densidad ósea y la masa muscular que no se relacionan con la testosterona. </w:t>
      </w:r>
    </w:p>
    <w:p w:rsidR="00556020" w:rsidRPr="00556020" w:rsidRDefault="00556020" w:rsidP="00556020">
      <w:pPr>
        <w:spacing w:after="0"/>
        <w:ind w:left="72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177122" w:rsidRPr="00855BAD" w:rsidRDefault="008C2BC0" w:rsidP="00887A4E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855BAD">
        <w:rPr>
          <w:rFonts w:ascii="Arial" w:eastAsia="Arial" w:hAnsi="Arial" w:cs="Arial"/>
          <w:b/>
          <w:color w:val="000000" w:themeColor="text1"/>
          <w:sz w:val="24"/>
          <w:szCs w:val="24"/>
        </w:rPr>
        <w:t>¿Qué grupos de mujeres y niñas en el deporte están más expuestos a la violencia y por qué motivos?</w:t>
      </w:r>
    </w:p>
    <w:p w:rsidR="00177122" w:rsidRPr="00855BAD" w:rsidRDefault="00177122">
      <w:pPr>
        <w:spacing w:after="0"/>
        <w:ind w:left="72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B40B65" w:rsidRDefault="00556020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En el deporte</w:t>
      </w:r>
      <w:r w:rsidR="00B40B65">
        <w:rPr>
          <w:rFonts w:ascii="Arial" w:eastAsia="Arial" w:hAnsi="Arial" w:cs="Arial"/>
          <w:color w:val="000000" w:themeColor="text1"/>
          <w:sz w:val="24"/>
          <w:szCs w:val="24"/>
        </w:rPr>
        <w:t xml:space="preserve">, las niñas, las mujeres con discapacidad </w:t>
      </w:r>
      <w:r w:rsidR="00C15B40">
        <w:rPr>
          <w:rFonts w:ascii="Arial" w:eastAsia="Arial" w:hAnsi="Arial" w:cs="Arial"/>
          <w:color w:val="000000" w:themeColor="text1"/>
          <w:sz w:val="24"/>
          <w:szCs w:val="24"/>
        </w:rPr>
        <w:t xml:space="preserve">y 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las </w:t>
      </w:r>
      <w:r w:rsidR="00B40B65">
        <w:rPr>
          <w:rFonts w:ascii="Arial" w:eastAsia="Arial" w:hAnsi="Arial" w:cs="Arial"/>
          <w:color w:val="000000" w:themeColor="text1"/>
          <w:sz w:val="24"/>
          <w:szCs w:val="24"/>
        </w:rPr>
        <w:t>mujeres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trans enfrentan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may</w:t>
      </w:r>
      <w:r w:rsidR="00A270BB">
        <w:rPr>
          <w:rFonts w:ascii="Arial" w:eastAsia="Arial" w:hAnsi="Arial" w:cs="Arial"/>
          <w:color w:val="000000" w:themeColor="text1"/>
          <w:sz w:val="24"/>
          <w:szCs w:val="24"/>
        </w:rPr>
        <w:t>or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>discriminaci</w:t>
      </w:r>
      <w:r w:rsidR="00A270BB">
        <w:rPr>
          <w:rFonts w:ascii="Arial" w:eastAsia="Arial" w:hAnsi="Arial" w:cs="Arial"/>
          <w:color w:val="000000" w:themeColor="text1"/>
          <w:sz w:val="24"/>
          <w:szCs w:val="24"/>
        </w:rPr>
        <w:t xml:space="preserve">ón 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>y violencia</w:t>
      </w:r>
      <w:r w:rsidR="00B40B65">
        <w:rPr>
          <w:rFonts w:ascii="Arial" w:eastAsia="Arial" w:hAnsi="Arial" w:cs="Arial"/>
          <w:color w:val="000000" w:themeColor="text1"/>
          <w:sz w:val="24"/>
          <w:szCs w:val="24"/>
        </w:rPr>
        <w:t xml:space="preserve">. Por un lado, las niñas enfrentan altos índices de abuso o violencia sexual al tener que recurrir a entrenamientos lejos de sus cuidadores primarios, además que se enfrentan de forma constante a </w:t>
      </w:r>
      <w:r w:rsidR="0083766D">
        <w:rPr>
          <w:rFonts w:ascii="Arial" w:eastAsia="Arial" w:hAnsi="Arial" w:cs="Arial"/>
          <w:color w:val="000000" w:themeColor="text1"/>
          <w:sz w:val="24"/>
          <w:szCs w:val="24"/>
        </w:rPr>
        <w:t>trastornos</w:t>
      </w:r>
      <w:r w:rsidR="00B40B65">
        <w:rPr>
          <w:rFonts w:ascii="Arial" w:eastAsia="Arial" w:hAnsi="Arial" w:cs="Arial"/>
          <w:color w:val="000000" w:themeColor="text1"/>
          <w:sz w:val="24"/>
          <w:szCs w:val="24"/>
        </w:rPr>
        <w:t xml:space="preserve"> de la conducta alimenticia u otros padecimientos que afectan su salud. </w:t>
      </w:r>
    </w:p>
    <w:p w:rsidR="0083766D" w:rsidRDefault="0083766D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83766D" w:rsidRPr="00855BAD" w:rsidRDefault="0083766D" w:rsidP="0083766D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Por otro lado, las mujeres con discapacidad</w:t>
      </w:r>
      <w:r w:rsidRPr="0083766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>reciben discriminación por partida doble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porque les son entregados menores recursos para garantizar el acceso al deporte y tienen menores oportunidades de acceder a entrenadores o federaciones que les representen. Por ejemplo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, de los 57 equipos de fútbol adaptado en México, sólo 1 es </w:t>
      </w:r>
      <w:hyperlink r:id="rId10">
        <w:r w:rsidRPr="00855BAD">
          <w:rPr>
            <w:rFonts w:ascii="Arial" w:eastAsia="Arial" w:hAnsi="Arial" w:cs="Arial"/>
            <w:color w:val="000000" w:themeColor="text1"/>
            <w:sz w:val="24"/>
            <w:szCs w:val="24"/>
            <w:u w:val="single"/>
          </w:rPr>
          <w:t>femenil</w:t>
        </w:r>
      </w:hyperlink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:rsidR="0083766D" w:rsidRDefault="0083766D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77122" w:rsidRPr="00855BAD" w:rsidRDefault="00C15B40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Por último, las mujeres trans porque los estereotipos, discriminación y la falta de reglamentos o normativa adecuada les 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niega la posibilidad de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participar en competiciones</w:t>
      </w:r>
      <w:r w:rsidR="00CD4CCE">
        <w:rPr>
          <w:rFonts w:ascii="Arial" w:eastAsia="Arial" w:hAnsi="Arial" w:cs="Arial"/>
          <w:color w:val="000000" w:themeColor="text1"/>
          <w:sz w:val="24"/>
          <w:szCs w:val="24"/>
        </w:rPr>
        <w:t>. A ello, se le suman argumentos carentes de sustento científico como aquellos que basan la participación en los niveles de testosterona dejando fuer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="00CD4CCE">
        <w:rPr>
          <w:rFonts w:ascii="Arial" w:eastAsia="Arial" w:hAnsi="Arial" w:cs="Arial"/>
          <w:color w:val="000000" w:themeColor="text1"/>
          <w:sz w:val="24"/>
          <w:szCs w:val="24"/>
        </w:rPr>
        <w:t xml:space="preserve">a 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mujeres </w:t>
      </w:r>
      <w:proofErr w:type="spellStart"/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>intersex</w:t>
      </w:r>
      <w:proofErr w:type="spellEnd"/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o mujeres con niveles elevados de testosterona. </w:t>
      </w:r>
    </w:p>
    <w:p w:rsidR="00177122" w:rsidRPr="00855BAD" w:rsidRDefault="00177122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77122" w:rsidRPr="00855BAD" w:rsidRDefault="008C2BC0" w:rsidP="00984526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855BAD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 xml:space="preserve">¿Cuáles son las responsabilidades de los actores estatales y no estatales en la prevención de actos de violencia contra las mujeres y las niñas en el deporte, incluida la adopción de medidas para investigarlos y exigir responsabilidades a los responsables, y brindar asistencia y protección a las sobrevivientes de la violencia? </w:t>
      </w:r>
    </w:p>
    <w:p w:rsidR="00177122" w:rsidRPr="00855BAD" w:rsidRDefault="001771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</w:pPr>
    </w:p>
    <w:p w:rsidR="006C2733" w:rsidRDefault="008C2BC0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En la Ley de Educación Física y Deporte de la Ciudad de México, se reconoce el derecho al deporte y se prohíbe toda forma de discriminación, y </w:t>
      </w:r>
      <w:r w:rsidR="00567C1A">
        <w:rPr>
          <w:rFonts w:ascii="Arial" w:eastAsia="Arial" w:hAnsi="Arial" w:cs="Arial"/>
          <w:color w:val="000000" w:themeColor="text1"/>
          <w:sz w:val="24"/>
          <w:szCs w:val="24"/>
        </w:rPr>
        <w:t>se señalan como o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bligaciones de las instituciones públicas y privadas la promoción de la cultura del deporte, de </w:t>
      </w:r>
      <w:r w:rsidRPr="00567C1A">
        <w:rPr>
          <w:rFonts w:ascii="Arial" w:eastAsia="Arial" w:hAnsi="Arial" w:cs="Arial"/>
          <w:color w:val="000000" w:themeColor="text1"/>
          <w:sz w:val="24"/>
          <w:szCs w:val="24"/>
        </w:rPr>
        <w:t>conformidad a los programas diseñados por el Instituto del Deporte de la Ciudad de México</w:t>
      </w:r>
      <w:r w:rsidR="00567C1A">
        <w:rPr>
          <w:rFonts w:ascii="Arial" w:eastAsia="Arial" w:hAnsi="Arial" w:cs="Arial"/>
          <w:color w:val="000000" w:themeColor="text1"/>
          <w:sz w:val="24"/>
          <w:szCs w:val="24"/>
        </w:rPr>
        <w:t>. Es su obligación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fomentar la participación de las mujeres y niñas, incluyendo a las mujeres trans en actividades deportivas, libres de </w:t>
      </w:r>
      <w:r w:rsidR="00677901" w:rsidRPr="00855BAD">
        <w:rPr>
          <w:rFonts w:ascii="Arial" w:eastAsia="Arial" w:hAnsi="Arial" w:cs="Arial"/>
          <w:color w:val="000000" w:themeColor="text1"/>
          <w:sz w:val="24"/>
          <w:szCs w:val="24"/>
        </w:rPr>
        <w:t>discriminación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6C2733" w:rsidRDefault="006C2733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77122" w:rsidRPr="00855BAD" w:rsidRDefault="00984526">
      <w:pPr>
        <w:spacing w:after="0"/>
        <w:jc w:val="both"/>
        <w:rPr>
          <w:rFonts w:ascii="Arial" w:eastAsia="Arial" w:hAnsi="Arial" w:cs="Arial"/>
          <w:i/>
          <w:color w:val="000000" w:themeColor="text1"/>
          <w:sz w:val="24"/>
          <w:szCs w:val="24"/>
        </w:rPr>
      </w:pP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A la par, la Ley sobre el Derecho de las Mujeres a una Vida libre de Violencia establece la obligación de las autoridades de </w:t>
      </w:r>
      <w:r w:rsidR="006C2733">
        <w:rPr>
          <w:rFonts w:ascii="Arial" w:eastAsia="Arial" w:hAnsi="Arial" w:cs="Arial"/>
          <w:color w:val="000000" w:themeColor="text1"/>
          <w:sz w:val="24"/>
          <w:szCs w:val="24"/>
        </w:rPr>
        <w:t xml:space="preserve">erradicar la violencia de todos los ámbitos, lo que incluye el comunitario y el deportivo. </w:t>
      </w:r>
    </w:p>
    <w:p w:rsidR="00177122" w:rsidRPr="00855BAD" w:rsidRDefault="001771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</w:pPr>
    </w:p>
    <w:p w:rsidR="00177122" w:rsidRPr="00855BAD" w:rsidRDefault="008C2BC0" w:rsidP="00887A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 w:themeColor="text1"/>
          <w:sz w:val="24"/>
          <w:szCs w:val="24"/>
        </w:rPr>
      </w:pPr>
      <w:bookmarkStart w:id="1" w:name="_heading=h.30j0zll" w:colFirst="0" w:colLast="0"/>
      <w:bookmarkEnd w:id="1"/>
      <w:r w:rsidRPr="00855BAD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¿Qué medidas han implementado los actores estatales y no estatales para garantizar que los incidentes de violencia contra mujeres y niñas en el deporte puedan denunciarse de manera efectiva y que sean investigados y sancionados exhaustivamente?</w:t>
      </w:r>
    </w:p>
    <w:p w:rsidR="00BC79BB" w:rsidRDefault="006C2733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No se identifican buenas prácticas </w:t>
      </w:r>
      <w:r w:rsidR="00AE544E">
        <w:rPr>
          <w:rFonts w:ascii="Arial" w:eastAsia="Arial" w:hAnsi="Arial" w:cs="Arial"/>
          <w:color w:val="000000" w:themeColor="text1"/>
          <w:sz w:val="24"/>
          <w:szCs w:val="24"/>
        </w:rPr>
        <w:t>por parte de actores estatales</w:t>
      </w:r>
      <w:r w:rsidR="00BC79BB">
        <w:rPr>
          <w:rFonts w:ascii="Arial" w:eastAsia="Arial" w:hAnsi="Arial" w:cs="Arial"/>
          <w:color w:val="000000" w:themeColor="text1"/>
          <w:sz w:val="24"/>
          <w:szCs w:val="24"/>
        </w:rPr>
        <w:t xml:space="preserve"> o no estatales</w:t>
      </w:r>
      <w:r w:rsidR="00AE544E">
        <w:rPr>
          <w:rFonts w:ascii="Arial" w:eastAsia="Arial" w:hAnsi="Arial" w:cs="Arial"/>
          <w:color w:val="000000" w:themeColor="text1"/>
          <w:sz w:val="24"/>
          <w:szCs w:val="24"/>
        </w:rPr>
        <w:t xml:space="preserve"> para garantizar que los incidentes de violencia contra las mujeres </w:t>
      </w:r>
      <w:r w:rsidR="00BC79BB">
        <w:rPr>
          <w:rFonts w:ascii="Arial" w:eastAsia="Arial" w:hAnsi="Arial" w:cs="Arial"/>
          <w:color w:val="000000" w:themeColor="text1"/>
          <w:sz w:val="24"/>
          <w:szCs w:val="24"/>
        </w:rPr>
        <w:t xml:space="preserve">y niñas en el deporte </w:t>
      </w:r>
      <w:r w:rsidR="00AE544E">
        <w:rPr>
          <w:rFonts w:ascii="Arial" w:eastAsia="Arial" w:hAnsi="Arial" w:cs="Arial"/>
          <w:color w:val="000000" w:themeColor="text1"/>
          <w:sz w:val="24"/>
          <w:szCs w:val="24"/>
        </w:rPr>
        <w:t>puedan denunciarse de forma efectiva</w:t>
      </w:r>
      <w:r w:rsidR="00BC79BB">
        <w:rPr>
          <w:rFonts w:ascii="Arial" w:eastAsia="Arial" w:hAnsi="Arial" w:cs="Arial"/>
          <w:color w:val="000000" w:themeColor="text1"/>
          <w:sz w:val="24"/>
          <w:szCs w:val="24"/>
        </w:rPr>
        <w:t xml:space="preserve"> y sean investigados. Por el contrario, se documenta que hay varios casos que han incluido agresiones físicas, maltrato psicológico y abuso sexual que han sido denunciados en redes sociales </w:t>
      </w:r>
      <w:r w:rsidR="00AF549B">
        <w:rPr>
          <w:rFonts w:ascii="Arial" w:eastAsia="Arial" w:hAnsi="Arial" w:cs="Arial"/>
          <w:color w:val="000000" w:themeColor="text1"/>
          <w:sz w:val="24"/>
          <w:szCs w:val="24"/>
        </w:rPr>
        <w:t xml:space="preserve">ante la </w:t>
      </w:r>
      <w:r w:rsidR="00AF549B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inactividad de las Fiscalías encargadas de la investigación y ante la corrupción que </w:t>
      </w:r>
      <w:r w:rsidR="00F95E39">
        <w:rPr>
          <w:rFonts w:ascii="Arial" w:eastAsia="Arial" w:hAnsi="Arial" w:cs="Arial"/>
          <w:color w:val="000000" w:themeColor="text1"/>
          <w:sz w:val="24"/>
          <w:szCs w:val="24"/>
        </w:rPr>
        <w:t xml:space="preserve">mantiene en impunidad a </w:t>
      </w:r>
      <w:r w:rsidR="002C7959">
        <w:rPr>
          <w:rFonts w:ascii="Arial" w:eastAsia="Arial" w:hAnsi="Arial" w:cs="Arial"/>
          <w:color w:val="000000" w:themeColor="text1"/>
          <w:sz w:val="24"/>
          <w:szCs w:val="24"/>
        </w:rPr>
        <w:t xml:space="preserve">quienes fueron denunciados. </w:t>
      </w:r>
      <w:r w:rsidR="00F95E3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177122" w:rsidRPr="00855BAD" w:rsidRDefault="00F95E39" w:rsidP="00887A4E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¿</w:t>
      </w:r>
      <w:r w:rsidR="008C2BC0" w:rsidRPr="00855BAD">
        <w:rPr>
          <w:rFonts w:ascii="Arial" w:eastAsia="Arial" w:hAnsi="Arial" w:cs="Arial"/>
          <w:b/>
          <w:color w:val="000000" w:themeColor="text1"/>
          <w:sz w:val="24"/>
          <w:szCs w:val="24"/>
        </w:rPr>
        <w:t>En qué medida las mujeres y las niñas en el deporte están siendo efectivamente involucradas y consultadas en el diseño e implementación de políticas?</w:t>
      </w:r>
    </w:p>
    <w:p w:rsidR="00177122" w:rsidRPr="00855BAD" w:rsidRDefault="00177122">
      <w:pPr>
        <w:spacing w:after="0"/>
        <w:ind w:left="72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177122" w:rsidRPr="00855BAD" w:rsidRDefault="008C2BC0" w:rsidP="00984526">
      <w:pPr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</w:pP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>No existe</w:t>
      </w:r>
      <w:r w:rsidR="00984526" w:rsidRPr="00855BAD">
        <w:rPr>
          <w:rFonts w:ascii="Arial" w:eastAsia="Arial" w:hAnsi="Arial" w:cs="Arial"/>
          <w:color w:val="000000" w:themeColor="text1"/>
          <w:sz w:val="24"/>
          <w:szCs w:val="24"/>
        </w:rPr>
        <w:t>n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en México esquemas de participación </w:t>
      </w:r>
      <w:r w:rsidR="00984526" w:rsidRPr="00855BAD">
        <w:rPr>
          <w:rFonts w:ascii="Arial" w:eastAsia="Arial" w:hAnsi="Arial" w:cs="Arial"/>
          <w:color w:val="000000" w:themeColor="text1"/>
          <w:sz w:val="24"/>
          <w:szCs w:val="24"/>
        </w:rPr>
        <w:t>promovidos por las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autoridades federales o locales </w:t>
      </w:r>
      <w:r w:rsidR="00984526" w:rsidRPr="00855BAD">
        <w:rPr>
          <w:rFonts w:ascii="Arial" w:eastAsia="Arial" w:hAnsi="Arial" w:cs="Arial"/>
          <w:color w:val="000000" w:themeColor="text1"/>
          <w:sz w:val="24"/>
          <w:szCs w:val="24"/>
        </w:rPr>
        <w:t>para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un ejercicio de participación </w:t>
      </w:r>
      <w:r w:rsidR="00984526" w:rsidRPr="00855BAD">
        <w:rPr>
          <w:rFonts w:ascii="Arial" w:eastAsia="Arial" w:hAnsi="Arial" w:cs="Arial"/>
          <w:color w:val="000000" w:themeColor="text1"/>
          <w:sz w:val="24"/>
          <w:szCs w:val="24"/>
        </w:rPr>
        <w:t>para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mujeres y niñas </w:t>
      </w:r>
      <w:r w:rsidR="00984526" w:rsidRPr="00855BAD">
        <w:rPr>
          <w:rFonts w:ascii="Arial" w:eastAsia="Arial" w:hAnsi="Arial" w:cs="Arial"/>
          <w:color w:val="000000" w:themeColor="text1"/>
          <w:sz w:val="24"/>
          <w:szCs w:val="24"/>
        </w:rPr>
        <w:t>atendiendo a los estándares diferenciados (niñez, discapacidad, indígenas, afromexicanas</w:t>
      </w:r>
      <w:r w:rsidR="00F95E39">
        <w:rPr>
          <w:rFonts w:ascii="Arial" w:eastAsia="Arial" w:hAnsi="Arial" w:cs="Arial"/>
          <w:color w:val="000000" w:themeColor="text1"/>
          <w:sz w:val="24"/>
          <w:szCs w:val="24"/>
        </w:rPr>
        <w:t xml:space="preserve"> o a </w:t>
      </w:r>
      <w:r w:rsidR="00984526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la </w:t>
      </w:r>
      <w:proofErr w:type="spellStart"/>
      <w:r w:rsidR="00984526" w:rsidRPr="00855BAD">
        <w:rPr>
          <w:rFonts w:ascii="Arial" w:eastAsia="Arial" w:hAnsi="Arial" w:cs="Arial"/>
          <w:color w:val="000000" w:themeColor="text1"/>
          <w:sz w:val="24"/>
          <w:szCs w:val="24"/>
        </w:rPr>
        <w:t>interesección</w:t>
      </w:r>
      <w:proofErr w:type="spellEnd"/>
      <w:r w:rsidR="00984526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de todas las anteriores)</w:t>
      </w:r>
      <w:r w:rsidR="00F95E39">
        <w:rPr>
          <w:rFonts w:ascii="Arial" w:eastAsia="Arial" w:hAnsi="Arial" w:cs="Arial"/>
          <w:color w:val="000000" w:themeColor="text1"/>
          <w:sz w:val="24"/>
          <w:szCs w:val="24"/>
        </w:rPr>
        <w:t xml:space="preserve">. Sin embargo, en la Ciudad de México se observan algunos esfuerzos relacionados con la construcción de espacios para la actividad física como parte de los Proyectos de Participación Ciudadana y Presupuesto Participativo elaborados por el Instituto Electoral de la Ciudad de México. </w:t>
      </w:r>
    </w:p>
    <w:p w:rsidR="00177122" w:rsidRPr="00855BAD" w:rsidRDefault="008C2BC0" w:rsidP="00887A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855BAD">
        <w:rPr>
          <w:rFonts w:ascii="Arial" w:eastAsia="Arial" w:hAnsi="Arial" w:cs="Arial"/>
          <w:b/>
          <w:color w:val="000000" w:themeColor="text1"/>
          <w:sz w:val="24"/>
          <w:szCs w:val="24"/>
          <w:u w:val="single"/>
        </w:rPr>
        <w:t>Sírvase proporcionar ejemplos de buenas prácticas que hayan sido adoptadas por actores estatales y no estatales para poner fin a la violencia contra las mujeres y las niñas en los deportes.</w:t>
      </w:r>
    </w:p>
    <w:p w:rsidR="00177122" w:rsidRPr="00855BAD" w:rsidRDefault="0017712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177122" w:rsidRDefault="008123D6" w:rsidP="008123D6">
      <w:pPr>
        <w:jc w:val="both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Ejemplos de buenas prácticas, es la puesta en marcha del </w:t>
      </w:r>
      <w:r w:rsidR="008C2BC0" w:rsidRPr="008123D6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Módulo de Práctica Deportiva y Ejercicio Físico (MOPRADEF) 2022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 por el </w:t>
      </w:r>
      <w:r w:rsidRPr="008123D6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Instituto Nacional de Estadística y Geografía (INEGI) 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que </w:t>
      </w:r>
      <w:r w:rsidR="008C2BC0" w:rsidRPr="008123D6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>ofrece información sobre las características de</w:t>
      </w: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l ejercicio en México y que es un buen punto de partida para la elaboración de política pública en la materia. </w:t>
      </w:r>
    </w:p>
    <w:p w:rsidR="00677901" w:rsidRPr="001C147C" w:rsidRDefault="008123D6" w:rsidP="001C147C">
      <w:pPr>
        <w:jc w:val="both"/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Otras acciones son aquellas relacionadas con la reinserción social pues </w:t>
      </w:r>
      <w:r w:rsidR="001C147C">
        <w:rPr>
          <w:rFonts w:ascii="Arial" w:eastAsia="Arial" w:hAnsi="Arial" w:cs="Arial"/>
          <w:color w:val="000000" w:themeColor="text1"/>
          <w:sz w:val="24"/>
          <w:szCs w:val="24"/>
          <w:highlight w:val="white"/>
        </w:rPr>
        <w:t xml:space="preserve">se considera que las actividades deportivas han sido utilizadas para promover la reinserción social en mujeres privadas de la libertad. El </w:t>
      </w:r>
      <w:hyperlink r:id="rId11">
        <w:r w:rsidR="008C2BC0" w:rsidRPr="008123D6">
          <w:rPr>
            <w:rFonts w:ascii="Arial" w:eastAsia="Arial" w:hAnsi="Arial" w:cs="Arial"/>
            <w:color w:val="000000" w:themeColor="text1"/>
            <w:sz w:val="24"/>
            <w:szCs w:val="24"/>
          </w:rPr>
          <w:t>60% de las mujeres privadas de la libertad</w:t>
        </w:r>
      </w:hyperlink>
      <w:r w:rsidR="008C2BC0" w:rsidRPr="008123D6">
        <w:rPr>
          <w:rFonts w:ascii="Arial" w:eastAsia="Arial" w:hAnsi="Arial" w:cs="Arial"/>
          <w:color w:val="000000" w:themeColor="text1"/>
          <w:sz w:val="24"/>
          <w:szCs w:val="24"/>
        </w:rPr>
        <w:t xml:space="preserve"> practica alguna de las 22 disciplinas deportivas que se promueven en el Sistema Penitenciario de la capital.</w:t>
      </w:r>
    </w:p>
    <w:p w:rsidR="00177122" w:rsidRPr="008123D6" w:rsidRDefault="001C14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Por último, se observa e</w:t>
      </w:r>
      <w:r w:rsidR="008C2BC0" w:rsidRPr="008123D6">
        <w:rPr>
          <w:rFonts w:ascii="Arial" w:eastAsia="Arial" w:hAnsi="Arial" w:cs="Arial"/>
          <w:color w:val="000000" w:themeColor="text1"/>
          <w:sz w:val="24"/>
          <w:szCs w:val="24"/>
        </w:rPr>
        <w:t xml:space="preserve">l caso de </w:t>
      </w:r>
      <w:proofErr w:type="spellStart"/>
      <w:r w:rsidR="008C2BC0" w:rsidRPr="008123D6">
        <w:rPr>
          <w:rFonts w:ascii="Arial" w:eastAsia="Arial" w:hAnsi="Arial" w:cs="Arial"/>
          <w:color w:val="000000" w:themeColor="text1"/>
          <w:sz w:val="24"/>
          <w:szCs w:val="24"/>
        </w:rPr>
        <w:t>Mazikeen</w:t>
      </w:r>
      <w:proofErr w:type="spellEnd"/>
      <w:r w:rsidR="008C2BC0" w:rsidRPr="008123D6">
        <w:rPr>
          <w:rFonts w:ascii="Arial" w:eastAsia="Arial" w:hAnsi="Arial" w:cs="Arial"/>
          <w:color w:val="000000" w:themeColor="text1"/>
          <w:sz w:val="24"/>
          <w:szCs w:val="24"/>
        </w:rPr>
        <w:t xml:space="preserve"> Castillo, la </w:t>
      </w:r>
      <w:hyperlink r:id="rId12">
        <w:r w:rsidR="008C2BC0" w:rsidRPr="008123D6">
          <w:rPr>
            <w:rFonts w:ascii="Arial" w:eastAsia="Arial" w:hAnsi="Arial" w:cs="Arial"/>
            <w:color w:val="000000" w:themeColor="text1"/>
            <w:sz w:val="24"/>
            <w:szCs w:val="24"/>
          </w:rPr>
          <w:t xml:space="preserve">primera mujer trans en México en ser campeona de jiu-jitsu brasileño en la rama femenil </w:t>
        </w:r>
      </w:hyperlink>
      <w:r>
        <w:rPr>
          <w:rFonts w:ascii="Arial" w:eastAsia="Arial" w:hAnsi="Arial" w:cs="Arial"/>
          <w:color w:val="000000" w:themeColor="text1"/>
          <w:sz w:val="24"/>
          <w:szCs w:val="24"/>
        </w:rPr>
        <w:t>que si bien</w:t>
      </w:r>
      <w:r w:rsidR="008C2BC0" w:rsidRPr="008123D6">
        <w:rPr>
          <w:rFonts w:ascii="Arial" w:eastAsia="Arial" w:hAnsi="Arial" w:cs="Arial"/>
          <w:color w:val="000000" w:themeColor="text1"/>
          <w:sz w:val="24"/>
          <w:szCs w:val="24"/>
        </w:rPr>
        <w:t xml:space="preserve"> enfrentó diversos obstáculos para su participación sin discriminación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es </w:t>
      </w:r>
      <w:r w:rsidR="008C2BC0" w:rsidRPr="008123D6">
        <w:rPr>
          <w:rFonts w:ascii="Arial" w:eastAsia="Arial" w:hAnsi="Arial" w:cs="Arial"/>
          <w:color w:val="000000" w:themeColor="text1"/>
          <w:sz w:val="24"/>
          <w:szCs w:val="24"/>
        </w:rPr>
        <w:t xml:space="preserve">un precedente en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la participación de las mujeres trans. </w:t>
      </w:r>
    </w:p>
    <w:p w:rsidR="00177122" w:rsidRPr="00855BAD" w:rsidRDefault="0017712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</w:p>
    <w:p w:rsidR="00177122" w:rsidRPr="00855BAD" w:rsidRDefault="008C2BC0" w:rsidP="00984526">
      <w:pPr>
        <w:pStyle w:val="Prrafodelista"/>
        <w:numPr>
          <w:ilvl w:val="0"/>
          <w:numId w:val="6"/>
        </w:numPr>
        <w:spacing w:after="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855BAD">
        <w:rPr>
          <w:rFonts w:ascii="Arial" w:eastAsia="Arial" w:hAnsi="Arial" w:cs="Arial"/>
          <w:b/>
          <w:color w:val="000000" w:themeColor="text1"/>
          <w:sz w:val="24"/>
          <w:szCs w:val="24"/>
        </w:rPr>
        <w:t>Por favor proporcione recomendaciones sobre cómo se puede prevenir la violencia contra las mujeres y las niñas en el deporte y qué se debe hacer para responder mejor a las necesidades de los sobrevivientes de dicha violencia.</w:t>
      </w:r>
    </w:p>
    <w:p w:rsidR="00984526" w:rsidRPr="00855BAD" w:rsidRDefault="00984526" w:rsidP="00882584">
      <w:pPr>
        <w:pStyle w:val="Prrafodelista"/>
        <w:numPr>
          <w:ilvl w:val="0"/>
          <w:numId w:val="10"/>
        </w:num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Iniciar la transformación de los sistemas deportivos para su aceptabilidad y accesibilidad a todas las mujeres. </w:t>
      </w:r>
    </w:p>
    <w:p w:rsidR="00177122" w:rsidRPr="00855BAD" w:rsidRDefault="008C2BC0" w:rsidP="00882584">
      <w:pPr>
        <w:numPr>
          <w:ilvl w:val="0"/>
          <w:numId w:val="10"/>
        </w:num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Generar mecanismos de consulta para la elaboración de políticas públicas que garanticen el derecho al deporte de las mujeres </w:t>
      </w:r>
      <w:r w:rsidR="00882584">
        <w:rPr>
          <w:rFonts w:ascii="Arial" w:eastAsia="Arial" w:hAnsi="Arial" w:cs="Arial"/>
          <w:color w:val="000000" w:themeColor="text1"/>
          <w:sz w:val="24"/>
          <w:szCs w:val="24"/>
        </w:rPr>
        <w:t>y niñas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177122" w:rsidRPr="00855BAD" w:rsidRDefault="00882584" w:rsidP="00882584">
      <w:pPr>
        <w:numPr>
          <w:ilvl w:val="0"/>
          <w:numId w:val="10"/>
        </w:num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Construir</w:t>
      </w:r>
      <w:r w:rsidR="008C2BC0"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 mecanismos que garanticen el acceso a la justicia, atención, investigación, sanción y reparación, a las mujeres y niñas que son víctimas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de violencia en el deporte por agentes estatales y no estatales. </w:t>
      </w:r>
    </w:p>
    <w:p w:rsidR="00882584" w:rsidRDefault="008C2BC0" w:rsidP="00882584">
      <w:pPr>
        <w:numPr>
          <w:ilvl w:val="0"/>
          <w:numId w:val="10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Garantizar las condiciones no sólo estructurales sino sociales, acompañadas de leyes y políticas públicas que permitan el libre desarrollo en el ámbito </w:t>
      </w:r>
      <w:r w:rsidR="00882584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Pr="00855BAD">
        <w:rPr>
          <w:rFonts w:ascii="Arial" w:eastAsia="Arial" w:hAnsi="Arial" w:cs="Arial"/>
          <w:color w:val="000000" w:themeColor="text1"/>
          <w:sz w:val="24"/>
          <w:szCs w:val="24"/>
        </w:rPr>
        <w:t xml:space="preserve">eportivo hacia niñas y mujeres. </w:t>
      </w:r>
    </w:p>
    <w:p w:rsidR="00177122" w:rsidRPr="00882584" w:rsidRDefault="00882584" w:rsidP="00882584">
      <w:pPr>
        <w:numPr>
          <w:ilvl w:val="0"/>
          <w:numId w:val="10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Aplicar </w:t>
      </w:r>
      <w:r w:rsidR="00984526" w:rsidRPr="00882584">
        <w:rPr>
          <w:rFonts w:ascii="Arial" w:eastAsia="Arial" w:hAnsi="Arial" w:cs="Arial"/>
          <w:color w:val="000000" w:themeColor="text1"/>
          <w:sz w:val="24"/>
          <w:szCs w:val="24"/>
        </w:rPr>
        <w:t>los P</w:t>
      </w:r>
      <w:r w:rsidR="008C2BC0" w:rsidRPr="00882584">
        <w:rPr>
          <w:rFonts w:ascii="Arial" w:eastAsia="Arial" w:hAnsi="Arial" w:cs="Arial"/>
          <w:color w:val="000000" w:themeColor="text1"/>
          <w:sz w:val="24"/>
          <w:szCs w:val="24"/>
        </w:rPr>
        <w:t xml:space="preserve">rincipios </w:t>
      </w:r>
      <w:r w:rsidR="00984526" w:rsidRPr="00882584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="008C2BC0" w:rsidRPr="00882584">
        <w:rPr>
          <w:rFonts w:ascii="Arial" w:eastAsia="Arial" w:hAnsi="Arial" w:cs="Arial"/>
          <w:color w:val="000000" w:themeColor="text1"/>
          <w:sz w:val="24"/>
          <w:szCs w:val="24"/>
        </w:rPr>
        <w:t xml:space="preserve">ectores sobre las </w:t>
      </w:r>
      <w:r w:rsidR="00984526" w:rsidRPr="00882584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="008C2BC0" w:rsidRPr="00882584">
        <w:rPr>
          <w:rFonts w:ascii="Arial" w:eastAsia="Arial" w:hAnsi="Arial" w:cs="Arial"/>
          <w:color w:val="000000" w:themeColor="text1"/>
          <w:sz w:val="24"/>
          <w:szCs w:val="24"/>
        </w:rPr>
        <w:t xml:space="preserve">mpresas y los </w:t>
      </w:r>
      <w:r w:rsidR="00984526" w:rsidRPr="00882584">
        <w:rPr>
          <w:rFonts w:ascii="Arial" w:eastAsia="Arial" w:hAnsi="Arial" w:cs="Arial"/>
          <w:color w:val="000000" w:themeColor="text1"/>
          <w:sz w:val="24"/>
          <w:szCs w:val="24"/>
        </w:rPr>
        <w:t>D</w:t>
      </w:r>
      <w:r w:rsidR="008C2BC0" w:rsidRPr="00882584">
        <w:rPr>
          <w:rFonts w:ascii="Arial" w:eastAsia="Arial" w:hAnsi="Arial" w:cs="Arial"/>
          <w:color w:val="000000" w:themeColor="text1"/>
          <w:sz w:val="24"/>
          <w:szCs w:val="24"/>
        </w:rPr>
        <w:t xml:space="preserve">erechos </w:t>
      </w:r>
      <w:r w:rsidR="00984526" w:rsidRPr="00882584">
        <w:rPr>
          <w:rFonts w:ascii="Arial" w:eastAsia="Arial" w:hAnsi="Arial" w:cs="Arial"/>
          <w:color w:val="000000" w:themeColor="text1"/>
          <w:sz w:val="24"/>
          <w:szCs w:val="24"/>
        </w:rPr>
        <w:t>H</w:t>
      </w:r>
      <w:r w:rsidR="008C2BC0" w:rsidRPr="00882584">
        <w:rPr>
          <w:rFonts w:ascii="Arial" w:eastAsia="Arial" w:hAnsi="Arial" w:cs="Arial"/>
          <w:color w:val="000000" w:themeColor="text1"/>
          <w:sz w:val="24"/>
          <w:szCs w:val="24"/>
        </w:rPr>
        <w:t xml:space="preserve">umanos </w:t>
      </w:r>
      <w:r w:rsidR="002C7959">
        <w:rPr>
          <w:rFonts w:ascii="Arial" w:eastAsia="Arial" w:hAnsi="Arial" w:cs="Arial"/>
          <w:color w:val="000000" w:themeColor="text1"/>
          <w:sz w:val="24"/>
          <w:szCs w:val="24"/>
        </w:rPr>
        <w:t xml:space="preserve">sobre los agentes no estatales involucrados en el deporte. </w:t>
      </w:r>
    </w:p>
    <w:p w:rsidR="00984526" w:rsidRPr="00677901" w:rsidRDefault="00984526" w:rsidP="00984526">
      <w:pPr>
        <w:spacing w:after="0"/>
        <w:ind w:left="720"/>
        <w:jc w:val="both"/>
        <w:rPr>
          <w:rFonts w:ascii="Arial" w:eastAsia="Arial" w:hAnsi="Arial" w:cs="Arial"/>
        </w:rPr>
      </w:pPr>
    </w:p>
    <w:sectPr w:rsidR="00984526" w:rsidRPr="00677901">
      <w:headerReference w:type="default" r:id="rId13"/>
      <w:footerReference w:type="default" r:id="rId14"/>
      <w:pgSz w:w="12240" w:h="15840"/>
      <w:pgMar w:top="1559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EB4" w:rsidRDefault="00385EB4">
      <w:pPr>
        <w:spacing w:after="0" w:line="240" w:lineRule="auto"/>
      </w:pPr>
      <w:r>
        <w:separator/>
      </w:r>
    </w:p>
  </w:endnote>
  <w:endnote w:type="continuationSeparator" w:id="0">
    <w:p w:rsidR="00385EB4" w:rsidRDefault="0038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122" w:rsidRDefault="008C2B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7901">
      <w:rPr>
        <w:noProof/>
        <w:color w:val="000000"/>
      </w:rPr>
      <w:t>1</w:t>
    </w:r>
    <w:r>
      <w:rPr>
        <w:color w:val="000000"/>
      </w:rPr>
      <w:fldChar w:fldCharType="end"/>
    </w:r>
  </w:p>
  <w:p w:rsidR="00177122" w:rsidRDefault="001771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EB4" w:rsidRDefault="00385EB4">
      <w:pPr>
        <w:spacing w:after="0" w:line="240" w:lineRule="auto"/>
      </w:pPr>
      <w:r>
        <w:separator/>
      </w:r>
    </w:p>
  </w:footnote>
  <w:footnote w:type="continuationSeparator" w:id="0">
    <w:p w:rsidR="00385EB4" w:rsidRDefault="0038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122" w:rsidRDefault="008C2BC0">
    <w:pPr>
      <w:tabs>
        <w:tab w:val="center" w:pos="4419"/>
        <w:tab w:val="right" w:pos="8838"/>
        <w:tab w:val="left" w:pos="926"/>
        <w:tab w:val="left" w:pos="1080"/>
        <w:tab w:val="right" w:pos="10224"/>
      </w:tabs>
      <w:spacing w:after="0" w:line="240" w:lineRule="auto"/>
      <w:jc w:val="center"/>
      <w:rPr>
        <w:rFonts w:ascii="Lora" w:eastAsia="Lora" w:hAnsi="Lora" w:cs="Lora"/>
        <w:b/>
        <w:sz w:val="20"/>
        <w:szCs w:val="20"/>
      </w:rPr>
    </w:pPr>
    <w:r>
      <w:rPr>
        <w:rFonts w:ascii="Arial Narrow" w:eastAsia="Arial Narrow" w:hAnsi="Arial Narrow" w:cs="Arial Narrow"/>
        <w:b/>
        <w:noProof/>
        <w:color w:val="674EA7"/>
        <w:sz w:val="18"/>
        <w:szCs w:val="18"/>
      </w:rPr>
      <w:drawing>
        <wp:inline distT="0" distB="0" distL="0" distR="0">
          <wp:extent cx="5612130" cy="5842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77122" w:rsidRDefault="00372C1F">
    <w:pPr>
      <w:tabs>
        <w:tab w:val="center" w:pos="4419"/>
        <w:tab w:val="right" w:pos="8838"/>
        <w:tab w:val="left" w:pos="926"/>
        <w:tab w:val="left" w:pos="1080"/>
        <w:tab w:val="right" w:pos="10224"/>
      </w:tabs>
      <w:spacing w:after="0" w:line="240" w:lineRule="auto"/>
      <w:ind w:right="-40"/>
      <w:jc w:val="right"/>
    </w:pPr>
    <w:r>
      <w:rPr>
        <w:rFonts w:ascii="Lora" w:eastAsia="Lora" w:hAnsi="Lora" w:cs="Lora"/>
        <w:b/>
        <w:sz w:val="20"/>
        <w:szCs w:val="20"/>
      </w:rPr>
      <w:t>COMISIÓN DE DERECHOS HUMANOS DE LA CIUDAD DE MÉXICO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42C4"/>
    <w:multiLevelType w:val="hybridMultilevel"/>
    <w:tmpl w:val="1E6C9F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5EF4"/>
    <w:multiLevelType w:val="multilevel"/>
    <w:tmpl w:val="E6B07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181916"/>
    <w:multiLevelType w:val="hybridMultilevel"/>
    <w:tmpl w:val="1646EA2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945FFA"/>
    <w:multiLevelType w:val="hybridMultilevel"/>
    <w:tmpl w:val="A7CA818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620F79"/>
    <w:multiLevelType w:val="multilevel"/>
    <w:tmpl w:val="85DEF9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B17C93"/>
    <w:multiLevelType w:val="multilevel"/>
    <w:tmpl w:val="C2E8E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E76C1B"/>
    <w:multiLevelType w:val="hybridMultilevel"/>
    <w:tmpl w:val="08A2A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D2403"/>
    <w:multiLevelType w:val="hybridMultilevel"/>
    <w:tmpl w:val="E50A6E2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7190F"/>
    <w:multiLevelType w:val="hybridMultilevel"/>
    <w:tmpl w:val="40FC843E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63FE9"/>
    <w:multiLevelType w:val="multilevel"/>
    <w:tmpl w:val="3648E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22"/>
    <w:rsid w:val="000753F7"/>
    <w:rsid w:val="000C423B"/>
    <w:rsid w:val="001427A8"/>
    <w:rsid w:val="00160628"/>
    <w:rsid w:val="00177122"/>
    <w:rsid w:val="001C147C"/>
    <w:rsid w:val="002C7959"/>
    <w:rsid w:val="002D238A"/>
    <w:rsid w:val="00341392"/>
    <w:rsid w:val="00372C1F"/>
    <w:rsid w:val="00385EB4"/>
    <w:rsid w:val="004D2FF3"/>
    <w:rsid w:val="00556020"/>
    <w:rsid w:val="00567C1A"/>
    <w:rsid w:val="00677901"/>
    <w:rsid w:val="006C2733"/>
    <w:rsid w:val="007379B7"/>
    <w:rsid w:val="008123D6"/>
    <w:rsid w:val="0083766D"/>
    <w:rsid w:val="00855BAD"/>
    <w:rsid w:val="00882584"/>
    <w:rsid w:val="00887A4E"/>
    <w:rsid w:val="008C2BC0"/>
    <w:rsid w:val="008D189B"/>
    <w:rsid w:val="0096412C"/>
    <w:rsid w:val="00984526"/>
    <w:rsid w:val="00A270BB"/>
    <w:rsid w:val="00A36F23"/>
    <w:rsid w:val="00AA74F0"/>
    <w:rsid w:val="00AC7B07"/>
    <w:rsid w:val="00AE544E"/>
    <w:rsid w:val="00AF549B"/>
    <w:rsid w:val="00AF5CCC"/>
    <w:rsid w:val="00B04D8D"/>
    <w:rsid w:val="00B40B65"/>
    <w:rsid w:val="00B4612A"/>
    <w:rsid w:val="00BC79BB"/>
    <w:rsid w:val="00BD585B"/>
    <w:rsid w:val="00BF5903"/>
    <w:rsid w:val="00C15B40"/>
    <w:rsid w:val="00C75716"/>
    <w:rsid w:val="00CD4CCE"/>
    <w:rsid w:val="00D35D24"/>
    <w:rsid w:val="00D83555"/>
    <w:rsid w:val="00DD3391"/>
    <w:rsid w:val="00E24E52"/>
    <w:rsid w:val="00E862D9"/>
    <w:rsid w:val="00EA5EF1"/>
    <w:rsid w:val="00EB134A"/>
    <w:rsid w:val="00F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91F84"/>
  <w15:docId w15:val="{BD4E68D8-A8ED-4680-8B79-1B4BDF38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887A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F2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72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C1F"/>
  </w:style>
  <w:style w:type="paragraph" w:styleId="Piedepgina">
    <w:name w:val="footer"/>
    <w:basedOn w:val="Normal"/>
    <w:link w:val="PiedepginaCar"/>
    <w:uiPriority w:val="99"/>
    <w:unhideWhenUsed/>
    <w:rsid w:val="00372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calls-for-input/2024/call-input-report-special-rapporteur-violence-against-women-and-girls-un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times.com/espanol/deportes/articulo/2023-06-18/la-peleadora-trans-de-jiu-jitsu-que-rompe-barreras-en-el-deporte-mexicano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nitenciario.cdmx.gob.mx/comunicacion/nota/el-60-de-las-mujeres-privadas-de-su-libertad-practica-deport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tambien.mx/actualidad/equipos-de-futbol-para-personas-con-discapacidad-en-mexico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lacaderadeeva.com/voces/pendiente-visibilizar-violencia-de-genero-en-el-deporte/613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CZC4ZnR+Ii10FQ460Jk4jD+RfQ==">CgMxLjAyCWguMzBqMHpsbDgAciExVnlHeW8xQi1waGN6T002NDNVeEk5TUJOaHVxYzlUbGk=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NHRIs</Category>
    <Filename xmlns="d42e65b2-cf21-49c1-b27d-d23f90380c0e" xsi:nil="true"/>
    <Doctype xmlns="d42e65b2-cf21-49c1-b27d-d23f90380c0e">input</Doctype>
    <Contributor xmlns="d42e65b2-cf21-49c1-b27d-d23f90380c0e">Comision de Derechos Humanos de la Ciudad de Mexico</Contributor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7A6BCD-3018-4B6E-85A4-EA23986DA1B1}"/>
</file>

<file path=customXml/itemProps3.xml><?xml version="1.0" encoding="utf-8"?>
<ds:datastoreItem xmlns:ds="http://schemas.openxmlformats.org/officeDocument/2006/customXml" ds:itemID="{D2B0AD30-3FD2-46CB-B1B3-B3A1229B5CBC}"/>
</file>

<file path=customXml/itemProps4.xml><?xml version="1.0" encoding="utf-8"?>
<ds:datastoreItem xmlns:ds="http://schemas.openxmlformats.org/officeDocument/2006/customXml" ds:itemID="{BA6624BF-99C5-489B-AB3A-41F641959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2043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Maria Castila Peon</dc:creator>
  <cp:lastModifiedBy>Secretaría Ejecutiva</cp:lastModifiedBy>
  <cp:revision>3</cp:revision>
  <cp:lastPrinted>2024-04-30T18:53:00Z</cp:lastPrinted>
  <dcterms:created xsi:type="dcterms:W3CDTF">2024-04-30T19:54:00Z</dcterms:created>
  <dcterms:modified xsi:type="dcterms:W3CDTF">2024-04-30T23:55:00Z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