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E4319" w:rsidRDefault="00DB0A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SR - VAW Call for Inputs. Links between “Prostitution” and Violence against sex workers</w:t>
      </w:r>
    </w:p>
    <w:p w14:paraId="00000002"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Submitted by </w:t>
      </w:r>
      <w:r>
        <w:rPr>
          <w:rFonts w:ascii="Times New Roman" w:eastAsia="Times New Roman" w:hAnsi="Times New Roman" w:cs="Times New Roman"/>
          <w:sz w:val="24"/>
          <w:szCs w:val="24"/>
        </w:rPr>
        <w:t>Sex worker organisations and allies,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Bangladesh</w:t>
      </w:r>
    </w:p>
    <w:p w14:paraId="00000003" w14:textId="77777777" w:rsidR="00EE4319" w:rsidRDefault="00DB0AB2">
      <w:pPr>
        <w:spacing w:after="20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This submission can be published on the UN website for public information purposes.</w:t>
      </w:r>
    </w:p>
    <w:p w14:paraId="00000004" w14:textId="77777777" w:rsidR="00EE4319" w:rsidRDefault="00DB0A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w:t>
      </w:r>
    </w:p>
    <w:p w14:paraId="00000005" w14:textId="77777777" w:rsidR="00EE4319" w:rsidRDefault="00DB0A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06"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forced eviction of sex workers from the </w:t>
      </w:r>
      <w:proofErr w:type="spellStart"/>
      <w:r>
        <w:rPr>
          <w:rFonts w:ascii="Times New Roman" w:eastAsia="Times New Roman" w:hAnsi="Times New Roman" w:cs="Times New Roman"/>
          <w:sz w:val="24"/>
          <w:szCs w:val="24"/>
        </w:rPr>
        <w:t>Tanbazar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Nimtoli</w:t>
      </w:r>
      <w:proofErr w:type="spellEnd"/>
      <w:r>
        <w:rPr>
          <w:rFonts w:ascii="Times New Roman" w:eastAsia="Times New Roman" w:hAnsi="Times New Roman" w:cs="Times New Roman"/>
          <w:sz w:val="24"/>
          <w:szCs w:val="24"/>
        </w:rPr>
        <w:t xml:space="preserve"> brothels in </w:t>
      </w:r>
      <w:proofErr w:type="spellStart"/>
      <w:r>
        <w:rPr>
          <w:rFonts w:ascii="Times New Roman" w:eastAsia="Times New Roman" w:hAnsi="Times New Roman" w:cs="Times New Roman"/>
          <w:sz w:val="24"/>
          <w:szCs w:val="24"/>
        </w:rPr>
        <w:t>Narayanganj</w:t>
      </w:r>
      <w:proofErr w:type="spellEnd"/>
      <w:r>
        <w:rPr>
          <w:rFonts w:ascii="Times New Roman" w:eastAsia="Times New Roman" w:hAnsi="Times New Roman" w:cs="Times New Roman"/>
          <w:sz w:val="24"/>
          <w:szCs w:val="24"/>
        </w:rPr>
        <w:t xml:space="preserve"> in 1999, we have advocated for the rights of sex workers. 86 organisations, including feminist </w:t>
      </w:r>
      <w:r>
        <w:rPr>
          <w:rFonts w:ascii="Times New Roman" w:eastAsia="Times New Roman" w:hAnsi="Times New Roman" w:cs="Times New Roman"/>
          <w:sz w:val="24"/>
          <w:szCs w:val="24"/>
        </w:rPr>
        <w:t xml:space="preserve">groups, human rights organisations, sex </w:t>
      </w:r>
      <w:proofErr w:type="gramStart"/>
      <w:r>
        <w:rPr>
          <w:rFonts w:ascii="Times New Roman" w:eastAsia="Times New Roman" w:hAnsi="Times New Roman" w:cs="Times New Roman"/>
          <w:sz w:val="24"/>
          <w:szCs w:val="24"/>
        </w:rPr>
        <w:t>workers</w:t>
      </w:r>
      <w:proofErr w:type="gramEnd"/>
      <w:r>
        <w:rPr>
          <w:rFonts w:ascii="Times New Roman" w:eastAsia="Times New Roman" w:hAnsi="Times New Roman" w:cs="Times New Roman"/>
          <w:sz w:val="24"/>
          <w:szCs w:val="24"/>
        </w:rPr>
        <w:t xml:space="preserve"> organisations, legal aid organisations, journalists, artists, and cultural groups formed a platform called </w:t>
      </w:r>
      <w:proofErr w:type="spellStart"/>
      <w:r>
        <w:rPr>
          <w:rFonts w:ascii="Times New Roman" w:eastAsia="Times New Roman" w:hAnsi="Times New Roman" w:cs="Times New Roman"/>
          <w:sz w:val="24"/>
          <w:szCs w:val="24"/>
        </w:rPr>
        <w:t>Shonghoti</w:t>
      </w:r>
      <w:proofErr w:type="spellEnd"/>
      <w:r>
        <w:rPr>
          <w:rFonts w:ascii="Times New Roman" w:eastAsia="Times New Roman" w:hAnsi="Times New Roman" w:cs="Times New Roman"/>
          <w:sz w:val="24"/>
          <w:szCs w:val="24"/>
        </w:rPr>
        <w:t xml:space="preserve">, which continues to work with sex workers. </w:t>
      </w:r>
    </w:p>
    <w:p w14:paraId="00000007"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significant achievement of this movement was </w:t>
      </w:r>
      <w:r>
        <w:rPr>
          <w:rFonts w:ascii="Times New Roman" w:eastAsia="Times New Roman" w:hAnsi="Times New Roman" w:cs="Times New Roman"/>
          <w:sz w:val="24"/>
          <w:szCs w:val="24"/>
        </w:rPr>
        <w:t>the adoption of the term “sex work” instead of “prostitution” in mainstream discourse</w:t>
      </w:r>
      <w:r>
        <w:t xml:space="preserve"> to denote adults who provide sexual services for money or in kind</w:t>
      </w:r>
      <w:r>
        <w:rPr>
          <w:rFonts w:ascii="Times New Roman" w:eastAsia="Times New Roman" w:hAnsi="Times New Roman" w:cs="Times New Roman"/>
          <w:sz w:val="24"/>
          <w:szCs w:val="24"/>
        </w:rPr>
        <w:t>. The High Court Division of the Supreme Court also used the term “sex work/sex workers” in a petition ag</w:t>
      </w:r>
      <w:r>
        <w:rPr>
          <w:rFonts w:ascii="Times New Roman" w:eastAsia="Times New Roman" w:hAnsi="Times New Roman" w:cs="Times New Roman"/>
          <w:sz w:val="24"/>
          <w:szCs w:val="24"/>
        </w:rPr>
        <w:t xml:space="preserve">ainst the government’s actions in </w:t>
      </w:r>
      <w:proofErr w:type="spellStart"/>
      <w:r>
        <w:rPr>
          <w:rFonts w:ascii="Times New Roman" w:eastAsia="Times New Roman" w:hAnsi="Times New Roman" w:cs="Times New Roman"/>
          <w:sz w:val="24"/>
          <w:szCs w:val="24"/>
        </w:rPr>
        <w:t>Tanbazar</w:t>
      </w:r>
      <w:proofErr w:type="spellEnd"/>
      <w:r>
        <w:rPr>
          <w:rFonts w:ascii="Times New Roman" w:eastAsia="Times New Roman" w:hAnsi="Times New Roman" w:cs="Times New Roman"/>
          <w:sz w:val="24"/>
          <w:szCs w:val="24"/>
        </w:rPr>
        <w:t>. This legal victory recognised the rights of sex workers to work and the state’s obligation to protect their dignity. The government of Bangladesh now officially uses the term “sex work” in its documents.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00000008" w14:textId="77777777" w:rsidR="00EE4319" w:rsidRDefault="00DB0A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Violen</w:t>
      </w:r>
      <w:r>
        <w:rPr>
          <w:rFonts w:ascii="Times New Roman" w:eastAsia="Times New Roman" w:hAnsi="Times New Roman" w:cs="Times New Roman"/>
          <w:b/>
          <w:sz w:val="24"/>
          <w:szCs w:val="24"/>
        </w:rPr>
        <w:t>ce against sex workers</w:t>
      </w:r>
    </w:p>
    <w:p w14:paraId="00000009"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sex work itself is not inherently violent, sex workers often face targeted </w:t>
      </w:r>
      <w:r>
        <w:rPr>
          <w:rFonts w:ascii="Times New Roman" w:eastAsia="Times New Roman" w:hAnsi="Times New Roman" w:cs="Times New Roman"/>
          <w:b/>
          <w:sz w:val="24"/>
          <w:szCs w:val="24"/>
        </w:rPr>
        <w:t>physical and sexual violence</w:t>
      </w:r>
      <w:r>
        <w:rPr>
          <w:rFonts w:ascii="Times New Roman" w:eastAsia="Times New Roman" w:hAnsi="Times New Roman" w:cs="Times New Roman"/>
          <w:sz w:val="24"/>
          <w:szCs w:val="24"/>
        </w:rPr>
        <w:t>. about 80% of sex workers in Bangladesh are subjected to physical and sexual abuse by their clients and others.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This vi</w:t>
      </w:r>
      <w:r>
        <w:rPr>
          <w:rFonts w:ascii="Times New Roman" w:eastAsia="Times New Roman" w:hAnsi="Times New Roman" w:cs="Times New Roman"/>
          <w:sz w:val="24"/>
          <w:szCs w:val="24"/>
        </w:rPr>
        <w:t xml:space="preserve">olence is intensified by laws and policies that isolate sex workers from their communities and discourage them from reporting incidents of violence. </w:t>
      </w:r>
    </w:p>
    <w:p w14:paraId="0000000A"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Sex workers experience high rates of targeted violence because perpetrators are aware that they are reluct</w:t>
      </w:r>
      <w:r>
        <w:rPr>
          <w:rFonts w:ascii="Times New Roman" w:eastAsia="Times New Roman" w:hAnsi="Times New Roman" w:cs="Times New Roman"/>
          <w:sz w:val="24"/>
          <w:szCs w:val="24"/>
        </w:rPr>
        <w:t xml:space="preserve">ant to report such incidents to the police, which stems from the fear of harassment or legal repercussions for themselves, their colleagues, and third parties. </w:t>
      </w:r>
    </w:p>
    <w:p w14:paraId="0000000B"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criminalisation context leads sex workers to perceive the police as potential threats to th</w:t>
      </w:r>
      <w:r>
        <w:rPr>
          <w:rFonts w:ascii="Times New Roman" w:eastAsia="Times New Roman" w:hAnsi="Times New Roman" w:cs="Times New Roman"/>
          <w:sz w:val="24"/>
          <w:szCs w:val="24"/>
        </w:rPr>
        <w:t>eir livelihood, intimate relationships, freedom, and overall well-being. This also fosters a culture of impunity towards violence against sex workers.</w:t>
      </w:r>
    </w:p>
    <w:p w14:paraId="0000000C"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Sex workers experience intimate partner violence, but often hesitate to report incidents due to fear of l</w:t>
      </w:r>
      <w:r>
        <w:rPr>
          <w:rFonts w:ascii="Times New Roman" w:eastAsia="Times New Roman" w:hAnsi="Times New Roman" w:cs="Times New Roman"/>
          <w:sz w:val="24"/>
          <w:szCs w:val="24"/>
        </w:rPr>
        <w:t>aw enforcement. Partners exploit the criminalisation of sex work by threatening to expose sex workers. This becomes critical when sex workers fear losing custody of their children.</w:t>
      </w:r>
    </w:p>
    <w:p w14:paraId="0000000D"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Sex workers face </w:t>
      </w:r>
      <w:r>
        <w:rPr>
          <w:rFonts w:ascii="Times New Roman" w:eastAsia="Times New Roman" w:hAnsi="Times New Roman" w:cs="Times New Roman"/>
          <w:b/>
          <w:sz w:val="24"/>
          <w:szCs w:val="24"/>
        </w:rPr>
        <w:t>psychological violence</w:t>
      </w:r>
      <w:r>
        <w:rPr>
          <w:rFonts w:ascii="Times New Roman" w:eastAsia="Times New Roman" w:hAnsi="Times New Roman" w:cs="Times New Roman"/>
          <w:sz w:val="24"/>
          <w:szCs w:val="24"/>
        </w:rPr>
        <w:t xml:space="preserve"> due to the stigma associated with t</w:t>
      </w:r>
      <w:r>
        <w:rPr>
          <w:rFonts w:ascii="Times New Roman" w:eastAsia="Times New Roman" w:hAnsi="Times New Roman" w:cs="Times New Roman"/>
          <w:sz w:val="24"/>
          <w:szCs w:val="24"/>
        </w:rPr>
        <w:t xml:space="preserve">heir profession. This stigma reinforces the belief that sex work is inherently exploitative, using terms like “prostituted women,” thereby fostering a culture of violence. </w:t>
      </w:r>
    </w:p>
    <w:p w14:paraId="0000000E"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stigma surrounding sex work relies on stereotypes and assumptions about sex wor</w:t>
      </w:r>
      <w:r>
        <w:rPr>
          <w:rFonts w:ascii="Times New Roman" w:eastAsia="Times New Roman" w:hAnsi="Times New Roman" w:cs="Times New Roman"/>
          <w:sz w:val="24"/>
          <w:szCs w:val="24"/>
        </w:rPr>
        <w:t xml:space="preserve">kers, clients, and third parties, perpetuating the idea that sex workers are “exploited persons” without agency, necessitating protection through the criminalisation of their livelihood, a form of </w:t>
      </w:r>
      <w:r>
        <w:rPr>
          <w:rFonts w:ascii="Times New Roman" w:eastAsia="Times New Roman" w:hAnsi="Times New Roman" w:cs="Times New Roman"/>
          <w:b/>
          <w:sz w:val="24"/>
          <w:szCs w:val="24"/>
        </w:rPr>
        <w:t>economic violence</w:t>
      </w:r>
      <w:r>
        <w:rPr>
          <w:rFonts w:ascii="Times New Roman" w:eastAsia="Times New Roman" w:hAnsi="Times New Roman" w:cs="Times New Roman"/>
          <w:sz w:val="24"/>
          <w:szCs w:val="24"/>
        </w:rPr>
        <w:t>.</w:t>
      </w:r>
    </w:p>
    <w:p w14:paraId="0000000F"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Perpetration of violence against sex wor</w:t>
      </w:r>
      <w:r>
        <w:rPr>
          <w:rFonts w:ascii="Times New Roman" w:eastAsia="Times New Roman" w:hAnsi="Times New Roman" w:cs="Times New Roman"/>
          <w:b/>
          <w:sz w:val="24"/>
          <w:szCs w:val="24"/>
        </w:rPr>
        <w:t>kers</w:t>
      </w:r>
    </w:p>
    <w:p w14:paraId="00000010"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States that implement punitive measures against sex work by criminalising various aspects, such as public solicitation, and third-party involvement, bear ultimate responsibility for creating conditions that expose sex workers to targeted violence.</w:t>
      </w:r>
    </w:p>
    <w:p w14:paraId="00000011"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jurisdictions where providing sexual services is </w:t>
      </w:r>
      <w:proofErr w:type="gramStart"/>
      <w:r>
        <w:rPr>
          <w:rFonts w:ascii="Times New Roman" w:eastAsia="Times New Roman" w:hAnsi="Times New Roman" w:cs="Times New Roman"/>
          <w:sz w:val="24"/>
          <w:szCs w:val="24"/>
        </w:rPr>
        <w:t>criminalised,  safe</w:t>
      </w:r>
      <w:proofErr w:type="gramEnd"/>
      <w:r>
        <w:rPr>
          <w:rFonts w:ascii="Times New Roman" w:eastAsia="Times New Roman" w:hAnsi="Times New Roman" w:cs="Times New Roman"/>
          <w:sz w:val="24"/>
          <w:szCs w:val="24"/>
        </w:rPr>
        <w:t xml:space="preserve"> communication between sex workers and clients is not possible.. This diminishes sex workers’ ability to screen clients and negotiate transaction </w:t>
      </w:r>
      <w:proofErr w:type="gramStart"/>
      <w:r>
        <w:rPr>
          <w:rFonts w:ascii="Times New Roman" w:eastAsia="Times New Roman" w:hAnsi="Times New Roman" w:cs="Times New Roman"/>
          <w:sz w:val="24"/>
          <w:szCs w:val="24"/>
        </w:rPr>
        <w:t>terms,  making</w:t>
      </w:r>
      <w:proofErr w:type="gramEnd"/>
      <w:r>
        <w:rPr>
          <w:rFonts w:ascii="Times New Roman" w:eastAsia="Times New Roman" w:hAnsi="Times New Roman" w:cs="Times New Roman"/>
          <w:sz w:val="24"/>
          <w:szCs w:val="24"/>
        </w:rPr>
        <w:t xml:space="preserve"> them vulnerable to violence</w:t>
      </w:r>
      <w:r>
        <w:rPr>
          <w:rFonts w:ascii="Times New Roman" w:eastAsia="Times New Roman" w:hAnsi="Times New Roman" w:cs="Times New Roman"/>
          <w:sz w:val="24"/>
          <w:szCs w:val="24"/>
        </w:rPr>
        <w:t xml:space="preserve"> and abuse.</w:t>
      </w:r>
    </w:p>
    <w:p w14:paraId="00000012"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Criminalising third-party involvement facilitates targeted violence by hindering the deterrence of inappropriate client behaviour, discouraging explicit safety discussions, and limiting access to controlled, safer work venues with restricted ac</w:t>
      </w:r>
      <w:r>
        <w:rPr>
          <w:rFonts w:ascii="Times New Roman" w:eastAsia="Times New Roman" w:hAnsi="Times New Roman" w:cs="Times New Roman"/>
          <w:sz w:val="24"/>
          <w:szCs w:val="24"/>
        </w:rPr>
        <w:t>cess and security measures.</w:t>
      </w:r>
    </w:p>
    <w:p w14:paraId="00000013" w14:textId="77777777" w:rsidR="00EE4319" w:rsidRDefault="00DB0A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Violation of the human rights of sex workers</w:t>
      </w:r>
    </w:p>
    <w:p w14:paraId="00000014"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law has not explicitly deemed prostitution incompatible with the dignity and worth of the human person. The UN Working Group on discrimination against women and girls hi</w:t>
      </w:r>
      <w:r>
        <w:rPr>
          <w:rFonts w:ascii="Times New Roman" w:eastAsia="Times New Roman" w:hAnsi="Times New Roman" w:cs="Times New Roman"/>
          <w:sz w:val="24"/>
          <w:szCs w:val="24"/>
        </w:rPr>
        <w:t>ghlighted that criminalising clients and third parties, as part of criminal law, results in the infringement of sex workers’ rights to private life, housing, and non-discrimination.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00000015"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viewpoint is shared by various human rights and women’s rights organisations, including Amnesty International,</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the International Commission of Jurists,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Human Rights Watch,</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UNAIDS,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the International Community of Women Living with HIV,</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the Global N</w:t>
      </w:r>
      <w:r>
        <w:rPr>
          <w:rFonts w:ascii="Times New Roman" w:eastAsia="Times New Roman" w:hAnsi="Times New Roman" w:cs="Times New Roman"/>
          <w:sz w:val="24"/>
          <w:szCs w:val="24"/>
        </w:rPr>
        <w:t>etwork of Sex Work Projects and the Association for Women’s Rights in Development,</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the Global Alliance against Traffic in Women,</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and the Global Commission on HIV and the Law.</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
    <w:p w14:paraId="00000016"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Researchers have documented how laws criminalising sex work violate sex worke</w:t>
      </w:r>
      <w:r>
        <w:rPr>
          <w:rFonts w:ascii="Times New Roman" w:eastAsia="Times New Roman" w:hAnsi="Times New Roman" w:cs="Times New Roman"/>
          <w:sz w:val="24"/>
          <w:szCs w:val="24"/>
        </w:rPr>
        <w:t>rs’ rights across various domains, including health, life, security of the person, freedom from torture and cruel, inhumane and degrading treatment, work, privacy, equality, and non-discrimination.</w:t>
      </w:r>
    </w:p>
    <w:p w14:paraId="00000017"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Bangladesh is also a signatory of the Universal Declaratio</w:t>
      </w:r>
      <w:r>
        <w:rPr>
          <w:rFonts w:ascii="Times New Roman" w:eastAsia="Times New Roman" w:hAnsi="Times New Roman" w:cs="Times New Roman"/>
          <w:sz w:val="24"/>
          <w:szCs w:val="24"/>
        </w:rPr>
        <w:t>n of Human Rights (UDHR), the International Covenant on Civil and Political Rights (ICCPR), and the International Covenant on Economic, Social and Cultural Rights (ICESCR), all of which collectively underscore the importance of human rights without discrim</w:t>
      </w:r>
      <w:r>
        <w:rPr>
          <w:rFonts w:ascii="Times New Roman" w:eastAsia="Times New Roman" w:hAnsi="Times New Roman" w:cs="Times New Roman"/>
          <w:sz w:val="24"/>
          <w:szCs w:val="24"/>
        </w:rPr>
        <w:t>ination based on gender or occupation.</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t>
      </w:r>
    </w:p>
    <w:p w14:paraId="00000018"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Convention on the Elimination of All Forms of Discrimination Against Women (CEDAW) specifically addresses gender-based discrimination and violence against women. The CEDAW Committee's General Recommendation No.</w:t>
      </w:r>
      <w:r>
        <w:rPr>
          <w:rFonts w:ascii="Times New Roman" w:eastAsia="Times New Roman" w:hAnsi="Times New Roman" w:cs="Times New Roman"/>
          <w:sz w:val="24"/>
          <w:szCs w:val="24"/>
        </w:rPr>
        <w:t>19 recognises gender-based violence, including that which affects women engaged in sex work.</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p>
    <w:p w14:paraId="00000019" w14:textId="77777777" w:rsidR="00EE4319" w:rsidRDefault="00DB0A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Consent </w:t>
      </w:r>
    </w:p>
    <w:p w14:paraId="0000001A"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Children Policy 2011 of the Government of the People’s Republic of Bangladesh defines all individuals under 18 as children, which means there i</w:t>
      </w:r>
      <w:r>
        <w:rPr>
          <w:rFonts w:ascii="Times New Roman" w:eastAsia="Times New Roman" w:hAnsi="Times New Roman" w:cs="Times New Roman"/>
          <w:sz w:val="24"/>
          <w:szCs w:val="24"/>
        </w:rPr>
        <w:t>s no construct called “girls in prostitution” in Bangladesh; it is child sexual abuse.</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Therefore, the issue of consent for children and adults when it comes to sex work must not be conflated. </w:t>
      </w:r>
    </w:p>
    <w:p w14:paraId="0000001B"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Sex workers are certified by the local authority after a sworn</w:t>
      </w:r>
      <w:r>
        <w:rPr>
          <w:rFonts w:ascii="Times New Roman" w:eastAsia="Times New Roman" w:hAnsi="Times New Roman" w:cs="Times New Roman"/>
          <w:sz w:val="24"/>
          <w:szCs w:val="24"/>
        </w:rPr>
        <w:t xml:space="preserve"> affidavit is given and a fee paid to the police. A magistrate issues a certificate, to ensure the sex worker’s right to consent.</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Despite </w:t>
      </w:r>
      <w:r>
        <w:rPr>
          <w:rFonts w:ascii="Times New Roman" w:eastAsia="Times New Roman" w:hAnsi="Times New Roman" w:cs="Times New Roman"/>
          <w:sz w:val="24"/>
          <w:szCs w:val="24"/>
        </w:rPr>
        <w:lastRenderedPageBreak/>
        <w:t>economic constraints and limited options, sex workers exercise agency and possess the ability to provide meaningful c</w:t>
      </w:r>
      <w:r>
        <w:rPr>
          <w:rFonts w:ascii="Times New Roman" w:eastAsia="Times New Roman" w:hAnsi="Times New Roman" w:cs="Times New Roman"/>
          <w:sz w:val="24"/>
          <w:szCs w:val="24"/>
        </w:rPr>
        <w:t xml:space="preserve">onsent to sexual activities. </w:t>
      </w:r>
    </w:p>
    <w:p w14:paraId="0000001C"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Advocates for criminalising the “demand” for sex work often propagate rape myths, asserting that those who provide sexual services are unable to discern whether they are exploited or consenting. Sexual autonomy, a fundamental </w:t>
      </w:r>
      <w:r>
        <w:rPr>
          <w:rFonts w:ascii="Times New Roman" w:eastAsia="Times New Roman" w:hAnsi="Times New Roman" w:cs="Times New Roman"/>
          <w:sz w:val="24"/>
          <w:szCs w:val="24"/>
        </w:rPr>
        <w:t>principle, emphasises the right to communicate and establish clear, ongoing consent to sexual activities—an idea upheld by courts globally.</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t>
      </w:r>
    </w:p>
    <w:p w14:paraId="0000001D"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laws criminalising sex work create conditions that hinder sex workers’ ability to communicate, negotiate, and establish their terms by undermining explicit conversations between sex workers and clients or third parties. These laws also deprive sex</w:t>
      </w:r>
      <w:r>
        <w:rPr>
          <w:rFonts w:ascii="Times New Roman" w:eastAsia="Times New Roman" w:hAnsi="Times New Roman" w:cs="Times New Roman"/>
          <w:sz w:val="24"/>
          <w:szCs w:val="24"/>
        </w:rPr>
        <w:t xml:space="preserve"> workers of the capacity to consistently and meaningfully consent.</w:t>
      </w:r>
    </w:p>
    <w:p w14:paraId="0000001E"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Lessons learned </w:t>
      </w:r>
    </w:p>
    <w:p w14:paraId="0000001F"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long legacy of the sex workers’ rights movement started in Bangladesh after the forcible removal of sex workers from </w:t>
      </w:r>
      <w:proofErr w:type="spellStart"/>
      <w:r>
        <w:rPr>
          <w:rFonts w:ascii="Times New Roman" w:eastAsia="Times New Roman" w:hAnsi="Times New Roman" w:cs="Times New Roman"/>
          <w:sz w:val="24"/>
          <w:szCs w:val="24"/>
        </w:rPr>
        <w:t>Tanbazar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Nimtolu</w:t>
      </w:r>
      <w:proofErr w:type="spellEnd"/>
      <w:r>
        <w:rPr>
          <w:rFonts w:ascii="Times New Roman" w:eastAsia="Times New Roman" w:hAnsi="Times New Roman" w:cs="Times New Roman"/>
          <w:sz w:val="24"/>
          <w:szCs w:val="24"/>
        </w:rPr>
        <w:t xml:space="preserve"> brothels in </w:t>
      </w:r>
      <w:proofErr w:type="spellStart"/>
      <w:r>
        <w:rPr>
          <w:rFonts w:ascii="Times New Roman" w:eastAsia="Times New Roman" w:hAnsi="Times New Roman" w:cs="Times New Roman"/>
          <w:sz w:val="24"/>
          <w:szCs w:val="24"/>
        </w:rPr>
        <w:t>Narayanjanj</w:t>
      </w:r>
      <w:proofErr w:type="spellEnd"/>
      <w:r>
        <w:rPr>
          <w:rFonts w:ascii="Times New Roman" w:eastAsia="Times New Roman" w:hAnsi="Times New Roman" w:cs="Times New Roman"/>
          <w:sz w:val="24"/>
          <w:szCs w:val="24"/>
        </w:rPr>
        <w:t xml:space="preserve"> on 24 July</w:t>
      </w:r>
      <w:r>
        <w:rPr>
          <w:rFonts w:ascii="Times New Roman" w:eastAsia="Times New Roman" w:hAnsi="Times New Roman" w:cs="Times New Roman"/>
          <w:sz w:val="24"/>
          <w:szCs w:val="24"/>
        </w:rPr>
        <w:t xml:space="preserve"> 1999 by the government of Bangladesh.</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This highlights the importance of legal recognition, and establishing legal precedents for safeguarding the human rights of sex workers. </w:t>
      </w:r>
    </w:p>
    <w:p w14:paraId="00000020"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petition,</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was filed against the government challenging the illegal detentio</w:t>
      </w:r>
      <w:r>
        <w:rPr>
          <w:rFonts w:ascii="Times New Roman" w:eastAsia="Times New Roman" w:hAnsi="Times New Roman" w:cs="Times New Roman"/>
          <w:sz w:val="24"/>
          <w:szCs w:val="24"/>
        </w:rPr>
        <w:t>n of an evicted sex worker and her 11-month-old daughter.  On 14 March 2000, the High Court Division of the Supreme Court observed: “Prostitutes initially get themselves enrolled with the local administration expressing the desire to be prostitutes and get</w:t>
      </w:r>
      <w:r>
        <w:rPr>
          <w:rFonts w:ascii="Times New Roman" w:eastAsia="Times New Roman" w:hAnsi="Times New Roman" w:cs="Times New Roman"/>
          <w:sz w:val="24"/>
          <w:szCs w:val="24"/>
        </w:rPr>
        <w:t xml:space="preserve"> themselves confined to the brothels and get the required protection to continue in their profession by the local administration whereby they are maintaining their livelihood which the state in the absence of any </w:t>
      </w:r>
      <w:proofErr w:type="spellStart"/>
      <w:r>
        <w:rPr>
          <w:rFonts w:ascii="Times New Roman" w:eastAsia="Times New Roman" w:hAnsi="Times New Roman" w:cs="Times New Roman"/>
          <w:sz w:val="24"/>
          <w:szCs w:val="24"/>
        </w:rPr>
        <w:t>prohibitory</w:t>
      </w:r>
      <w:proofErr w:type="spellEnd"/>
      <w:r>
        <w:rPr>
          <w:rFonts w:ascii="Times New Roman" w:eastAsia="Times New Roman" w:hAnsi="Times New Roman" w:cs="Times New Roman"/>
          <w:sz w:val="24"/>
          <w:szCs w:val="24"/>
        </w:rPr>
        <w:t xml:space="preserve"> legislation has a duty to prote</w:t>
      </w:r>
      <w:r>
        <w:rPr>
          <w:rFonts w:ascii="Times New Roman" w:eastAsia="Times New Roman" w:hAnsi="Times New Roman" w:cs="Times New Roman"/>
          <w:sz w:val="24"/>
          <w:szCs w:val="24"/>
        </w:rPr>
        <w:t>ct and a citizen has the right to enforce that right. Article 11, provides for dignity of the human person, though not enforceable; but the sex workers as citizens have enforceable rights under Articles 31 and 32.”</w:t>
      </w:r>
      <w:r>
        <w:rPr>
          <w:rFonts w:ascii="Times New Roman" w:eastAsia="Times New Roman" w:hAnsi="Times New Roman" w:cs="Times New Roman"/>
          <w:sz w:val="24"/>
          <w:szCs w:val="24"/>
          <w:vertAlign w:val="superscript"/>
        </w:rPr>
        <w:footnoteReference w:id="20"/>
      </w:r>
    </w:p>
    <w:p w14:paraId="00000021" w14:textId="77777777" w:rsidR="00EE4319" w:rsidRDefault="00DB0A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landmark judicial decision affirmed </w:t>
      </w:r>
      <w:r>
        <w:rPr>
          <w:rFonts w:ascii="Times New Roman" w:eastAsia="Times New Roman" w:hAnsi="Times New Roman" w:cs="Times New Roman"/>
          <w:sz w:val="24"/>
          <w:szCs w:val="24"/>
        </w:rPr>
        <w:t xml:space="preserve">the rights of sex workers, emphasising the duty of the state to protect their livelihood in the absence of </w:t>
      </w:r>
      <w:proofErr w:type="spellStart"/>
      <w:r>
        <w:rPr>
          <w:rFonts w:ascii="Times New Roman" w:eastAsia="Times New Roman" w:hAnsi="Times New Roman" w:cs="Times New Roman"/>
          <w:sz w:val="24"/>
          <w:szCs w:val="24"/>
        </w:rPr>
        <w:t>prohibitory</w:t>
      </w:r>
      <w:proofErr w:type="spellEnd"/>
      <w:r>
        <w:rPr>
          <w:rFonts w:ascii="Times New Roman" w:eastAsia="Times New Roman" w:hAnsi="Times New Roman" w:cs="Times New Roman"/>
          <w:sz w:val="24"/>
          <w:szCs w:val="24"/>
        </w:rPr>
        <w:t xml:space="preserve"> legislation. </w:t>
      </w:r>
    </w:p>
    <w:p w14:paraId="00000022" w14:textId="77777777" w:rsidR="00EE4319" w:rsidRDefault="00DB0A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
    <w:p w14:paraId="00000023"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full decriminalisation of sex work, which includes decriminalising the space, sex workers, clients a</w:t>
      </w:r>
      <w:r>
        <w:rPr>
          <w:rFonts w:ascii="Times New Roman" w:eastAsia="Times New Roman" w:hAnsi="Times New Roman" w:cs="Times New Roman"/>
          <w:sz w:val="24"/>
          <w:szCs w:val="24"/>
        </w:rPr>
        <w:t>nd third parties.</w:t>
      </w:r>
    </w:p>
    <w:p w14:paraId="00000024"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Develop and implement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policies by meaningfully including sex workers to protect their rights and dignity, and acknowledge the complex nature of the violence.</w:t>
      </w:r>
    </w:p>
    <w:p w14:paraId="00000025"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campaigns to challenge societal stigmas surrounding sex work and encou</w:t>
      </w:r>
      <w:r>
        <w:rPr>
          <w:rFonts w:ascii="Times New Roman" w:eastAsia="Times New Roman" w:hAnsi="Times New Roman" w:cs="Times New Roman"/>
          <w:sz w:val="24"/>
          <w:szCs w:val="24"/>
        </w:rPr>
        <w:t xml:space="preserve">rage reporting of violence by creating safe spaces for sex workers to access support services without fear of discrimination. </w:t>
      </w:r>
    </w:p>
    <w:p w14:paraId="00000026"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Combating stigma and discrimination also entails being mindful of using the term “sex work,” a profession individuals choose to take part in, as opposed to “prostitution”, which involves trafficking and sexual abuse. The conflation of these two takes away </w:t>
      </w:r>
      <w:r>
        <w:rPr>
          <w:rFonts w:ascii="Times New Roman" w:eastAsia="Times New Roman" w:hAnsi="Times New Roman" w:cs="Times New Roman"/>
          <w:sz w:val="24"/>
          <w:szCs w:val="24"/>
        </w:rPr>
        <w:t xml:space="preserve">the agency of sex workers and enables an environment where they can be subjected to a wide range of violence by both the state and other perpetrators. </w:t>
      </w:r>
    </w:p>
    <w:p w14:paraId="00000027"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call for the repeal of sex work offences aligns with recommendations from UN Special Procedures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other UN agencies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The UN Special Rapporteur on the right to health has specifically highlighted the adverse consequences of criminalising third parties, advocating for the decriminalisation of sex work and condemning the conflation of sex work and human</w:t>
      </w:r>
      <w:r>
        <w:rPr>
          <w:rFonts w:ascii="Times New Roman" w:eastAsia="Times New Roman" w:hAnsi="Times New Roman" w:cs="Times New Roman"/>
          <w:sz w:val="24"/>
          <w:szCs w:val="24"/>
        </w:rPr>
        <w:t xml:space="preserve"> trafficking.</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w:t>
      </w:r>
    </w:p>
    <w:p w14:paraId="00000028"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Women has expressed support for decriminalisation, recognising that the conflation of sex work, sex trafficking, and sexual exploitation leads to inappropriate responses hindering the realisation of rights for sex workers and victims of </w:t>
      </w:r>
      <w:r>
        <w:rPr>
          <w:rFonts w:ascii="Times New Roman" w:eastAsia="Times New Roman" w:hAnsi="Times New Roman" w:cs="Times New Roman"/>
          <w:sz w:val="24"/>
          <w:szCs w:val="24"/>
        </w:rPr>
        <w:t>trafficking.</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w:t>
      </w:r>
    </w:p>
    <w:p w14:paraId="00000029" w14:textId="77777777" w:rsidR="00EE4319" w:rsidRDefault="00DB0A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 Working Group on Discrimination against Women and Girls concluded that the decriminalisation of sex work, including clients and third parties, offers the greatest promise in addressing systemic discrimination, violence, and impunity f</w:t>
      </w:r>
      <w:r>
        <w:rPr>
          <w:rFonts w:ascii="Times New Roman" w:eastAsia="Times New Roman" w:hAnsi="Times New Roman" w:cs="Times New Roman"/>
          <w:sz w:val="24"/>
          <w:szCs w:val="24"/>
        </w:rPr>
        <w:t>or violations of sex workers’ rights.</w:t>
      </w:r>
      <w:r>
        <w:rPr>
          <w:rFonts w:ascii="Times New Roman" w:eastAsia="Times New Roman" w:hAnsi="Times New Roman" w:cs="Times New Roman"/>
          <w:sz w:val="24"/>
          <w:szCs w:val="24"/>
          <w:vertAlign w:val="superscript"/>
        </w:rPr>
        <w:footnoteReference w:id="25"/>
      </w:r>
    </w:p>
    <w:sectPr w:rsidR="00EE43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4D2F8" w14:textId="77777777" w:rsidR="00DB0AB2" w:rsidRDefault="00DB0AB2">
      <w:pPr>
        <w:spacing w:line="240" w:lineRule="auto"/>
      </w:pPr>
      <w:r>
        <w:separator/>
      </w:r>
    </w:p>
  </w:endnote>
  <w:endnote w:type="continuationSeparator" w:id="0">
    <w:p w14:paraId="64EA234F" w14:textId="77777777" w:rsidR="00DB0AB2" w:rsidRDefault="00DB0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E8F33" w14:textId="77777777" w:rsidR="00DB0AB2" w:rsidRDefault="00DB0AB2">
      <w:pPr>
        <w:spacing w:line="240" w:lineRule="auto"/>
      </w:pPr>
      <w:r>
        <w:separator/>
      </w:r>
    </w:p>
  </w:footnote>
  <w:footnote w:type="continuationSeparator" w:id="0">
    <w:p w14:paraId="6F0E3D4C" w14:textId="77777777" w:rsidR="00DB0AB2" w:rsidRDefault="00DB0AB2">
      <w:pPr>
        <w:spacing w:line="240" w:lineRule="auto"/>
      </w:pPr>
      <w:r>
        <w:continuationSeparator/>
      </w:r>
    </w:p>
  </w:footnote>
  <w:footnote w:id="1">
    <w:p w14:paraId="0000002A" w14:textId="6E17DC75" w:rsidR="00EE4319" w:rsidRDefault="00DB0AB2">
      <w:pPr>
        <w:spacing w:after="200" w:line="240" w:lineRule="auto"/>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SWASA -Bangladesh, </w:t>
      </w:r>
      <w:proofErr w:type="spellStart"/>
      <w:r>
        <w:rPr>
          <w:rFonts w:ascii="Times New Roman" w:eastAsia="Times New Roman" w:hAnsi="Times New Roman" w:cs="Times New Roman"/>
          <w:sz w:val="18"/>
          <w:szCs w:val="18"/>
        </w:rPr>
        <w:t>Shonghoti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Naripokkho</w:t>
      </w:r>
      <w:proofErr w:type="spellEnd"/>
      <w:r>
        <w:rPr>
          <w:rFonts w:ascii="Times New Roman" w:eastAsia="Times New Roman" w:hAnsi="Times New Roman" w:cs="Times New Roman"/>
          <w:sz w:val="18"/>
          <w:szCs w:val="18"/>
        </w:rPr>
        <w:t xml:space="preserve">, Sex Workers Network of Bangladesh, </w:t>
      </w:r>
      <w:proofErr w:type="spellStart"/>
      <w:r>
        <w:rPr>
          <w:rFonts w:ascii="Times New Roman" w:eastAsia="Times New Roman" w:hAnsi="Times New Roman" w:cs="Times New Roman"/>
          <w:sz w:val="18"/>
          <w:szCs w:val="18"/>
        </w:rPr>
        <w:t>Porosh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Mohila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Unnyan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Sangstha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Alo</w:t>
      </w:r>
      <w:r w:rsidR="00A75816">
        <w:rPr>
          <w:rFonts w:ascii="Times New Roman" w:eastAsia="Times New Roman" w:hAnsi="Times New Roman" w:cs="Times New Roman"/>
          <w:sz w:val="18"/>
          <w:szCs w:val="18"/>
        </w:rPr>
        <w:t>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Prodip</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nari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Unnyan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Sanghstha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Ulka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Nari</w:t>
      </w:r>
      <w:proofErr w:type="spellEnd"/>
      <w:r>
        <w:rPr>
          <w:rFonts w:ascii="Times New Roman" w:eastAsia="Times New Roman" w:hAnsi="Times New Roman" w:cs="Times New Roman"/>
          <w:sz w:val="18"/>
          <w:szCs w:val="18"/>
        </w:rPr>
        <w:t xml:space="preserve"> Sangha, </w:t>
      </w:r>
      <w:proofErr w:type="spellStart"/>
      <w:r>
        <w:rPr>
          <w:rFonts w:ascii="Times New Roman" w:eastAsia="Times New Roman" w:hAnsi="Times New Roman" w:cs="Times New Roman"/>
          <w:sz w:val="18"/>
          <w:szCs w:val="18"/>
        </w:rPr>
        <w:t>Bonchita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Nari</w:t>
      </w:r>
      <w:proofErr w:type="spellEnd"/>
      <w:r>
        <w:rPr>
          <w:rFonts w:ascii="Times New Roman" w:eastAsia="Times New Roman" w:hAnsi="Times New Roman" w:cs="Times New Roman"/>
          <w:sz w:val="18"/>
          <w:szCs w:val="18"/>
        </w:rPr>
        <w:t xml:space="preserve"> O </w:t>
      </w:r>
      <w:proofErr w:type="spellStart"/>
      <w:r>
        <w:rPr>
          <w:rFonts w:ascii="Times New Roman" w:eastAsia="Times New Roman" w:hAnsi="Times New Roman" w:cs="Times New Roman"/>
          <w:sz w:val="18"/>
          <w:szCs w:val="18"/>
        </w:rPr>
        <w:t>Shishu</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Unnyan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Sangstha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Socheton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Hijra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Odhikar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Jubo</w:t>
      </w:r>
      <w:proofErr w:type="spellEnd"/>
      <w:r>
        <w:rPr>
          <w:rFonts w:ascii="Times New Roman" w:eastAsia="Times New Roman" w:hAnsi="Times New Roman" w:cs="Times New Roman"/>
          <w:sz w:val="18"/>
          <w:szCs w:val="18"/>
        </w:rPr>
        <w:t xml:space="preserve"> Sangha, </w:t>
      </w:r>
      <w:proofErr w:type="spellStart"/>
      <w:r>
        <w:rPr>
          <w:rFonts w:ascii="Times New Roman" w:eastAsia="Times New Roman" w:hAnsi="Times New Roman" w:cs="Times New Roman"/>
          <w:sz w:val="18"/>
          <w:szCs w:val="18"/>
        </w:rPr>
        <w:t>Nari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Mukti</w:t>
      </w:r>
      <w:proofErr w:type="spellEnd"/>
      <w:r>
        <w:rPr>
          <w:rFonts w:ascii="Times New Roman" w:eastAsia="Times New Roman" w:hAnsi="Times New Roman" w:cs="Times New Roman"/>
          <w:sz w:val="18"/>
          <w:szCs w:val="18"/>
        </w:rPr>
        <w:t xml:space="preserve"> Sangha, </w:t>
      </w:r>
      <w:proofErr w:type="spellStart"/>
      <w:r>
        <w:rPr>
          <w:rFonts w:ascii="Times New Roman" w:eastAsia="Times New Roman" w:hAnsi="Times New Roman" w:cs="Times New Roman"/>
          <w:sz w:val="18"/>
          <w:szCs w:val="18"/>
        </w:rPr>
        <w:t>Suktara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Nari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Kalyan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Sanstha</w:t>
      </w:r>
      <w:proofErr w:type="spellEnd"/>
      <w:r>
        <w:rPr>
          <w:rFonts w:ascii="Times New Roman" w:eastAsia="Times New Roman" w:hAnsi="Times New Roman" w:cs="Times New Roman"/>
          <w:sz w:val="18"/>
          <w:szCs w:val="18"/>
        </w:rPr>
        <w:t xml:space="preserve">, </w:t>
      </w:r>
      <w:bookmarkStart w:id="0" w:name="_GoBack"/>
      <w:bookmarkEnd w:id="0"/>
      <w:proofErr w:type="spellStart"/>
      <w:r>
        <w:rPr>
          <w:rFonts w:ascii="Times New Roman" w:eastAsia="Times New Roman" w:hAnsi="Times New Roman" w:cs="Times New Roman"/>
          <w:sz w:val="18"/>
          <w:szCs w:val="18"/>
        </w:rPr>
        <w:t>Mukti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Mohila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Shamiti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Nari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Jagoroni</w:t>
      </w:r>
      <w:proofErr w:type="spellEnd"/>
      <w:r>
        <w:rPr>
          <w:rFonts w:ascii="Times New Roman" w:eastAsia="Times New Roman" w:hAnsi="Times New Roman" w:cs="Times New Roman"/>
          <w:sz w:val="18"/>
          <w:szCs w:val="18"/>
        </w:rPr>
        <w:t xml:space="preserve"> Sangha, </w:t>
      </w:r>
      <w:proofErr w:type="spellStart"/>
      <w:r>
        <w:rPr>
          <w:rFonts w:ascii="Times New Roman" w:eastAsia="Times New Roman" w:hAnsi="Times New Roman" w:cs="Times New Roman"/>
          <w:sz w:val="18"/>
          <w:szCs w:val="18"/>
        </w:rPr>
        <w:t>Alokito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Nari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Unnayan</w:t>
      </w:r>
      <w:proofErr w:type="spellEnd"/>
      <w:r>
        <w:rPr>
          <w:rFonts w:ascii="Times New Roman" w:eastAsia="Times New Roman" w:hAnsi="Times New Roman" w:cs="Times New Roman"/>
          <w:sz w:val="18"/>
          <w:szCs w:val="18"/>
        </w:rPr>
        <w:t xml:space="preserve"> Sangha, </w:t>
      </w:r>
      <w:proofErr w:type="spellStart"/>
      <w:r>
        <w:rPr>
          <w:rFonts w:ascii="Times New Roman" w:eastAsia="Times New Roman" w:hAnsi="Times New Roman" w:cs="Times New Roman"/>
          <w:sz w:val="18"/>
          <w:szCs w:val="18"/>
        </w:rPr>
        <w:t>Akhkhoy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Nari</w:t>
      </w:r>
      <w:proofErr w:type="spellEnd"/>
      <w:r>
        <w:rPr>
          <w:rFonts w:ascii="Times New Roman" w:eastAsia="Times New Roman" w:hAnsi="Times New Roman" w:cs="Times New Roman"/>
          <w:sz w:val="18"/>
          <w:szCs w:val="18"/>
        </w:rPr>
        <w:t xml:space="preserve"> Sangha, </w:t>
      </w:r>
      <w:proofErr w:type="spellStart"/>
      <w:r>
        <w:rPr>
          <w:rFonts w:ascii="Times New Roman" w:eastAsia="Times New Roman" w:hAnsi="Times New Roman" w:cs="Times New Roman"/>
          <w:sz w:val="18"/>
          <w:szCs w:val="18"/>
        </w:rPr>
        <w:t>Sondhi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Nari</w:t>
      </w:r>
      <w:proofErr w:type="spellEnd"/>
      <w:r>
        <w:rPr>
          <w:rFonts w:ascii="Times New Roman" w:eastAsia="Times New Roman" w:hAnsi="Times New Roman" w:cs="Times New Roman"/>
          <w:sz w:val="18"/>
          <w:szCs w:val="18"/>
        </w:rPr>
        <w:t xml:space="preserve"> Sangha, </w:t>
      </w:r>
      <w:proofErr w:type="spellStart"/>
      <w:r>
        <w:rPr>
          <w:rFonts w:ascii="Times New Roman" w:eastAsia="Times New Roman" w:hAnsi="Times New Roman" w:cs="Times New Roman"/>
          <w:sz w:val="18"/>
          <w:szCs w:val="18"/>
        </w:rPr>
        <w:t>Kollyanmoyee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Naree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Shongho</w:t>
      </w:r>
      <w:proofErr w:type="spellEnd"/>
      <w:r>
        <w:rPr>
          <w:rFonts w:ascii="Times New Roman" w:eastAsia="Times New Roman" w:hAnsi="Times New Roman" w:cs="Times New Roman"/>
          <w:sz w:val="18"/>
          <w:szCs w:val="18"/>
        </w:rPr>
        <w:t xml:space="preserve">, and  </w:t>
      </w:r>
      <w:proofErr w:type="spellStart"/>
      <w:r>
        <w:rPr>
          <w:rFonts w:ascii="Times New Roman" w:eastAsia="Times New Roman" w:hAnsi="Times New Roman" w:cs="Times New Roman"/>
          <w:sz w:val="18"/>
          <w:szCs w:val="18"/>
        </w:rPr>
        <w:t>Alor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Michil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Nari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Kallayan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Sangstha</w:t>
      </w:r>
      <w:proofErr w:type="spellEnd"/>
      <w:r>
        <w:rPr>
          <w:rFonts w:ascii="Times New Roman" w:eastAsia="Times New Roman" w:hAnsi="Times New Roman" w:cs="Times New Roman"/>
          <w:sz w:val="18"/>
          <w:szCs w:val="18"/>
        </w:rPr>
        <w:t>.</w:t>
      </w:r>
    </w:p>
  </w:footnote>
  <w:footnote w:id="2">
    <w:p w14:paraId="0000002B"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hyperlink r:id="rId1" w:anchor=":~:text=AIDS%20by%202030.-,This%20updated%20version%20of%20strategic%20plan%20aims%20to%20accelerate%20and,and%20HIV%20case%20load%3B%20optimum">
        <w:r>
          <w:rPr>
            <w:rFonts w:ascii="Times New Roman" w:eastAsia="Times New Roman" w:hAnsi="Times New Roman" w:cs="Times New Roman"/>
            <w:color w:val="1155CC"/>
            <w:sz w:val="18"/>
            <w:szCs w:val="18"/>
            <w:u w:val="single"/>
          </w:rPr>
          <w:t>https://asp.portal.gov.bd/sites/default/files/files/asp.portal.gov.bd/page/2d04f70c_c5e5_4d3d_9a13_e8cc7e5af9c9/2021-01-06-11-09-38da3898519a9031282539d</w:t>
        </w:r>
        <w:r>
          <w:rPr>
            <w:rFonts w:ascii="Times New Roman" w:eastAsia="Times New Roman" w:hAnsi="Times New Roman" w:cs="Times New Roman"/>
            <w:color w:val="1155CC"/>
            <w:sz w:val="18"/>
            <w:szCs w:val="18"/>
            <w:u w:val="single"/>
          </w:rPr>
          <w:t>9c77a2683.doc#:~:text=AIDS%20by%202030.-,This%20updated%20version%20of%20strategic%20plan%20aims%20to%20accelerate%20and,and%20HIV%20case%20load%3B%20optimum</w:t>
        </w:r>
      </w:hyperlink>
      <w:r>
        <w:rPr>
          <w:rFonts w:ascii="Times New Roman" w:eastAsia="Times New Roman" w:hAnsi="Times New Roman" w:cs="Times New Roman"/>
          <w:sz w:val="18"/>
          <w:szCs w:val="18"/>
        </w:rPr>
        <w:t xml:space="preserve"> </w:t>
      </w:r>
    </w:p>
    <w:p w14:paraId="0000002C" w14:textId="77777777" w:rsidR="00EE4319" w:rsidRDefault="00DB0AB2">
      <w:pPr>
        <w:spacing w:line="240" w:lineRule="auto"/>
        <w:rPr>
          <w:rFonts w:ascii="Times New Roman" w:eastAsia="Times New Roman" w:hAnsi="Times New Roman" w:cs="Times New Roman"/>
          <w:sz w:val="18"/>
          <w:szCs w:val="18"/>
        </w:rPr>
      </w:pPr>
      <w:hyperlink r:id="rId2">
        <w:r>
          <w:rPr>
            <w:rFonts w:ascii="Times New Roman" w:eastAsia="Times New Roman" w:hAnsi="Times New Roman" w:cs="Times New Roman"/>
            <w:color w:val="1155CC"/>
            <w:sz w:val="18"/>
            <w:szCs w:val="18"/>
            <w:u w:val="single"/>
          </w:rPr>
          <w:t>https://nhrc.portal.gov.bd/sites/default/files/files/nhrc.portal.gov.bd/page/348ec5eb_22f8_4754_bb62_6a0d15ba1513/NHRC%20Report%20on%20CEDAW%20Sate%20Report.pdf</w:t>
        </w:r>
      </w:hyperlink>
      <w:r>
        <w:rPr>
          <w:rFonts w:ascii="Times New Roman" w:eastAsia="Times New Roman" w:hAnsi="Times New Roman" w:cs="Times New Roman"/>
          <w:sz w:val="18"/>
          <w:szCs w:val="18"/>
        </w:rPr>
        <w:t xml:space="preserve"> </w:t>
      </w:r>
    </w:p>
  </w:footnote>
  <w:footnote w:id="3">
    <w:p w14:paraId="0000002D"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p>
    <w:p w14:paraId="0000002E" w14:textId="77777777" w:rsidR="00EE4319" w:rsidRDefault="00DB0AB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UNFPA st</w:t>
      </w:r>
      <w:r>
        <w:rPr>
          <w:rFonts w:ascii="Times New Roman" w:eastAsia="Times New Roman" w:hAnsi="Times New Roman" w:cs="Times New Roman"/>
          <w:sz w:val="24"/>
          <w:szCs w:val="24"/>
        </w:rPr>
        <w:t xml:space="preserve">atement, </w:t>
      </w:r>
      <w:hyperlink r:id="rId3" w:anchor=":~:text=About%2080%25%20of%20street%2Dbased,Web%2Dplatforms%20for%20HIV%20services">
        <w:r>
          <w:rPr>
            <w:rFonts w:ascii="Times New Roman" w:eastAsia="Times New Roman" w:hAnsi="Times New Roman" w:cs="Times New Roman"/>
            <w:color w:val="1155CC"/>
            <w:sz w:val="18"/>
            <w:szCs w:val="18"/>
            <w:u w:val="single"/>
          </w:rPr>
          <w:t>https://bangladesh.unfpa.org/en/news/%E2%80%9Cgender-based-violence-against-female-sex-workers-and-transgender%E2%80%9D-and-%E2%80%9Conline-violence-and-e#:~:text=About%2080%25%20of%20street%2Dbased,Web%2Dplatforms%20for%20HIV%20services</w:t>
        </w:r>
      </w:hyperlink>
      <w:r>
        <w:rPr>
          <w:rFonts w:ascii="Times New Roman" w:eastAsia="Times New Roman" w:hAnsi="Times New Roman" w:cs="Times New Roman"/>
          <w:sz w:val="18"/>
          <w:szCs w:val="18"/>
        </w:rPr>
        <w:t xml:space="preserve">. </w:t>
      </w:r>
    </w:p>
  </w:footnote>
  <w:footnote w:id="4">
    <w:p w14:paraId="0000002F"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UN Working Group on discrimination against women and girls, </w:t>
      </w:r>
      <w:proofErr w:type="gramStart"/>
      <w:r>
        <w:rPr>
          <w:rFonts w:ascii="Times New Roman" w:eastAsia="Times New Roman" w:hAnsi="Times New Roman" w:cs="Times New Roman"/>
          <w:sz w:val="18"/>
          <w:szCs w:val="18"/>
        </w:rPr>
        <w:t>Eliminating</w:t>
      </w:r>
      <w:proofErr w:type="gramEnd"/>
      <w:r>
        <w:rPr>
          <w:rFonts w:ascii="Times New Roman" w:eastAsia="Times New Roman" w:hAnsi="Times New Roman" w:cs="Times New Roman"/>
          <w:sz w:val="18"/>
          <w:szCs w:val="18"/>
        </w:rPr>
        <w:t xml:space="preserve"> discrimination against sex workers and securing their human rights: Guidance document of the Working Group on discrimination against women and girls, UN Doc A/HRC/WG.11/39/1, December</w:t>
      </w:r>
      <w:r>
        <w:rPr>
          <w:rFonts w:ascii="Times New Roman" w:eastAsia="Times New Roman" w:hAnsi="Times New Roman" w:cs="Times New Roman"/>
          <w:sz w:val="18"/>
          <w:szCs w:val="18"/>
        </w:rPr>
        <w:t xml:space="preserve"> 7, 2023. </w:t>
      </w:r>
    </w:p>
  </w:footnote>
  <w:footnote w:id="5">
    <w:p w14:paraId="00000030"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Amnesty International, Amnesty International policy on state obligations to respect, protect and fulfil the human rights of sex workers, May 26, 2016.  </w:t>
      </w:r>
    </w:p>
  </w:footnote>
  <w:footnote w:id="6">
    <w:p w14:paraId="00000031"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International Commission of Jurists, </w:t>
      </w:r>
      <w:proofErr w:type="gramStart"/>
      <w:r>
        <w:rPr>
          <w:rFonts w:ascii="Times New Roman" w:eastAsia="Times New Roman" w:hAnsi="Times New Roman" w:cs="Times New Roman"/>
          <w:sz w:val="18"/>
          <w:szCs w:val="18"/>
        </w:rPr>
        <w:t>The</w:t>
      </w:r>
      <w:proofErr w:type="gramEnd"/>
      <w:r>
        <w:rPr>
          <w:rFonts w:ascii="Times New Roman" w:eastAsia="Times New Roman" w:hAnsi="Times New Roman" w:cs="Times New Roman"/>
          <w:sz w:val="18"/>
          <w:szCs w:val="18"/>
        </w:rPr>
        <w:t xml:space="preserve"> 8 March Principles for a Human Rights-Based App</w:t>
      </w:r>
      <w:r>
        <w:rPr>
          <w:rFonts w:ascii="Times New Roman" w:eastAsia="Times New Roman" w:hAnsi="Times New Roman" w:cs="Times New Roman"/>
          <w:sz w:val="18"/>
          <w:szCs w:val="18"/>
        </w:rPr>
        <w:t xml:space="preserve">roach to Criminal Law Proscribing Conduct Associated with Sex, Reproduction, Drug Use, HIV, Homelessness and Poverty, 2023.  </w:t>
      </w:r>
    </w:p>
  </w:footnote>
  <w:footnote w:id="7">
    <w:p w14:paraId="00000032"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Human Rights Watch, </w:t>
      </w:r>
      <w:hyperlink r:id="rId4">
        <w:r>
          <w:rPr>
            <w:rFonts w:ascii="Times New Roman" w:eastAsia="Times New Roman" w:hAnsi="Times New Roman" w:cs="Times New Roman"/>
            <w:i/>
            <w:color w:val="0000FF"/>
            <w:sz w:val="18"/>
            <w:szCs w:val="18"/>
            <w:u w:val="single"/>
          </w:rPr>
          <w:t>Why Sex Work Sh</w:t>
        </w:r>
        <w:r>
          <w:rPr>
            <w:rFonts w:ascii="Times New Roman" w:eastAsia="Times New Roman" w:hAnsi="Times New Roman" w:cs="Times New Roman"/>
            <w:i/>
            <w:color w:val="0000FF"/>
            <w:sz w:val="18"/>
            <w:szCs w:val="18"/>
            <w:u w:val="single"/>
          </w:rPr>
          <w:t>ould be Decriminalized</w:t>
        </w:r>
      </w:hyperlink>
      <w:r>
        <w:rPr>
          <w:rFonts w:ascii="Times New Roman" w:eastAsia="Times New Roman" w:hAnsi="Times New Roman" w:cs="Times New Roman"/>
          <w:sz w:val="18"/>
          <w:szCs w:val="18"/>
        </w:rPr>
        <w:t xml:space="preserve">, August 2019. </w:t>
      </w:r>
    </w:p>
  </w:footnote>
  <w:footnote w:id="8">
    <w:p w14:paraId="00000033"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UNAIDS, </w:t>
      </w:r>
      <w:hyperlink r:id="rId5">
        <w:r>
          <w:rPr>
            <w:rFonts w:ascii="Times New Roman" w:eastAsia="Times New Roman" w:hAnsi="Times New Roman" w:cs="Times New Roman"/>
            <w:i/>
            <w:color w:val="0000FF"/>
            <w:sz w:val="18"/>
            <w:szCs w:val="18"/>
            <w:u w:val="single"/>
          </w:rPr>
          <w:t>UNAIDS Guidance Note on HIV and Sex Work</w:t>
        </w:r>
      </w:hyperlink>
      <w:r>
        <w:rPr>
          <w:rFonts w:ascii="Times New Roman" w:eastAsia="Times New Roman" w:hAnsi="Times New Roman" w:cs="Times New Roman"/>
          <w:sz w:val="18"/>
          <w:szCs w:val="18"/>
        </w:rPr>
        <w:t xml:space="preserve">, April 2012.   </w:t>
      </w:r>
    </w:p>
  </w:footnote>
  <w:footnote w:id="9">
    <w:p w14:paraId="00000034"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International Community of Women Living with HIV,</w:t>
      </w:r>
      <w:r>
        <w:rPr>
          <w:rFonts w:ascii="Times New Roman" w:eastAsia="Times New Roman" w:hAnsi="Times New Roman" w:cs="Times New Roman"/>
          <w:i/>
          <w:sz w:val="18"/>
          <w:szCs w:val="18"/>
        </w:rPr>
        <w:t xml:space="preserve"> </w:t>
      </w:r>
      <w:hyperlink r:id="rId6">
        <w:r>
          <w:rPr>
            <w:rFonts w:ascii="Times New Roman" w:eastAsia="Times New Roman" w:hAnsi="Times New Roman" w:cs="Times New Roman"/>
            <w:i/>
            <w:color w:val="0000FF"/>
            <w:sz w:val="18"/>
            <w:szCs w:val="18"/>
            <w:u w:val="single"/>
          </w:rPr>
          <w:t>Sex Workers, Sex Work and HIV</w:t>
        </w:r>
      </w:hyperlink>
      <w:r>
        <w:rPr>
          <w:rFonts w:ascii="Times New Roman" w:eastAsia="Times New Roman" w:hAnsi="Times New Roman" w:cs="Times New Roman"/>
          <w:i/>
          <w:sz w:val="18"/>
          <w:szCs w:val="18"/>
        </w:rPr>
        <w:t xml:space="preserve">, </w:t>
      </w:r>
      <w:r>
        <w:rPr>
          <w:rFonts w:ascii="Times New Roman" w:eastAsia="Times New Roman" w:hAnsi="Times New Roman" w:cs="Times New Roman"/>
          <w:sz w:val="18"/>
          <w:szCs w:val="18"/>
        </w:rPr>
        <w:t xml:space="preserve">undated.  </w:t>
      </w:r>
    </w:p>
  </w:footnote>
  <w:footnote w:id="10">
    <w:p w14:paraId="00000035"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International Community of Women Living with HIV,</w:t>
      </w:r>
      <w:r>
        <w:rPr>
          <w:rFonts w:ascii="Times New Roman" w:eastAsia="Times New Roman" w:hAnsi="Times New Roman" w:cs="Times New Roman"/>
          <w:i/>
          <w:sz w:val="18"/>
          <w:szCs w:val="18"/>
        </w:rPr>
        <w:t xml:space="preserve"> </w:t>
      </w:r>
      <w:hyperlink r:id="rId7">
        <w:r>
          <w:rPr>
            <w:rFonts w:ascii="Times New Roman" w:eastAsia="Times New Roman" w:hAnsi="Times New Roman" w:cs="Times New Roman"/>
            <w:i/>
            <w:color w:val="0000FF"/>
            <w:sz w:val="18"/>
            <w:szCs w:val="18"/>
            <w:u w:val="single"/>
          </w:rPr>
          <w:t>Sex Workers, Sex Work and HIV</w:t>
        </w:r>
      </w:hyperlink>
      <w:r>
        <w:rPr>
          <w:rFonts w:ascii="Times New Roman" w:eastAsia="Times New Roman" w:hAnsi="Times New Roman" w:cs="Times New Roman"/>
          <w:i/>
          <w:sz w:val="18"/>
          <w:szCs w:val="18"/>
        </w:rPr>
        <w:t xml:space="preserve">, </w:t>
      </w:r>
      <w:r>
        <w:rPr>
          <w:rFonts w:ascii="Times New Roman" w:eastAsia="Times New Roman" w:hAnsi="Times New Roman" w:cs="Times New Roman"/>
          <w:sz w:val="18"/>
          <w:szCs w:val="18"/>
        </w:rPr>
        <w:t xml:space="preserve">undated.  </w:t>
      </w:r>
    </w:p>
  </w:footnote>
  <w:footnote w:id="11">
    <w:p w14:paraId="00000036"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Global Alliance against Traffic in Women, </w:t>
      </w:r>
      <w:hyperlink r:id="rId8">
        <w:r>
          <w:rPr>
            <w:rFonts w:ascii="Times New Roman" w:eastAsia="Times New Roman" w:hAnsi="Times New Roman" w:cs="Times New Roman"/>
            <w:i/>
            <w:color w:val="0000FF"/>
            <w:sz w:val="18"/>
            <w:szCs w:val="18"/>
            <w:u w:val="single"/>
          </w:rPr>
          <w:t>Criminalising Cl</w:t>
        </w:r>
        <w:r>
          <w:rPr>
            <w:rFonts w:ascii="Times New Roman" w:eastAsia="Times New Roman" w:hAnsi="Times New Roman" w:cs="Times New Roman"/>
            <w:i/>
            <w:color w:val="0000FF"/>
            <w:sz w:val="18"/>
            <w:szCs w:val="18"/>
            <w:u w:val="single"/>
          </w:rPr>
          <w:t>ients Endangers Sex Workers and Creates Barriers to Exiting Sex Work: Lessons Learned from the Anti-Trafficking Industry: Brief to the Senate Legal and Constitutional Affairs Committee on Bill C-36: Protection of Communities and Exploited Persons Act</w:t>
        </w:r>
      </w:hyperlink>
      <w:r>
        <w:rPr>
          <w:rFonts w:ascii="Times New Roman" w:eastAsia="Times New Roman" w:hAnsi="Times New Roman" w:cs="Times New Roman"/>
          <w:sz w:val="18"/>
          <w:szCs w:val="18"/>
        </w:rPr>
        <w:t>, Sept</w:t>
      </w:r>
      <w:r>
        <w:rPr>
          <w:rFonts w:ascii="Times New Roman" w:eastAsia="Times New Roman" w:hAnsi="Times New Roman" w:cs="Times New Roman"/>
          <w:sz w:val="18"/>
          <w:szCs w:val="18"/>
        </w:rPr>
        <w:t>ember 8, 2014.</w:t>
      </w:r>
    </w:p>
  </w:footnote>
  <w:footnote w:id="12">
    <w:p w14:paraId="00000037"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Global Commission on HIV and the Law, </w:t>
      </w:r>
      <w:hyperlink r:id="rId9">
        <w:r>
          <w:rPr>
            <w:rFonts w:ascii="Times New Roman" w:eastAsia="Times New Roman" w:hAnsi="Times New Roman" w:cs="Times New Roman"/>
            <w:i/>
            <w:color w:val="0000FF"/>
            <w:sz w:val="18"/>
            <w:szCs w:val="18"/>
            <w:u w:val="single"/>
          </w:rPr>
          <w:t>Risks, Rights &amp; Health</w:t>
        </w:r>
      </w:hyperlink>
      <w:r>
        <w:rPr>
          <w:rFonts w:ascii="Times New Roman" w:eastAsia="Times New Roman" w:hAnsi="Times New Roman" w:cs="Times New Roman"/>
          <w:sz w:val="18"/>
          <w:szCs w:val="18"/>
        </w:rPr>
        <w:t>, July 2012.</w:t>
      </w:r>
    </w:p>
  </w:footnote>
  <w:footnote w:id="13">
    <w:p w14:paraId="00000038"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https://www.carebangladesh.org/publication/Publication_5820760.pdf</w:t>
      </w:r>
    </w:p>
  </w:footnote>
  <w:footnote w:id="14">
    <w:p w14:paraId="00000039"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https://www.refworld.org/docid/52d920c54.html</w:t>
      </w:r>
    </w:p>
  </w:footnote>
  <w:footnote w:id="15">
    <w:p w14:paraId="0000003A"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http://childsocialprotection.gov.bd/public/upload/policy_files/202105240620National%20Children%20Policy%202011%20English.pdf</w:t>
      </w:r>
    </w:p>
  </w:footnote>
  <w:footnote w:id="16">
    <w:p w14:paraId="0000003B"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https://www.</w:t>
      </w:r>
      <w:r>
        <w:rPr>
          <w:rFonts w:ascii="Times New Roman" w:eastAsia="Times New Roman" w:hAnsi="Times New Roman" w:cs="Times New Roman"/>
          <w:sz w:val="18"/>
          <w:szCs w:val="18"/>
        </w:rPr>
        <w:t>nswp.org/country/bangladesh</w:t>
      </w:r>
    </w:p>
  </w:footnote>
  <w:footnote w:id="17">
    <w:p w14:paraId="0000003C"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See, for example, court decisions in Canada (</w:t>
      </w:r>
      <w:r>
        <w:rPr>
          <w:rFonts w:ascii="Times New Roman" w:eastAsia="Times New Roman" w:hAnsi="Times New Roman" w:cs="Times New Roman"/>
          <w:i/>
          <w:sz w:val="18"/>
          <w:szCs w:val="18"/>
        </w:rPr>
        <w:t>R v Al-</w:t>
      </w:r>
      <w:proofErr w:type="spellStart"/>
      <w:r>
        <w:rPr>
          <w:rFonts w:ascii="Times New Roman" w:eastAsia="Times New Roman" w:hAnsi="Times New Roman" w:cs="Times New Roman"/>
          <w:i/>
          <w:sz w:val="18"/>
          <w:szCs w:val="18"/>
        </w:rPr>
        <w:t>Rawi</w:t>
      </w:r>
      <w:proofErr w:type="spellEnd"/>
      <w:r>
        <w:rPr>
          <w:rFonts w:ascii="Times New Roman" w:eastAsia="Times New Roman" w:hAnsi="Times New Roman" w:cs="Times New Roman"/>
          <w:sz w:val="18"/>
          <w:szCs w:val="18"/>
        </w:rPr>
        <w:t xml:space="preserve"> [2018] N.S.J. No. 18; </w:t>
      </w:r>
      <w:r>
        <w:rPr>
          <w:rFonts w:ascii="Times New Roman" w:eastAsia="Times New Roman" w:hAnsi="Times New Roman" w:cs="Times New Roman"/>
          <w:i/>
          <w:sz w:val="18"/>
          <w:szCs w:val="18"/>
        </w:rPr>
        <w:t>R v F.(G.)</w:t>
      </w:r>
      <w:r>
        <w:rPr>
          <w:rFonts w:ascii="Times New Roman" w:eastAsia="Times New Roman" w:hAnsi="Times New Roman" w:cs="Times New Roman"/>
          <w:sz w:val="18"/>
          <w:szCs w:val="18"/>
        </w:rPr>
        <w:t xml:space="preserve"> [2021] SCJ No.20); </w:t>
      </w:r>
      <w:r>
        <w:rPr>
          <w:rFonts w:ascii="Times New Roman" w:eastAsia="Times New Roman" w:hAnsi="Times New Roman" w:cs="Times New Roman"/>
          <w:i/>
          <w:sz w:val="18"/>
          <w:szCs w:val="18"/>
        </w:rPr>
        <w:t xml:space="preserve">R. v. </w:t>
      </w:r>
      <w:proofErr w:type="spellStart"/>
      <w:r>
        <w:rPr>
          <w:rFonts w:ascii="Times New Roman" w:eastAsia="Times New Roman" w:hAnsi="Times New Roman" w:cs="Times New Roman"/>
          <w:i/>
          <w:sz w:val="18"/>
          <w:szCs w:val="18"/>
        </w:rPr>
        <w:t>Ewanchuk</w:t>
      </w:r>
      <w:proofErr w:type="spellEnd"/>
      <w:r>
        <w:rPr>
          <w:rFonts w:ascii="Times New Roman" w:eastAsia="Times New Roman" w:hAnsi="Times New Roman" w:cs="Times New Roman"/>
          <w:sz w:val="18"/>
          <w:szCs w:val="18"/>
        </w:rPr>
        <w:t xml:space="preserve"> [1999] SCJ No. 10); </w:t>
      </w:r>
      <w:r>
        <w:rPr>
          <w:rFonts w:ascii="Times New Roman" w:eastAsia="Times New Roman" w:hAnsi="Times New Roman" w:cs="Times New Roman"/>
          <w:i/>
          <w:sz w:val="18"/>
          <w:szCs w:val="18"/>
        </w:rPr>
        <w:t>R. v. Hutchinson</w:t>
      </w:r>
      <w:r>
        <w:rPr>
          <w:rFonts w:ascii="Times New Roman" w:eastAsia="Times New Roman" w:hAnsi="Times New Roman" w:cs="Times New Roman"/>
          <w:sz w:val="18"/>
          <w:szCs w:val="18"/>
        </w:rPr>
        <w:t xml:space="preserve"> [2014] SCJ No. 19); and </w:t>
      </w:r>
      <w:r>
        <w:rPr>
          <w:rFonts w:ascii="Times New Roman" w:eastAsia="Times New Roman" w:hAnsi="Times New Roman" w:cs="Times New Roman"/>
          <w:i/>
          <w:sz w:val="18"/>
          <w:szCs w:val="18"/>
        </w:rPr>
        <w:t>R. v. Kirkpatrick</w:t>
      </w:r>
      <w:r>
        <w:rPr>
          <w:rFonts w:ascii="Times New Roman" w:eastAsia="Times New Roman" w:hAnsi="Times New Roman" w:cs="Times New Roman"/>
          <w:sz w:val="18"/>
          <w:szCs w:val="18"/>
        </w:rPr>
        <w:t xml:space="preserve"> [2022] No. 33)) and the</w:t>
      </w:r>
      <w:r>
        <w:rPr>
          <w:rFonts w:ascii="Times New Roman" w:eastAsia="Times New Roman" w:hAnsi="Times New Roman" w:cs="Times New Roman"/>
          <w:sz w:val="18"/>
          <w:szCs w:val="18"/>
        </w:rPr>
        <w:t xml:space="preserve"> United Kingdom (</w:t>
      </w:r>
      <w:r>
        <w:rPr>
          <w:rFonts w:ascii="Times New Roman" w:eastAsia="Times New Roman" w:hAnsi="Times New Roman" w:cs="Times New Roman"/>
          <w:i/>
          <w:sz w:val="18"/>
          <w:szCs w:val="18"/>
        </w:rPr>
        <w:t>R(F) v DPP</w:t>
      </w:r>
      <w:r>
        <w:rPr>
          <w:rFonts w:ascii="Times New Roman" w:eastAsia="Times New Roman" w:hAnsi="Times New Roman" w:cs="Times New Roman"/>
          <w:sz w:val="18"/>
          <w:szCs w:val="18"/>
        </w:rPr>
        <w:t xml:space="preserve"> (2014 Q.B. 581); </w:t>
      </w:r>
      <w:r>
        <w:rPr>
          <w:rFonts w:ascii="Times New Roman" w:eastAsia="Times New Roman" w:hAnsi="Times New Roman" w:cs="Times New Roman"/>
          <w:i/>
          <w:sz w:val="18"/>
          <w:szCs w:val="18"/>
        </w:rPr>
        <w:t xml:space="preserve">Assange v Swedish Prosecution Authority </w:t>
      </w:r>
      <w:r>
        <w:rPr>
          <w:rFonts w:ascii="Times New Roman" w:eastAsia="Times New Roman" w:hAnsi="Times New Roman" w:cs="Times New Roman"/>
          <w:sz w:val="18"/>
          <w:szCs w:val="18"/>
        </w:rPr>
        <w:t xml:space="preserve">(SCUK)); </w:t>
      </w:r>
      <w:r>
        <w:rPr>
          <w:rFonts w:ascii="Times New Roman" w:eastAsia="Times New Roman" w:hAnsi="Times New Roman" w:cs="Times New Roman"/>
          <w:i/>
          <w:sz w:val="18"/>
          <w:szCs w:val="18"/>
        </w:rPr>
        <w:t xml:space="preserve">R v Malone </w:t>
      </w:r>
      <w:r>
        <w:rPr>
          <w:rFonts w:ascii="Times New Roman" w:eastAsia="Times New Roman" w:hAnsi="Times New Roman" w:cs="Times New Roman"/>
          <w:sz w:val="18"/>
          <w:szCs w:val="18"/>
        </w:rPr>
        <w:t>(1998 2 Cr App R 447).</w:t>
      </w:r>
    </w:p>
  </w:footnote>
  <w:footnote w:id="18">
    <w:p w14:paraId="0000003D"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color w:val="202122"/>
          <w:sz w:val="18"/>
          <w:szCs w:val="18"/>
        </w:rPr>
        <w:t xml:space="preserve">Banerjee, Paula; </w:t>
      </w:r>
      <w:proofErr w:type="spellStart"/>
      <w:r>
        <w:rPr>
          <w:rFonts w:ascii="Times New Roman" w:eastAsia="Times New Roman" w:hAnsi="Times New Roman" w:cs="Times New Roman"/>
          <w:color w:val="202122"/>
          <w:sz w:val="18"/>
          <w:szCs w:val="18"/>
        </w:rPr>
        <w:t>Chaudhury</w:t>
      </w:r>
      <w:proofErr w:type="spellEnd"/>
      <w:r>
        <w:rPr>
          <w:rFonts w:ascii="Times New Roman" w:eastAsia="Times New Roman" w:hAnsi="Times New Roman" w:cs="Times New Roman"/>
          <w:color w:val="202122"/>
          <w:sz w:val="18"/>
          <w:szCs w:val="18"/>
        </w:rPr>
        <w:t xml:space="preserve">, </w:t>
      </w:r>
      <w:proofErr w:type="spellStart"/>
      <w:r>
        <w:rPr>
          <w:rFonts w:ascii="Times New Roman" w:eastAsia="Times New Roman" w:hAnsi="Times New Roman" w:cs="Times New Roman"/>
          <w:color w:val="202122"/>
          <w:sz w:val="18"/>
          <w:szCs w:val="18"/>
        </w:rPr>
        <w:t>Sabyasachi</w:t>
      </w:r>
      <w:proofErr w:type="spellEnd"/>
      <w:r>
        <w:rPr>
          <w:rFonts w:ascii="Times New Roman" w:eastAsia="Times New Roman" w:hAnsi="Times New Roman" w:cs="Times New Roman"/>
          <w:color w:val="202122"/>
          <w:sz w:val="18"/>
          <w:szCs w:val="18"/>
        </w:rPr>
        <w:t xml:space="preserve"> </w:t>
      </w:r>
      <w:proofErr w:type="spellStart"/>
      <w:r>
        <w:rPr>
          <w:rFonts w:ascii="Times New Roman" w:eastAsia="Times New Roman" w:hAnsi="Times New Roman" w:cs="Times New Roman"/>
          <w:color w:val="202122"/>
          <w:sz w:val="18"/>
          <w:szCs w:val="18"/>
        </w:rPr>
        <w:t>Basu</w:t>
      </w:r>
      <w:proofErr w:type="spellEnd"/>
      <w:r>
        <w:rPr>
          <w:rFonts w:ascii="Times New Roman" w:eastAsia="Times New Roman" w:hAnsi="Times New Roman" w:cs="Times New Roman"/>
          <w:color w:val="202122"/>
          <w:sz w:val="18"/>
          <w:szCs w:val="18"/>
        </w:rPr>
        <w:t xml:space="preserve"> Ray; Das, Samir Kumar (2005). </w:t>
      </w:r>
      <w:hyperlink r:id="rId10">
        <w:r>
          <w:rPr>
            <w:rFonts w:ascii="Times New Roman" w:eastAsia="Times New Roman" w:hAnsi="Times New Roman" w:cs="Times New Roman"/>
            <w:i/>
            <w:color w:val="3366CC"/>
            <w:sz w:val="18"/>
            <w:szCs w:val="18"/>
            <w:u w:val="single"/>
          </w:rPr>
          <w:t>Internal Displacement in South Asia: The Relevance of the UN's Guiding Principles</w:t>
        </w:r>
      </w:hyperlink>
    </w:p>
  </w:footnote>
  <w:footnote w:id="19">
    <w:p w14:paraId="0000003E" w14:textId="77777777" w:rsidR="00EE4319" w:rsidRDefault="00DB0AB2">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4"/>
          <w:szCs w:val="24"/>
        </w:rPr>
        <w:t>Writ Petition No 2871/1999, filed on 27 July 1999</w:t>
      </w:r>
    </w:p>
  </w:footnote>
  <w:footnote w:id="20">
    <w:p w14:paraId="0000003F"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Supra note 13</w:t>
      </w:r>
    </w:p>
  </w:footnote>
  <w:footnote w:id="21">
    <w:p w14:paraId="00000040"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Hum</w:t>
      </w:r>
      <w:r>
        <w:rPr>
          <w:rFonts w:ascii="Times New Roman" w:eastAsia="Times New Roman" w:hAnsi="Times New Roman" w:cs="Times New Roman"/>
          <w:sz w:val="18"/>
          <w:szCs w:val="18"/>
        </w:rPr>
        <w:t xml:space="preserve">an Rights Council, </w:t>
      </w:r>
      <w:r>
        <w:rPr>
          <w:rFonts w:ascii="Times New Roman" w:eastAsia="Times New Roman" w:hAnsi="Times New Roman" w:cs="Times New Roman"/>
          <w:i/>
          <w:sz w:val="18"/>
          <w:szCs w:val="18"/>
        </w:rPr>
        <w:t xml:space="preserve">Report of the Special Rapporteur on violence against women, its causes and consequences, </w:t>
      </w:r>
      <w:proofErr w:type="spellStart"/>
      <w:r>
        <w:rPr>
          <w:rFonts w:ascii="Times New Roman" w:eastAsia="Times New Roman" w:hAnsi="Times New Roman" w:cs="Times New Roman"/>
          <w:i/>
          <w:sz w:val="18"/>
          <w:szCs w:val="18"/>
        </w:rPr>
        <w:t>Rashida</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Manjo</w:t>
      </w:r>
      <w:r>
        <w:rPr>
          <w:rFonts w:ascii="Times New Roman" w:eastAsia="Times New Roman" w:hAnsi="Times New Roman" w:cs="Times New Roman"/>
          <w:sz w:val="18"/>
          <w:szCs w:val="18"/>
        </w:rPr>
        <w:t>o</w:t>
      </w:r>
      <w:proofErr w:type="spellEnd"/>
      <w:r>
        <w:rPr>
          <w:rFonts w:ascii="Times New Roman" w:eastAsia="Times New Roman" w:hAnsi="Times New Roman" w:cs="Times New Roman"/>
          <w:sz w:val="18"/>
          <w:szCs w:val="18"/>
        </w:rPr>
        <w:t>, UN Doc. A/HRC/26/38/Add.1, 2014.</w:t>
      </w:r>
    </w:p>
  </w:footnote>
  <w:footnote w:id="22">
    <w:p w14:paraId="00000041"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UNAIDS, UNHCR, UNICEF, WFP, UNDP, UNFPA, UN Women, ILO, UNESCO, WHO, OHCHR, IOM, </w:t>
      </w:r>
      <w:hyperlink r:id="rId11">
        <w:r>
          <w:rPr>
            <w:rFonts w:ascii="Times New Roman" w:eastAsia="Times New Roman" w:hAnsi="Times New Roman" w:cs="Times New Roman"/>
            <w:i/>
            <w:color w:val="0000FF"/>
            <w:sz w:val="18"/>
            <w:szCs w:val="18"/>
            <w:u w:val="single"/>
          </w:rPr>
          <w:t>Joint United Nations Statement on Ending Discrimination in Healthcare Settings</w:t>
        </w:r>
      </w:hyperlink>
      <w:r>
        <w:rPr>
          <w:rFonts w:ascii="Times New Roman" w:eastAsia="Times New Roman" w:hAnsi="Times New Roman" w:cs="Times New Roman"/>
          <w:sz w:val="18"/>
          <w:szCs w:val="18"/>
        </w:rPr>
        <w:t>, June 27, 2017, at p. 3.</w:t>
      </w:r>
    </w:p>
  </w:footnote>
  <w:footnote w:id="23">
    <w:p w14:paraId="00000042"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Human Rights Council, </w:t>
      </w:r>
      <w:r>
        <w:rPr>
          <w:rFonts w:ascii="Times New Roman" w:eastAsia="Times New Roman" w:hAnsi="Times New Roman" w:cs="Times New Roman"/>
          <w:i/>
          <w:sz w:val="18"/>
          <w:szCs w:val="18"/>
        </w:rPr>
        <w:t>Report of the</w:t>
      </w:r>
      <w:r>
        <w:rPr>
          <w:rFonts w:ascii="Times New Roman" w:eastAsia="Times New Roman" w:hAnsi="Times New Roman" w:cs="Times New Roman"/>
          <w:i/>
          <w:sz w:val="18"/>
          <w:szCs w:val="18"/>
        </w:rPr>
        <w:t xml:space="preserve"> Special Rapporteur on the right of everyone to the enjoyment of the highest attainable standard of physical and mental health, </w:t>
      </w:r>
      <w:proofErr w:type="spellStart"/>
      <w:r>
        <w:rPr>
          <w:rFonts w:ascii="Times New Roman" w:eastAsia="Times New Roman" w:hAnsi="Times New Roman" w:cs="Times New Roman"/>
          <w:i/>
          <w:sz w:val="18"/>
          <w:szCs w:val="18"/>
        </w:rPr>
        <w:t>Anand</w:t>
      </w:r>
      <w:proofErr w:type="spellEnd"/>
      <w:r>
        <w:rPr>
          <w:rFonts w:ascii="Times New Roman" w:eastAsia="Times New Roman" w:hAnsi="Times New Roman" w:cs="Times New Roman"/>
          <w:i/>
          <w:sz w:val="18"/>
          <w:szCs w:val="18"/>
        </w:rPr>
        <w:t xml:space="preserve"> Grover</w:t>
      </w:r>
      <w:r>
        <w:rPr>
          <w:rFonts w:ascii="Times New Roman" w:eastAsia="Times New Roman" w:hAnsi="Times New Roman" w:cs="Times New Roman"/>
          <w:sz w:val="18"/>
          <w:szCs w:val="18"/>
        </w:rPr>
        <w:t xml:space="preserve">, UN Doc. A/HRC/14/20, 2010; Human Rights Council, </w:t>
      </w:r>
      <w:r>
        <w:rPr>
          <w:rFonts w:ascii="Times New Roman" w:eastAsia="Times New Roman" w:hAnsi="Times New Roman" w:cs="Times New Roman"/>
          <w:i/>
          <w:sz w:val="18"/>
          <w:szCs w:val="18"/>
        </w:rPr>
        <w:t xml:space="preserve">Report of the Special Rapporteur on the right of everyone to the </w:t>
      </w:r>
      <w:r>
        <w:rPr>
          <w:rFonts w:ascii="Times New Roman" w:eastAsia="Times New Roman" w:hAnsi="Times New Roman" w:cs="Times New Roman"/>
          <w:i/>
          <w:sz w:val="18"/>
          <w:szCs w:val="18"/>
        </w:rPr>
        <w:t xml:space="preserve">enjoyment of the highest attainable standard of physical and mental health, </w:t>
      </w:r>
      <w:proofErr w:type="spellStart"/>
      <w:r>
        <w:rPr>
          <w:rFonts w:ascii="Times New Roman" w:eastAsia="Times New Roman" w:hAnsi="Times New Roman" w:cs="Times New Roman"/>
          <w:i/>
          <w:sz w:val="18"/>
          <w:szCs w:val="18"/>
        </w:rPr>
        <w:t>Anand</w:t>
      </w:r>
      <w:proofErr w:type="spellEnd"/>
      <w:r>
        <w:rPr>
          <w:rFonts w:ascii="Times New Roman" w:eastAsia="Times New Roman" w:hAnsi="Times New Roman" w:cs="Times New Roman"/>
          <w:i/>
          <w:sz w:val="18"/>
          <w:szCs w:val="18"/>
        </w:rPr>
        <w:t xml:space="preserve"> Grover</w:t>
      </w:r>
      <w:r>
        <w:rPr>
          <w:rFonts w:ascii="Times New Roman" w:eastAsia="Times New Roman" w:hAnsi="Times New Roman" w:cs="Times New Roman"/>
          <w:sz w:val="18"/>
          <w:szCs w:val="18"/>
        </w:rPr>
        <w:t>, UN Doc. A/HRC/23/41, 2013.</w:t>
      </w:r>
    </w:p>
  </w:footnote>
  <w:footnote w:id="24">
    <w:p w14:paraId="00000043"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UN Women, </w:t>
      </w:r>
      <w:r>
        <w:rPr>
          <w:rFonts w:ascii="Times New Roman" w:eastAsia="Times New Roman" w:hAnsi="Times New Roman" w:cs="Times New Roman"/>
          <w:i/>
          <w:sz w:val="18"/>
          <w:szCs w:val="18"/>
        </w:rPr>
        <w:t>Note on Sex Work, Sexual Exploitation and Trafficking</w:t>
      </w:r>
      <w:r>
        <w:rPr>
          <w:rFonts w:ascii="Times New Roman" w:eastAsia="Times New Roman" w:hAnsi="Times New Roman" w:cs="Times New Roman"/>
          <w:sz w:val="18"/>
          <w:szCs w:val="18"/>
        </w:rPr>
        <w:t xml:space="preserve">, October 9, 2013. </w:t>
      </w:r>
    </w:p>
  </w:footnote>
  <w:footnote w:id="25">
    <w:p w14:paraId="00000044" w14:textId="77777777" w:rsidR="00EE4319" w:rsidRDefault="00DB0AB2">
      <w:pPr>
        <w:spacing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Supra note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19"/>
    <w:rsid w:val="00A75816"/>
    <w:rsid w:val="00DB0AB2"/>
    <w:rsid w:val="00EE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2BD15"/>
  <w15:docId w15:val="{BB8B09FA-2A37-47D8-AD02-CE09D930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A53F85"/>
    <w:pPr>
      <w:spacing w:line="240" w:lineRule="auto"/>
    </w:pPr>
  </w:style>
  <w:style w:type="paragraph" w:styleId="FootnoteText">
    <w:name w:val="footnote text"/>
    <w:basedOn w:val="Normal"/>
    <w:link w:val="FootnoteTextChar"/>
    <w:uiPriority w:val="99"/>
    <w:semiHidden/>
    <w:unhideWhenUsed/>
    <w:rsid w:val="00706EFA"/>
    <w:pPr>
      <w:spacing w:line="240" w:lineRule="auto"/>
    </w:pPr>
    <w:rPr>
      <w:sz w:val="20"/>
      <w:szCs w:val="20"/>
    </w:rPr>
  </w:style>
  <w:style w:type="character" w:customStyle="1" w:styleId="FootnoteTextChar">
    <w:name w:val="Footnote Text Char"/>
    <w:basedOn w:val="DefaultParagraphFont"/>
    <w:link w:val="FootnoteText"/>
    <w:uiPriority w:val="99"/>
    <w:semiHidden/>
    <w:rsid w:val="00706EFA"/>
    <w:rPr>
      <w:sz w:val="20"/>
      <w:szCs w:val="20"/>
    </w:rPr>
  </w:style>
  <w:style w:type="character" w:styleId="FootnoteReference">
    <w:name w:val="footnote reference"/>
    <w:basedOn w:val="DefaultParagraphFont"/>
    <w:uiPriority w:val="99"/>
    <w:semiHidden/>
    <w:unhideWhenUsed/>
    <w:rsid w:val="00706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gaatw.org/advocacy/Bill_C-36-GAATW_brief.pdf" TargetMode="External"/><Relationship Id="rId3" Type="http://schemas.openxmlformats.org/officeDocument/2006/relationships/hyperlink" Target="https://bangladesh.unfpa.org/en/news/%E2%80%9Cgender-based-violence-against-female-sex-workers-and-transgender%E2%80%9D-and-%E2%80%9Conline-violence-and-e" TargetMode="External"/><Relationship Id="rId7" Type="http://schemas.openxmlformats.org/officeDocument/2006/relationships/hyperlink" Target="https://www.wlhiv.org/_files/ugd/836bb6_9e6fe10606054489b8a047611471cae3.pdf" TargetMode="External"/><Relationship Id="rId2" Type="http://schemas.openxmlformats.org/officeDocument/2006/relationships/hyperlink" Target="https://nhrc.portal.gov.bd/sites/default/files/files/nhrc.portal.gov.bd/page/348ec5eb_22f8_4754_bb62_6a0d15ba1513/NHRC%20Report%20on%20CEDAW%20Sate%20Report.pdf" TargetMode="External"/><Relationship Id="rId1" Type="http://schemas.openxmlformats.org/officeDocument/2006/relationships/hyperlink" Target="https://asp.portal.gov.bd/sites/default/files/files/asp.portal.gov.bd/page/2d04f70c_c5e5_4d3d_9a13_e8cc7e5af9c9/2021-01-06-11-09-38da3898519a9031282539d9c77a2683.doc" TargetMode="External"/><Relationship Id="rId6" Type="http://schemas.openxmlformats.org/officeDocument/2006/relationships/hyperlink" Target="https://www.wlhiv.org/_files/ugd/836bb6_9e6fe10606054489b8a047611471cae3.pdf" TargetMode="External"/><Relationship Id="rId11" Type="http://schemas.openxmlformats.org/officeDocument/2006/relationships/hyperlink" Target="https://www.unaids.org/en/resources/documents/2017/ending-discrimination-in-health-care-settings" TargetMode="External"/><Relationship Id="rId5" Type="http://schemas.openxmlformats.org/officeDocument/2006/relationships/hyperlink" Target="https://www.unaids.org/sites/default/files/media_asset/JC2306_UNAIDS-guidance-note-HIV-sex-work_en_0.pdf" TargetMode="External"/><Relationship Id="rId10" Type="http://schemas.openxmlformats.org/officeDocument/2006/relationships/hyperlink" Target="https://books.google.com/books?id=MrFoDwAAQBAJ&amp;q=Sheikh+Hasina+prostitutes&amp;pg=PT175" TargetMode="External"/><Relationship Id="rId4" Type="http://schemas.openxmlformats.org/officeDocument/2006/relationships/hyperlink" Target="https://www.hrw.org/news/2019/08/07/why-sex-work-should-be-decriminalized" TargetMode="External"/><Relationship Id="rId9" Type="http://schemas.openxmlformats.org/officeDocument/2006/relationships/hyperlink" Target="https://www.aidsdatahub.org/sites/default/files/resource/global-commission-hiv-law-risks-rights-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EpEM7zd5NfjuLTE+pBlXRa9vA==">CgMxLjA4AHIhMV93VVVQa2d4ajE4R3pzd2VxcG1naEc0X1VxUDh2ZF9O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Sex Worker Organisations and Allies, Bangladesh</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8A02C3-76EE-4D9F-8782-1B0B10FA24BE}"/>
</file>

<file path=customXml/itemProps3.xml><?xml version="1.0" encoding="utf-8"?>
<ds:datastoreItem xmlns:ds="http://schemas.openxmlformats.org/officeDocument/2006/customXml" ds:itemID="{1137A95A-EDA3-4F5E-A42C-96A7119EAE14}"/>
</file>

<file path=customXml/itemProps4.xml><?xml version="1.0" encoding="utf-8"?>
<ds:datastoreItem xmlns:ds="http://schemas.openxmlformats.org/officeDocument/2006/customXml" ds:itemID="{6805D750-9DBA-412C-983A-FA5EA2A68058}"/>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8676</Characters>
  <Application>Microsoft Office Word</Application>
  <DocSecurity>0</DocSecurity>
  <Lines>72</Lines>
  <Paragraphs>20</Paragraphs>
  <ScaleCrop>false</ScaleCrop>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SANGRAM Bangalore_AP</dc:creator>
  <cp:lastModifiedBy>DELL</cp:lastModifiedBy>
  <cp:revision>2</cp:revision>
  <dcterms:created xsi:type="dcterms:W3CDTF">2024-01-31T07:54:00Z</dcterms:created>
  <dcterms:modified xsi:type="dcterms:W3CDTF">2024-01-31T09:32:00Z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