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8905" w14:textId="171806D1" w:rsidR="0086649E" w:rsidRDefault="0086649E" w:rsidP="005D70E8">
      <w:pPr>
        <w:spacing w:before="120" w:after="120" w:line="280" w:lineRule="atLeast"/>
        <w:rPr>
          <w:rFonts w:asciiTheme="minorHAnsi" w:hAnsiTheme="minorHAnsi" w:cstheme="minorHAnsi"/>
          <w:b/>
          <w:bCs/>
          <w:color w:val="000000"/>
          <w:sz w:val="24"/>
          <w:szCs w:val="24"/>
          <w:shd w:val="clear" w:color="auto" w:fill="F5F5F1"/>
          <w:lang w:val="en-GB"/>
        </w:rPr>
      </w:pPr>
      <w:r w:rsidRPr="005F048A">
        <w:rPr>
          <w:rFonts w:cstheme="minorHAnsi"/>
          <w:noProof/>
          <w:lang w:eastAsia="nl-NL"/>
        </w:rPr>
        <w:drawing>
          <wp:anchor distT="0" distB="0" distL="114300" distR="114300" simplePos="0" relativeHeight="251659264" behindDoc="0" locked="0" layoutInCell="1" allowOverlap="1" wp14:anchorId="34AF230A" wp14:editId="55B433F8">
            <wp:simplePos x="0" y="0"/>
            <wp:positionH relativeFrom="margin">
              <wp:posOffset>1493751</wp:posOffset>
            </wp:positionH>
            <wp:positionV relativeFrom="paragraph">
              <wp:posOffset>57150</wp:posOffset>
            </wp:positionV>
            <wp:extent cx="1864995" cy="457200"/>
            <wp:effectExtent l="0" t="0" r="190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9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E6806B0" wp14:editId="46C33AED">
            <wp:simplePos x="0" y="0"/>
            <wp:positionH relativeFrom="column">
              <wp:posOffset>3638550</wp:posOffset>
            </wp:positionH>
            <wp:positionV relativeFrom="paragraph">
              <wp:posOffset>39370</wp:posOffset>
            </wp:positionV>
            <wp:extent cx="1826260" cy="443230"/>
            <wp:effectExtent l="0" t="0" r="2540" b="0"/>
            <wp:wrapSquare wrapText="bothSides"/>
            <wp:docPr id="344076298" name="Afbeelding 1" descr="Netwerk VN-Vrouwenverd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werk VN-Vrouwenverdr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6260" cy="443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B91DC" w14:textId="1905399E" w:rsidR="0086649E" w:rsidRDefault="0086649E" w:rsidP="005D70E8">
      <w:pPr>
        <w:spacing w:before="120" w:after="120" w:line="280" w:lineRule="atLeast"/>
        <w:rPr>
          <w:rFonts w:asciiTheme="minorHAnsi" w:hAnsiTheme="minorHAnsi" w:cstheme="minorHAnsi"/>
          <w:b/>
          <w:bCs/>
          <w:color w:val="000000"/>
          <w:sz w:val="24"/>
          <w:szCs w:val="24"/>
          <w:shd w:val="clear" w:color="auto" w:fill="F5F5F1"/>
          <w:lang w:val="en-GB"/>
        </w:rPr>
      </w:pPr>
    </w:p>
    <w:p w14:paraId="518580CF" w14:textId="77777777" w:rsidR="0086649E" w:rsidRDefault="0086649E" w:rsidP="005D70E8">
      <w:pPr>
        <w:spacing w:before="120" w:after="120" w:line="280" w:lineRule="atLeast"/>
        <w:rPr>
          <w:rFonts w:asciiTheme="minorHAnsi" w:hAnsiTheme="minorHAnsi" w:cstheme="minorHAnsi"/>
          <w:b/>
          <w:bCs/>
          <w:color w:val="000000"/>
          <w:sz w:val="24"/>
          <w:szCs w:val="24"/>
          <w:shd w:val="clear" w:color="auto" w:fill="F5F5F1"/>
          <w:lang w:val="en-GB"/>
        </w:rPr>
      </w:pPr>
    </w:p>
    <w:p w14:paraId="3872E378" w14:textId="72D787E6" w:rsidR="00C416F3" w:rsidRPr="005D70E8" w:rsidRDefault="00C416F3" w:rsidP="005D70E8">
      <w:pPr>
        <w:spacing w:before="120" w:after="120" w:line="280" w:lineRule="atLeast"/>
        <w:rPr>
          <w:rFonts w:asciiTheme="minorHAnsi" w:hAnsiTheme="minorHAnsi" w:cstheme="minorHAnsi"/>
          <w:b/>
          <w:bCs/>
          <w:sz w:val="24"/>
          <w:szCs w:val="24"/>
          <w:lang w:val="en-GB"/>
        </w:rPr>
      </w:pPr>
      <w:r w:rsidRPr="005D70E8">
        <w:rPr>
          <w:rFonts w:asciiTheme="minorHAnsi" w:hAnsiTheme="minorHAnsi" w:cstheme="minorHAnsi"/>
          <w:b/>
          <w:bCs/>
          <w:color w:val="000000"/>
          <w:sz w:val="24"/>
          <w:szCs w:val="24"/>
          <w:shd w:val="clear" w:color="auto" w:fill="F5F5F1"/>
          <w:lang w:val="en-GB"/>
        </w:rPr>
        <w:t>Input for SR VAWG's report on violence against women and prostitution</w:t>
      </w:r>
    </w:p>
    <w:p w14:paraId="4B9EB80A" w14:textId="787871C1" w:rsidR="00F35D00" w:rsidRPr="005D70E8" w:rsidRDefault="00F35D00"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This statement has been prepared by SekswerkExpertise, Dutch Platform for the advancement of sex workers rights, and the Dutch CEDAW Network.</w:t>
      </w:r>
    </w:p>
    <w:p w14:paraId="2C31F97B" w14:textId="529DB5D2" w:rsidR="004B1E95" w:rsidRPr="005D70E8" w:rsidRDefault="004B1E95"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Some preceding remarks:</w:t>
      </w:r>
    </w:p>
    <w:p w14:paraId="1C1E40FD" w14:textId="77777777" w:rsidR="007B2035" w:rsidRPr="005D70E8" w:rsidRDefault="007B2035" w:rsidP="005D70E8">
      <w:pPr>
        <w:spacing w:before="120" w:after="120" w:line="280" w:lineRule="atLeast"/>
        <w:rPr>
          <w:rFonts w:asciiTheme="minorHAnsi" w:hAnsiTheme="minorHAnsi" w:cstheme="minorHAnsi"/>
          <w:b/>
          <w:bCs/>
          <w:sz w:val="22"/>
          <w:lang w:val="en-GB"/>
        </w:rPr>
      </w:pPr>
      <w:r w:rsidRPr="005D70E8">
        <w:rPr>
          <w:rFonts w:asciiTheme="minorHAnsi" w:hAnsiTheme="minorHAnsi" w:cstheme="minorHAnsi"/>
          <w:b/>
          <w:bCs/>
          <w:sz w:val="22"/>
          <w:lang w:val="en-GB"/>
        </w:rPr>
        <w:t>Use of terms</w:t>
      </w:r>
    </w:p>
    <w:p w14:paraId="319739AD" w14:textId="2031C390" w:rsidR="00357CE2" w:rsidRPr="005D70E8" w:rsidRDefault="00F35D00"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Throughout the document we use the term sex work and sex workers as this is the term sex workers themselves prefer.</w:t>
      </w:r>
      <w:r w:rsidR="00926C76" w:rsidRPr="005D70E8">
        <w:rPr>
          <w:rFonts w:asciiTheme="minorHAnsi" w:hAnsiTheme="minorHAnsi" w:cstheme="minorHAnsi"/>
          <w:sz w:val="22"/>
          <w:lang w:val="en-GB"/>
        </w:rPr>
        <w:t xml:space="preserve"> The use of the term ‘prostituted women’ reduces sex workers to passive victims</w:t>
      </w:r>
      <w:r w:rsidR="007B2035" w:rsidRPr="005D70E8">
        <w:rPr>
          <w:rFonts w:asciiTheme="minorHAnsi" w:hAnsiTheme="minorHAnsi" w:cstheme="minorHAnsi"/>
          <w:sz w:val="22"/>
          <w:lang w:val="en-GB"/>
        </w:rPr>
        <w:t xml:space="preserve"> and denies them agency</w:t>
      </w:r>
      <w:r w:rsidR="005A2975" w:rsidRPr="005D70E8">
        <w:rPr>
          <w:rFonts w:asciiTheme="minorHAnsi" w:hAnsiTheme="minorHAnsi" w:cstheme="minorHAnsi"/>
          <w:sz w:val="22"/>
          <w:lang w:val="en-GB"/>
        </w:rPr>
        <w:t xml:space="preserve">. </w:t>
      </w:r>
      <w:r w:rsidR="007B2035" w:rsidRPr="005D70E8">
        <w:rPr>
          <w:rFonts w:asciiTheme="minorHAnsi" w:hAnsiTheme="minorHAnsi" w:cstheme="minorHAnsi"/>
          <w:sz w:val="22"/>
          <w:lang w:val="en-GB"/>
        </w:rPr>
        <w:t xml:space="preserve">We suggest that the SR in her report uses </w:t>
      </w:r>
      <w:r w:rsidR="00357CE2" w:rsidRPr="005D70E8">
        <w:rPr>
          <w:rFonts w:asciiTheme="minorHAnsi" w:hAnsiTheme="minorHAnsi" w:cstheme="minorHAnsi"/>
          <w:sz w:val="22"/>
          <w:lang w:val="en-GB"/>
        </w:rPr>
        <w:t xml:space="preserve">language that acknowledges women as rights-bearers and avoids victimising and stereotyping language such as </w:t>
      </w:r>
      <w:r w:rsidR="007B2035" w:rsidRPr="005D70E8">
        <w:rPr>
          <w:rFonts w:asciiTheme="minorHAnsi" w:hAnsiTheme="minorHAnsi" w:cstheme="minorHAnsi"/>
          <w:sz w:val="22"/>
          <w:lang w:val="en-GB"/>
        </w:rPr>
        <w:t xml:space="preserve">‘prostituted </w:t>
      </w:r>
      <w:r w:rsidR="00357CE2" w:rsidRPr="005D70E8">
        <w:rPr>
          <w:rFonts w:asciiTheme="minorHAnsi" w:hAnsiTheme="minorHAnsi" w:cstheme="minorHAnsi"/>
          <w:sz w:val="22"/>
          <w:lang w:val="en-GB"/>
        </w:rPr>
        <w:t>women</w:t>
      </w:r>
      <w:r w:rsidR="007B2035" w:rsidRPr="005D70E8">
        <w:rPr>
          <w:rFonts w:asciiTheme="minorHAnsi" w:hAnsiTheme="minorHAnsi" w:cstheme="minorHAnsi"/>
          <w:sz w:val="22"/>
          <w:lang w:val="en-GB"/>
        </w:rPr>
        <w:t>’</w:t>
      </w:r>
      <w:r w:rsidR="00357CE2" w:rsidRPr="005D70E8">
        <w:rPr>
          <w:rFonts w:asciiTheme="minorHAnsi" w:hAnsiTheme="minorHAnsi" w:cstheme="minorHAnsi"/>
          <w:sz w:val="22"/>
          <w:lang w:val="en-GB"/>
        </w:rPr>
        <w:t xml:space="preserve">. </w:t>
      </w:r>
    </w:p>
    <w:p w14:paraId="21721B8A" w14:textId="485FC0F1" w:rsidR="00357CE2" w:rsidRPr="005D70E8" w:rsidRDefault="00AC0934" w:rsidP="005D70E8">
      <w:pPr>
        <w:spacing w:before="120" w:after="120" w:line="280" w:lineRule="atLeast"/>
        <w:rPr>
          <w:rFonts w:asciiTheme="minorHAnsi" w:hAnsiTheme="minorHAnsi" w:cstheme="minorHAnsi"/>
          <w:b/>
          <w:bCs/>
          <w:sz w:val="22"/>
          <w:lang w:val="en-GB"/>
        </w:rPr>
      </w:pPr>
      <w:r w:rsidRPr="005D70E8">
        <w:rPr>
          <w:rFonts w:asciiTheme="minorHAnsi" w:hAnsiTheme="minorHAnsi" w:cstheme="minorHAnsi"/>
          <w:b/>
          <w:bCs/>
          <w:sz w:val="22"/>
          <w:lang w:val="en-GB"/>
        </w:rPr>
        <w:t>International law</w:t>
      </w:r>
    </w:p>
    <w:p w14:paraId="3EC2E410" w14:textId="4E5402DB" w:rsidR="005A2975" w:rsidRPr="005D70E8" w:rsidRDefault="005A2975"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Contrary to what the SR suggests, t</w:t>
      </w:r>
      <w:r w:rsidR="004B1E95" w:rsidRPr="005D70E8">
        <w:rPr>
          <w:rFonts w:asciiTheme="minorHAnsi" w:hAnsiTheme="minorHAnsi" w:cstheme="minorHAnsi"/>
          <w:sz w:val="22"/>
          <w:lang w:val="en-GB"/>
        </w:rPr>
        <w:t xml:space="preserve">here is no recognition </w:t>
      </w:r>
      <w:r w:rsidR="000233B0" w:rsidRPr="005D70E8">
        <w:rPr>
          <w:rFonts w:asciiTheme="minorHAnsi" w:hAnsiTheme="minorHAnsi" w:cstheme="minorHAnsi"/>
          <w:sz w:val="22"/>
          <w:lang w:val="en-GB"/>
        </w:rPr>
        <w:t>in</w:t>
      </w:r>
      <w:r w:rsidR="004B1E95" w:rsidRPr="005D70E8">
        <w:rPr>
          <w:rFonts w:asciiTheme="minorHAnsi" w:hAnsiTheme="minorHAnsi" w:cstheme="minorHAnsi"/>
          <w:sz w:val="22"/>
          <w:lang w:val="en-GB"/>
        </w:rPr>
        <w:t xml:space="preserve"> international law that sex work is </w:t>
      </w:r>
      <w:r w:rsidR="000233B0" w:rsidRPr="005D70E8">
        <w:rPr>
          <w:rFonts w:asciiTheme="minorHAnsi" w:hAnsiTheme="minorHAnsi" w:cstheme="minorHAnsi"/>
          <w:sz w:val="22"/>
          <w:lang w:val="en-GB"/>
        </w:rPr>
        <w:t>in</w:t>
      </w:r>
      <w:r w:rsidR="004B1E95" w:rsidRPr="005D70E8">
        <w:rPr>
          <w:rFonts w:asciiTheme="minorHAnsi" w:hAnsiTheme="minorHAnsi" w:cstheme="minorHAnsi"/>
          <w:sz w:val="22"/>
          <w:lang w:val="en-GB"/>
        </w:rPr>
        <w:t xml:space="preserve">compatible with human dignity. The SR </w:t>
      </w:r>
      <w:r w:rsidR="000233B0" w:rsidRPr="005D70E8">
        <w:rPr>
          <w:rFonts w:asciiTheme="minorHAnsi" w:hAnsiTheme="minorHAnsi" w:cstheme="minorHAnsi"/>
          <w:sz w:val="22"/>
          <w:lang w:val="en-GB"/>
        </w:rPr>
        <w:t xml:space="preserve">is </w:t>
      </w:r>
      <w:r w:rsidR="004B1E95" w:rsidRPr="005D70E8">
        <w:rPr>
          <w:rFonts w:asciiTheme="minorHAnsi" w:hAnsiTheme="minorHAnsi" w:cstheme="minorHAnsi"/>
          <w:sz w:val="22"/>
          <w:lang w:val="en-GB"/>
        </w:rPr>
        <w:t>refer</w:t>
      </w:r>
      <w:r w:rsidR="000233B0" w:rsidRPr="005D70E8">
        <w:rPr>
          <w:rFonts w:asciiTheme="minorHAnsi" w:hAnsiTheme="minorHAnsi" w:cstheme="minorHAnsi"/>
          <w:sz w:val="22"/>
          <w:lang w:val="en-GB"/>
        </w:rPr>
        <w:t>ring</w:t>
      </w:r>
      <w:r w:rsidR="004B1E95" w:rsidRPr="005D70E8">
        <w:rPr>
          <w:rFonts w:asciiTheme="minorHAnsi" w:hAnsiTheme="minorHAnsi" w:cstheme="minorHAnsi"/>
          <w:sz w:val="22"/>
          <w:lang w:val="en-GB"/>
        </w:rPr>
        <w:t xml:space="preserve"> to the 1949 Convention </w:t>
      </w:r>
      <w:r w:rsidR="004B1E95" w:rsidRPr="005D70E8">
        <w:rPr>
          <w:rFonts w:asciiTheme="minorHAnsi" w:hAnsiTheme="minorHAnsi" w:cstheme="minorHAnsi"/>
          <w:sz w:val="22"/>
          <w:lang w:val="en-GB" w:eastAsia="nl-NL"/>
        </w:rPr>
        <w:t>for the Suppression of the Traffic in Persons and of the Exploitation of the Prostitution of Others</w:t>
      </w:r>
      <w:r w:rsidRPr="005D70E8">
        <w:rPr>
          <w:rFonts w:asciiTheme="minorHAnsi" w:hAnsiTheme="minorHAnsi" w:cstheme="minorHAnsi"/>
          <w:sz w:val="22"/>
          <w:lang w:val="en-GB" w:eastAsia="nl-NL"/>
        </w:rPr>
        <w:t xml:space="preserve">. This </w:t>
      </w:r>
      <w:r w:rsidRPr="005D70E8">
        <w:rPr>
          <w:rFonts w:asciiTheme="minorHAnsi" w:hAnsiTheme="minorHAnsi" w:cstheme="minorHAnsi"/>
          <w:sz w:val="22"/>
          <w:lang w:val="en-GB" w:eastAsia="nl-NL"/>
        </w:rPr>
        <w:t xml:space="preserve">75-years-old </w:t>
      </w:r>
      <w:r w:rsidRPr="005D70E8">
        <w:rPr>
          <w:rFonts w:asciiTheme="minorHAnsi" w:hAnsiTheme="minorHAnsi" w:cstheme="minorHAnsi"/>
          <w:sz w:val="22"/>
          <w:lang w:val="en-GB" w:eastAsia="nl-NL"/>
        </w:rPr>
        <w:t xml:space="preserve">Convention makes no distinction between trafficking and sex work and considers any distinction based on the consent or will of the woman concerned to be irrelevant </w:t>
      </w:r>
      <w:r w:rsidR="00C65791" w:rsidRPr="005D70E8">
        <w:rPr>
          <w:rFonts w:asciiTheme="minorHAnsi" w:hAnsiTheme="minorHAnsi" w:cstheme="minorHAnsi"/>
          <w:sz w:val="22"/>
          <w:lang w:val="en-GB" w:eastAsia="nl-NL"/>
        </w:rPr>
        <w:t>–</w:t>
      </w:r>
      <w:r w:rsidRPr="005D70E8">
        <w:rPr>
          <w:rFonts w:asciiTheme="minorHAnsi" w:hAnsiTheme="minorHAnsi" w:cstheme="minorHAnsi"/>
          <w:sz w:val="22"/>
          <w:lang w:val="en-GB" w:eastAsia="nl-NL"/>
        </w:rPr>
        <w:t xml:space="preserve"> </w:t>
      </w:r>
      <w:r w:rsidR="00C65791" w:rsidRPr="005D70E8">
        <w:rPr>
          <w:rFonts w:asciiTheme="minorHAnsi" w:hAnsiTheme="minorHAnsi" w:cstheme="minorHAnsi"/>
          <w:sz w:val="22"/>
          <w:lang w:val="en-GB" w:eastAsia="nl-NL"/>
        </w:rPr>
        <w:t xml:space="preserve"> </w:t>
      </w:r>
      <w:r w:rsidRPr="005D70E8">
        <w:rPr>
          <w:rFonts w:asciiTheme="minorHAnsi" w:hAnsiTheme="minorHAnsi" w:cstheme="minorHAnsi"/>
          <w:sz w:val="22"/>
          <w:lang w:val="en-GB" w:eastAsia="nl-NL"/>
        </w:rPr>
        <w:t>a</w:t>
      </w:r>
      <w:r w:rsidR="00C65791" w:rsidRPr="005D70E8">
        <w:rPr>
          <w:rFonts w:asciiTheme="minorHAnsi" w:hAnsiTheme="minorHAnsi" w:cstheme="minorHAnsi"/>
          <w:sz w:val="22"/>
          <w:lang w:val="en-GB" w:eastAsia="nl-NL"/>
        </w:rPr>
        <w:t xml:space="preserve"> view of women that is </w:t>
      </w:r>
      <w:r w:rsidRPr="005D70E8">
        <w:rPr>
          <w:rFonts w:asciiTheme="minorHAnsi" w:hAnsiTheme="minorHAnsi" w:cstheme="minorHAnsi"/>
          <w:sz w:val="22"/>
          <w:lang w:val="en-GB" w:eastAsia="nl-NL"/>
        </w:rPr>
        <w:t>unacceptable today - and has only been ratified by a limited number of states.</w:t>
      </w:r>
    </w:p>
    <w:p w14:paraId="1F72A8EF" w14:textId="66460022" w:rsidR="009C6182" w:rsidRPr="005D70E8" w:rsidRDefault="004B1E95"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The UN Trafficking Protocol</w:t>
      </w:r>
      <w:r w:rsidR="001836FF" w:rsidRPr="005D70E8">
        <w:rPr>
          <w:rFonts w:asciiTheme="minorHAnsi" w:hAnsiTheme="minorHAnsi" w:cstheme="minorHAnsi"/>
          <w:sz w:val="22"/>
          <w:lang w:val="en-GB"/>
        </w:rPr>
        <w:t xml:space="preserve">, on the </w:t>
      </w:r>
      <w:r w:rsidR="000233B0" w:rsidRPr="005D70E8">
        <w:rPr>
          <w:rFonts w:asciiTheme="minorHAnsi" w:hAnsiTheme="minorHAnsi" w:cstheme="minorHAnsi"/>
          <w:sz w:val="22"/>
          <w:lang w:val="en-GB"/>
        </w:rPr>
        <w:t>other hand</w:t>
      </w:r>
      <w:r w:rsidR="001836FF" w:rsidRPr="005D70E8">
        <w:rPr>
          <w:rFonts w:asciiTheme="minorHAnsi" w:hAnsiTheme="minorHAnsi" w:cstheme="minorHAnsi"/>
          <w:sz w:val="22"/>
          <w:lang w:val="en-GB"/>
        </w:rPr>
        <w:t>,</w:t>
      </w:r>
      <w:r w:rsidRPr="005D70E8">
        <w:rPr>
          <w:rFonts w:asciiTheme="minorHAnsi" w:hAnsiTheme="minorHAnsi" w:cstheme="minorHAnsi"/>
          <w:sz w:val="22"/>
          <w:lang w:val="en-GB"/>
        </w:rPr>
        <w:t xml:space="preserve"> makes a clear distinction between human trafficking </w:t>
      </w:r>
      <w:r w:rsidR="005B09F9" w:rsidRPr="005D70E8">
        <w:rPr>
          <w:rFonts w:asciiTheme="minorHAnsi" w:hAnsiTheme="minorHAnsi" w:cstheme="minorHAnsi"/>
          <w:sz w:val="22"/>
          <w:lang w:val="en-GB"/>
        </w:rPr>
        <w:t xml:space="preserve">and </w:t>
      </w:r>
      <w:r w:rsidR="000233B0" w:rsidRPr="005D70E8">
        <w:rPr>
          <w:rFonts w:asciiTheme="minorHAnsi" w:hAnsiTheme="minorHAnsi" w:cstheme="minorHAnsi"/>
          <w:sz w:val="22"/>
          <w:lang w:val="en-GB"/>
        </w:rPr>
        <w:t xml:space="preserve">sex work, taking </w:t>
      </w:r>
      <w:r w:rsidR="000233B0" w:rsidRPr="005D70E8">
        <w:rPr>
          <w:rFonts w:asciiTheme="minorHAnsi" w:hAnsiTheme="minorHAnsi" w:cstheme="minorHAnsi"/>
          <w:sz w:val="22"/>
          <w:lang w:val="en-GB"/>
        </w:rPr>
        <w:t>the use of coercion, abuse and deceit</w:t>
      </w:r>
      <w:r w:rsidR="000233B0" w:rsidRPr="005D70E8">
        <w:rPr>
          <w:rFonts w:asciiTheme="minorHAnsi" w:hAnsiTheme="minorHAnsi" w:cstheme="minorHAnsi"/>
          <w:sz w:val="22"/>
          <w:lang w:val="en-GB"/>
        </w:rPr>
        <w:t xml:space="preserve"> as</w:t>
      </w:r>
      <w:r w:rsidR="009C6182" w:rsidRPr="005D70E8">
        <w:rPr>
          <w:rFonts w:asciiTheme="minorHAnsi" w:hAnsiTheme="minorHAnsi" w:cstheme="minorHAnsi"/>
          <w:sz w:val="22"/>
          <w:lang w:val="en-GB"/>
        </w:rPr>
        <w:t xml:space="preserve"> </w:t>
      </w:r>
      <w:r w:rsidR="000233B0" w:rsidRPr="005D70E8">
        <w:rPr>
          <w:rFonts w:asciiTheme="minorHAnsi" w:hAnsiTheme="minorHAnsi" w:cstheme="minorHAnsi"/>
          <w:sz w:val="22"/>
          <w:lang w:val="en-GB"/>
        </w:rPr>
        <w:t>the defining element of trafficking</w:t>
      </w:r>
      <w:r w:rsidR="00C65791" w:rsidRPr="005D70E8">
        <w:rPr>
          <w:rFonts w:asciiTheme="minorHAnsi" w:hAnsiTheme="minorHAnsi" w:cstheme="minorHAnsi"/>
          <w:sz w:val="22"/>
          <w:lang w:val="en-GB"/>
        </w:rPr>
        <w:t>.</w:t>
      </w:r>
      <w:r w:rsidR="000233B0" w:rsidRPr="005D70E8">
        <w:rPr>
          <w:rFonts w:asciiTheme="minorHAnsi" w:hAnsiTheme="minorHAnsi" w:cstheme="minorHAnsi"/>
          <w:sz w:val="22"/>
          <w:lang w:val="en-GB"/>
        </w:rPr>
        <w:t xml:space="preserve"> </w:t>
      </w:r>
      <w:r w:rsidR="009C6182" w:rsidRPr="005D70E8">
        <w:rPr>
          <w:rFonts w:asciiTheme="minorHAnsi" w:hAnsiTheme="minorHAnsi" w:cstheme="minorHAnsi"/>
          <w:sz w:val="22"/>
          <w:lang w:val="en-GB"/>
        </w:rPr>
        <w:t xml:space="preserve">Although it mentions the </w:t>
      </w:r>
      <w:r w:rsidR="009C6182" w:rsidRPr="005D70E8">
        <w:rPr>
          <w:rFonts w:asciiTheme="minorHAnsi" w:hAnsiTheme="minorHAnsi" w:cstheme="minorHAnsi"/>
          <w:sz w:val="22"/>
          <w:lang w:val="en-GB"/>
        </w:rPr>
        <w:t>‘</w:t>
      </w:r>
      <w:r w:rsidR="009C6182" w:rsidRPr="005D70E8">
        <w:rPr>
          <w:rFonts w:asciiTheme="minorHAnsi" w:hAnsiTheme="minorHAnsi" w:cstheme="minorHAnsi"/>
          <w:sz w:val="22"/>
          <w:lang w:val="en-GB"/>
        </w:rPr>
        <w:t>exploitation of the</w:t>
      </w:r>
      <w:r w:rsidR="009C6182" w:rsidRPr="005D70E8">
        <w:rPr>
          <w:rFonts w:asciiTheme="minorHAnsi" w:hAnsiTheme="minorHAnsi" w:cstheme="minorHAnsi"/>
          <w:sz w:val="22"/>
          <w:lang w:val="en-GB"/>
        </w:rPr>
        <w:t xml:space="preserve"> </w:t>
      </w:r>
      <w:r w:rsidR="009C6182" w:rsidRPr="005D70E8">
        <w:rPr>
          <w:rFonts w:asciiTheme="minorHAnsi" w:hAnsiTheme="minorHAnsi" w:cstheme="minorHAnsi"/>
          <w:sz w:val="22"/>
          <w:lang w:val="en-GB"/>
        </w:rPr>
        <w:t>prostitution of others and other forms of sexual exploitation</w:t>
      </w:r>
      <w:r w:rsidR="009C6182" w:rsidRPr="005D70E8">
        <w:rPr>
          <w:rFonts w:asciiTheme="minorHAnsi" w:hAnsiTheme="minorHAnsi" w:cstheme="minorHAnsi"/>
          <w:sz w:val="22"/>
          <w:lang w:val="en-GB"/>
        </w:rPr>
        <w:t>’</w:t>
      </w:r>
      <w:r w:rsidR="009C6182" w:rsidRPr="005D70E8">
        <w:rPr>
          <w:rFonts w:asciiTheme="minorHAnsi" w:hAnsiTheme="minorHAnsi" w:cstheme="minorHAnsi"/>
          <w:sz w:val="22"/>
          <w:lang w:val="en-GB"/>
        </w:rPr>
        <w:t xml:space="preserve"> as one </w:t>
      </w:r>
      <w:r w:rsidR="00C65791" w:rsidRPr="005D70E8">
        <w:rPr>
          <w:rFonts w:asciiTheme="minorHAnsi" w:hAnsiTheme="minorHAnsi" w:cstheme="minorHAnsi"/>
          <w:sz w:val="22"/>
          <w:lang w:val="en-GB"/>
        </w:rPr>
        <w:t>of</w:t>
      </w:r>
      <w:r w:rsidR="009C6182" w:rsidRPr="005D70E8">
        <w:rPr>
          <w:rFonts w:asciiTheme="minorHAnsi" w:hAnsiTheme="minorHAnsi" w:cstheme="minorHAnsi"/>
          <w:sz w:val="22"/>
          <w:lang w:val="en-GB"/>
        </w:rPr>
        <w:t xml:space="preserve"> </w:t>
      </w:r>
      <w:r w:rsidR="00C65791" w:rsidRPr="005D70E8">
        <w:rPr>
          <w:rFonts w:asciiTheme="minorHAnsi" w:hAnsiTheme="minorHAnsi" w:cstheme="minorHAnsi"/>
          <w:sz w:val="22"/>
          <w:lang w:val="en-GB"/>
        </w:rPr>
        <w:t>the purposes of trafficking</w:t>
      </w:r>
      <w:r w:rsidR="009C6182" w:rsidRPr="005D70E8">
        <w:rPr>
          <w:rFonts w:asciiTheme="minorHAnsi" w:hAnsiTheme="minorHAnsi" w:cstheme="minorHAnsi"/>
          <w:sz w:val="22"/>
          <w:lang w:val="en-GB"/>
        </w:rPr>
        <w:t xml:space="preserve">, </w:t>
      </w:r>
      <w:r w:rsidR="009C6182" w:rsidRPr="005D70E8">
        <w:rPr>
          <w:rFonts w:asciiTheme="minorHAnsi" w:hAnsiTheme="minorHAnsi" w:cstheme="minorHAnsi"/>
          <w:sz w:val="22"/>
          <w:lang w:val="en-GB"/>
        </w:rPr>
        <w:t xml:space="preserve">it </w:t>
      </w:r>
      <w:r w:rsidR="009C6182" w:rsidRPr="005D70E8">
        <w:rPr>
          <w:rFonts w:asciiTheme="minorHAnsi" w:hAnsiTheme="minorHAnsi" w:cstheme="minorHAnsi"/>
          <w:sz w:val="22"/>
          <w:lang w:val="en-GB"/>
        </w:rPr>
        <w:t xml:space="preserve">must be combined with </w:t>
      </w:r>
      <w:r w:rsidR="00C65791" w:rsidRPr="005D70E8">
        <w:rPr>
          <w:rFonts w:asciiTheme="minorHAnsi" w:hAnsiTheme="minorHAnsi" w:cstheme="minorHAnsi"/>
          <w:sz w:val="22"/>
          <w:lang w:val="en-GB"/>
        </w:rPr>
        <w:t xml:space="preserve">the use of </w:t>
      </w:r>
      <w:r w:rsidR="009C6182" w:rsidRPr="005D70E8">
        <w:rPr>
          <w:rFonts w:asciiTheme="minorHAnsi" w:hAnsiTheme="minorHAnsi" w:cstheme="minorHAnsi"/>
          <w:sz w:val="22"/>
          <w:lang w:val="en-GB"/>
        </w:rPr>
        <w:t>one of the deceptive</w:t>
      </w:r>
      <w:r w:rsidR="009C6182" w:rsidRPr="005D70E8">
        <w:rPr>
          <w:rFonts w:asciiTheme="minorHAnsi" w:hAnsiTheme="minorHAnsi" w:cstheme="minorHAnsi"/>
          <w:sz w:val="22"/>
          <w:lang w:val="en-GB"/>
        </w:rPr>
        <w:t xml:space="preserve"> </w:t>
      </w:r>
      <w:r w:rsidR="009C6182" w:rsidRPr="005D70E8">
        <w:rPr>
          <w:rFonts w:asciiTheme="minorHAnsi" w:hAnsiTheme="minorHAnsi" w:cstheme="minorHAnsi"/>
          <w:sz w:val="22"/>
          <w:lang w:val="en-GB"/>
        </w:rPr>
        <w:t xml:space="preserve">or coercive means listed in the definition </w:t>
      </w:r>
      <w:r w:rsidR="000233B0" w:rsidRPr="005D70E8">
        <w:rPr>
          <w:rFonts w:asciiTheme="minorHAnsi" w:hAnsiTheme="minorHAnsi" w:cstheme="minorHAnsi"/>
          <w:sz w:val="22"/>
          <w:lang w:val="en-GB"/>
        </w:rPr>
        <w:t xml:space="preserve">in order </w:t>
      </w:r>
      <w:r w:rsidR="009C6182" w:rsidRPr="005D70E8">
        <w:rPr>
          <w:rFonts w:asciiTheme="minorHAnsi" w:hAnsiTheme="minorHAnsi" w:cstheme="minorHAnsi"/>
          <w:sz w:val="22"/>
          <w:lang w:val="en-GB"/>
        </w:rPr>
        <w:t xml:space="preserve">to </w:t>
      </w:r>
      <w:r w:rsidR="000233B0" w:rsidRPr="005D70E8">
        <w:rPr>
          <w:rFonts w:asciiTheme="minorHAnsi" w:hAnsiTheme="minorHAnsi" w:cstheme="minorHAnsi"/>
          <w:sz w:val="22"/>
          <w:lang w:val="en-GB"/>
        </w:rPr>
        <w:t xml:space="preserve">be </w:t>
      </w:r>
      <w:r w:rsidR="009C6182" w:rsidRPr="005D70E8">
        <w:rPr>
          <w:rFonts w:asciiTheme="minorHAnsi" w:hAnsiTheme="minorHAnsi" w:cstheme="minorHAnsi"/>
          <w:sz w:val="22"/>
          <w:lang w:val="en-GB"/>
        </w:rPr>
        <w:t>classif</w:t>
      </w:r>
      <w:r w:rsidR="000233B0" w:rsidRPr="005D70E8">
        <w:rPr>
          <w:rFonts w:asciiTheme="minorHAnsi" w:hAnsiTheme="minorHAnsi" w:cstheme="minorHAnsi"/>
          <w:sz w:val="22"/>
          <w:lang w:val="en-GB"/>
        </w:rPr>
        <w:t>ied</w:t>
      </w:r>
      <w:r w:rsidR="009C6182" w:rsidRPr="005D70E8">
        <w:rPr>
          <w:rFonts w:asciiTheme="minorHAnsi" w:hAnsiTheme="minorHAnsi" w:cstheme="minorHAnsi"/>
          <w:sz w:val="22"/>
          <w:lang w:val="en-GB"/>
        </w:rPr>
        <w:t xml:space="preserve"> as trafficking. The terms</w:t>
      </w:r>
      <w:r w:rsidR="009C6182" w:rsidRPr="005D70E8">
        <w:rPr>
          <w:rFonts w:asciiTheme="minorHAnsi" w:hAnsiTheme="minorHAnsi" w:cstheme="minorHAnsi"/>
          <w:sz w:val="22"/>
          <w:lang w:val="en-GB"/>
        </w:rPr>
        <w:t xml:space="preserve"> </w:t>
      </w:r>
      <w:r w:rsidR="009C6182" w:rsidRPr="005D70E8">
        <w:rPr>
          <w:rFonts w:asciiTheme="minorHAnsi" w:hAnsiTheme="minorHAnsi" w:cstheme="minorHAnsi"/>
          <w:sz w:val="22"/>
          <w:lang w:val="en-GB"/>
        </w:rPr>
        <w:t xml:space="preserve">‘exploitation of the prostitution of others’ and ‘sexual exploitation’ </w:t>
      </w:r>
      <w:r w:rsidR="000233B0" w:rsidRPr="005D70E8">
        <w:rPr>
          <w:rFonts w:asciiTheme="minorHAnsi" w:hAnsiTheme="minorHAnsi" w:cstheme="minorHAnsi"/>
          <w:sz w:val="22"/>
          <w:lang w:val="en-GB"/>
        </w:rPr>
        <w:t>have been</w:t>
      </w:r>
      <w:r w:rsidR="009C6182" w:rsidRPr="005D70E8">
        <w:rPr>
          <w:rFonts w:asciiTheme="minorHAnsi" w:hAnsiTheme="minorHAnsi" w:cstheme="minorHAnsi"/>
          <w:sz w:val="22"/>
          <w:lang w:val="en-GB"/>
        </w:rPr>
        <w:t xml:space="preserve"> </w:t>
      </w:r>
      <w:r w:rsidR="000233B0" w:rsidRPr="005D70E8">
        <w:rPr>
          <w:rFonts w:asciiTheme="minorHAnsi" w:hAnsiTheme="minorHAnsi" w:cstheme="minorHAnsi"/>
          <w:sz w:val="22"/>
          <w:lang w:val="en-GB"/>
        </w:rPr>
        <w:t>deliberately</w:t>
      </w:r>
      <w:r w:rsidR="009C6182" w:rsidRPr="005D70E8">
        <w:rPr>
          <w:rFonts w:asciiTheme="minorHAnsi" w:hAnsiTheme="minorHAnsi" w:cstheme="minorHAnsi"/>
          <w:sz w:val="22"/>
          <w:lang w:val="en-GB"/>
        </w:rPr>
        <w:t xml:space="preserve"> left undefined, </w:t>
      </w:r>
      <w:r w:rsidR="000233B0" w:rsidRPr="005D70E8">
        <w:rPr>
          <w:rFonts w:asciiTheme="minorHAnsi" w:hAnsiTheme="minorHAnsi" w:cstheme="minorHAnsi"/>
          <w:sz w:val="22"/>
          <w:lang w:val="en-GB"/>
        </w:rPr>
        <w:t>leaving it to the discretion of individual states to decide how to deal with prostitution in their domestic laws</w:t>
      </w:r>
      <w:r w:rsidR="00C75DC4" w:rsidRPr="005D70E8">
        <w:rPr>
          <w:rFonts w:asciiTheme="minorHAnsi" w:hAnsiTheme="minorHAnsi" w:cstheme="minorHAnsi"/>
          <w:sz w:val="22"/>
          <w:lang w:val="en-GB"/>
        </w:rPr>
        <w:t xml:space="preserve"> (</w:t>
      </w:r>
      <w:r w:rsidR="00C75DC4" w:rsidRPr="005D70E8">
        <w:rPr>
          <w:rFonts w:asciiTheme="minorHAnsi" w:hAnsiTheme="minorHAnsi" w:cstheme="minorHAnsi"/>
          <w:sz w:val="22"/>
          <w:lang w:val="en-GB"/>
        </w:rPr>
        <w:t>Interpretative Notes (A/55/383/Add.1/Addendum)</w:t>
      </w:r>
      <w:r w:rsidR="00C75DC4" w:rsidRPr="005D70E8">
        <w:rPr>
          <w:rFonts w:asciiTheme="minorHAnsi" w:hAnsiTheme="minorHAnsi" w:cstheme="minorHAnsi"/>
          <w:sz w:val="22"/>
          <w:lang w:val="en-GB"/>
        </w:rPr>
        <w:t>.</w:t>
      </w:r>
      <w:r w:rsidR="009C6182" w:rsidRPr="005D70E8">
        <w:rPr>
          <w:rFonts w:asciiTheme="minorHAnsi" w:hAnsiTheme="minorHAnsi" w:cstheme="minorHAnsi"/>
          <w:sz w:val="22"/>
          <w:lang w:val="en-GB"/>
        </w:rPr>
        <w:t xml:space="preserve"> </w:t>
      </w:r>
    </w:p>
    <w:p w14:paraId="5F3488C7" w14:textId="7680FF17" w:rsidR="005E55FD" w:rsidRPr="005D70E8" w:rsidRDefault="005E55FD"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 xml:space="preserve">Contrary to what the SR suggests, art. 3 of the Protocol holds that the consent of the person is only irrelevant if one of the deceptive or coercive means is used. This is legally self-evident as </w:t>
      </w:r>
      <w:r w:rsidR="00C65791" w:rsidRPr="005D70E8">
        <w:rPr>
          <w:rFonts w:asciiTheme="minorHAnsi" w:hAnsiTheme="minorHAnsi" w:cstheme="minorHAnsi"/>
          <w:sz w:val="22"/>
          <w:lang w:val="en-GB"/>
        </w:rPr>
        <w:t xml:space="preserve">the use of coercion or deceit vitiates any consent: </w:t>
      </w:r>
      <w:r w:rsidRPr="005D70E8">
        <w:rPr>
          <w:rFonts w:asciiTheme="minorHAnsi" w:hAnsiTheme="minorHAnsi" w:cstheme="minorHAnsi"/>
          <w:sz w:val="22"/>
          <w:lang w:val="en-GB"/>
        </w:rPr>
        <w:t xml:space="preserve">one cannot consent to consent to coercion or deceit. </w:t>
      </w:r>
    </w:p>
    <w:p w14:paraId="27C149D1" w14:textId="7A3A9947" w:rsidR="00AC0934" w:rsidRPr="005D70E8" w:rsidRDefault="00AC0934" w:rsidP="005D70E8">
      <w:pPr>
        <w:spacing w:before="120" w:after="120" w:line="280" w:lineRule="atLeast"/>
        <w:rPr>
          <w:rFonts w:asciiTheme="minorHAnsi" w:hAnsiTheme="minorHAnsi" w:cstheme="minorHAnsi"/>
          <w:b/>
          <w:bCs/>
          <w:sz w:val="22"/>
          <w:lang w:val="en-GB"/>
        </w:rPr>
      </w:pPr>
      <w:r w:rsidRPr="005D70E8">
        <w:rPr>
          <w:rFonts w:asciiTheme="minorHAnsi" w:hAnsiTheme="minorHAnsi" w:cstheme="minorHAnsi"/>
          <w:b/>
          <w:bCs/>
          <w:sz w:val="22"/>
          <w:lang w:val="en-GB"/>
        </w:rPr>
        <w:t>Background</w:t>
      </w:r>
    </w:p>
    <w:p w14:paraId="21C3FEAA" w14:textId="3B460EA8" w:rsidR="00AC0934" w:rsidRPr="005D70E8" w:rsidRDefault="00AC0934" w:rsidP="005D70E8">
      <w:pPr>
        <w:pStyle w:val="Body"/>
        <w:widowControl w:val="0"/>
        <w:spacing w:before="120" w:after="120" w:line="280" w:lineRule="atLeast"/>
        <w:jc w:val="both"/>
        <w:rPr>
          <w:rFonts w:asciiTheme="minorHAnsi" w:hAnsiTheme="minorHAnsi" w:cstheme="minorHAnsi"/>
          <w:position w:val="8"/>
          <w:sz w:val="22"/>
          <w:szCs w:val="22"/>
        </w:rPr>
      </w:pPr>
      <w:r w:rsidRPr="005D70E8">
        <w:rPr>
          <w:rFonts w:asciiTheme="minorHAnsi" w:hAnsiTheme="minorHAnsi" w:cstheme="minorHAnsi"/>
          <w:sz w:val="22"/>
          <w:szCs w:val="22"/>
        </w:rPr>
        <w:t>In the questions w</w:t>
      </w:r>
      <w:r w:rsidRPr="005D70E8">
        <w:rPr>
          <w:rFonts w:asciiTheme="minorHAnsi" w:hAnsiTheme="minorHAnsi" w:cstheme="minorHAnsi"/>
          <w:sz w:val="22"/>
          <w:szCs w:val="22"/>
        </w:rPr>
        <w:t xml:space="preserve">e miss a reference to the precarious status of women’s work, in particular a gendered labour market, the lack of recognition of women’s work, including in the care, domestic, entertainment and sex sector, and the ensuing lack of labour rights and -protections and the lack of legal labour migration opportunities. </w:t>
      </w:r>
    </w:p>
    <w:p w14:paraId="10F7D3BB" w14:textId="01B629CB" w:rsidR="005E55FD" w:rsidRPr="005D70E8" w:rsidRDefault="00926C76" w:rsidP="005D70E8">
      <w:pPr>
        <w:spacing w:before="120" w:after="120" w:line="280" w:lineRule="atLeast"/>
        <w:rPr>
          <w:rFonts w:asciiTheme="minorHAnsi" w:eastAsia="Times New Roman" w:hAnsiTheme="minorHAnsi" w:cstheme="minorHAnsi"/>
          <w:b/>
          <w:bCs/>
          <w:sz w:val="22"/>
          <w:lang w:val="en-GB" w:eastAsia="nl-NL"/>
        </w:rPr>
      </w:pPr>
      <w:r w:rsidRPr="005D70E8">
        <w:rPr>
          <w:rFonts w:asciiTheme="minorHAnsi" w:eastAsia="Times New Roman" w:hAnsiTheme="minorHAnsi" w:cstheme="minorHAnsi"/>
          <w:b/>
          <w:bCs/>
          <w:sz w:val="22"/>
          <w:lang w:val="en-GB" w:eastAsia="nl-NL"/>
        </w:rPr>
        <w:t xml:space="preserve">Question 2. </w:t>
      </w:r>
      <w:r w:rsidR="005E55FD" w:rsidRPr="005D70E8">
        <w:rPr>
          <w:rFonts w:asciiTheme="minorHAnsi" w:eastAsia="Times New Roman" w:hAnsiTheme="minorHAnsi" w:cstheme="minorHAnsi"/>
          <w:b/>
          <w:bCs/>
          <w:sz w:val="22"/>
          <w:lang w:val="en-GB" w:eastAsia="nl-NL"/>
        </w:rPr>
        <w:t>D</w:t>
      </w:r>
      <w:r w:rsidR="005E55FD" w:rsidRPr="005D70E8">
        <w:rPr>
          <w:rFonts w:asciiTheme="minorHAnsi" w:eastAsia="Times New Roman" w:hAnsiTheme="minorHAnsi" w:cstheme="minorHAnsi"/>
          <w:b/>
          <w:bCs/>
          <w:sz w:val="22"/>
          <w:lang w:val="en-GB" w:eastAsia="nl-NL"/>
        </w:rPr>
        <w:t>escribe the profile of women and girls affected by prostitution in your country, and provide disaggregated data, where possible. </w:t>
      </w:r>
    </w:p>
    <w:p w14:paraId="3A7FC66F" w14:textId="3D1C8D30" w:rsidR="005F1BE8" w:rsidRPr="005D70E8" w:rsidRDefault="005F1BE8"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There is no universal profile of sex workers. Sex workers are not a uniform group, but have different backgrounds, motivations, genders, classes, ethnicities and nationalities. Working conditions and income also vary widely.</w:t>
      </w:r>
    </w:p>
    <w:p w14:paraId="75BECA2C" w14:textId="20821C2E" w:rsidR="005E55FD" w:rsidRPr="005D70E8" w:rsidRDefault="00926C76" w:rsidP="005D70E8">
      <w:pPr>
        <w:spacing w:before="120" w:after="120" w:line="280" w:lineRule="atLeast"/>
        <w:rPr>
          <w:rFonts w:asciiTheme="minorHAnsi" w:eastAsia="Times New Roman" w:hAnsiTheme="minorHAnsi" w:cstheme="minorHAnsi"/>
          <w:b/>
          <w:bCs/>
          <w:sz w:val="22"/>
          <w:lang w:val="en-GB" w:eastAsia="nl-NL"/>
        </w:rPr>
      </w:pPr>
      <w:r w:rsidRPr="005D70E8">
        <w:rPr>
          <w:rFonts w:asciiTheme="minorHAnsi" w:eastAsia="Times New Roman" w:hAnsiTheme="minorHAnsi" w:cstheme="minorHAnsi"/>
          <w:b/>
          <w:bCs/>
          <w:sz w:val="22"/>
          <w:lang w:val="en-GB" w:eastAsia="nl-NL"/>
        </w:rPr>
        <w:lastRenderedPageBreak/>
        <w:t xml:space="preserve">Question 4. </w:t>
      </w:r>
      <w:r w:rsidR="005E55FD" w:rsidRPr="005D70E8">
        <w:rPr>
          <w:rFonts w:asciiTheme="minorHAnsi" w:eastAsia="Times New Roman" w:hAnsiTheme="minorHAnsi" w:cstheme="minorHAnsi"/>
          <w:b/>
          <w:bCs/>
          <w:sz w:val="22"/>
          <w:lang w:val="en-GB" w:eastAsia="nl-NL"/>
        </w:rPr>
        <w:t>What forms of violence are prostituted women and girls subjected to (physical, psychological, sexual, economic, administrative, or other)?</w:t>
      </w:r>
    </w:p>
    <w:p w14:paraId="1FF62125" w14:textId="587D12BB" w:rsidR="005E55FD" w:rsidRPr="005D70E8" w:rsidRDefault="00DD6C71" w:rsidP="005D70E8">
      <w:pPr>
        <w:autoSpaceDE w:val="0"/>
        <w:autoSpaceDN w:val="0"/>
        <w:adjustRightInd w:val="0"/>
        <w:spacing w:before="120" w:after="120" w:line="280" w:lineRule="atLeast"/>
        <w:rPr>
          <w:rFonts w:asciiTheme="minorHAnsi" w:eastAsia="Times New Roman" w:hAnsiTheme="minorHAnsi" w:cstheme="minorHAnsi"/>
          <w:sz w:val="22"/>
          <w:lang w:val="en-GB" w:eastAsia="nl-NL"/>
        </w:rPr>
      </w:pPr>
      <w:r w:rsidRPr="005D70E8">
        <w:rPr>
          <w:rFonts w:asciiTheme="minorHAnsi" w:hAnsiTheme="minorHAnsi" w:cstheme="minorHAnsi"/>
          <w:sz w:val="22"/>
          <w:lang w:val="en-GB"/>
        </w:rPr>
        <w:t xml:space="preserve">Research by SoaAids and Proud showed that stigma, discrimination and lack of rights </w:t>
      </w:r>
      <w:r w:rsidR="00926C76" w:rsidRPr="005D70E8">
        <w:rPr>
          <w:rFonts w:asciiTheme="minorHAnsi" w:eastAsia="Times New Roman" w:hAnsiTheme="minorHAnsi" w:cstheme="minorHAnsi"/>
          <w:sz w:val="22"/>
          <w:lang w:val="en-GB" w:eastAsia="nl-NL"/>
        </w:rPr>
        <w:t xml:space="preserve">result in </w:t>
      </w:r>
      <w:r w:rsidR="00926C76" w:rsidRPr="005D70E8">
        <w:rPr>
          <w:rFonts w:asciiTheme="minorHAnsi" w:eastAsia="Times New Roman" w:hAnsiTheme="minorHAnsi" w:cstheme="minorHAnsi"/>
          <w:sz w:val="22"/>
          <w:lang w:val="en-GB" w:eastAsia="nl-NL"/>
        </w:rPr>
        <w:t>sex workers</w:t>
      </w:r>
      <w:r w:rsidR="00926C76" w:rsidRPr="005D70E8">
        <w:rPr>
          <w:rFonts w:asciiTheme="minorHAnsi" w:eastAsia="Times New Roman" w:hAnsiTheme="minorHAnsi" w:cstheme="minorHAnsi"/>
          <w:sz w:val="22"/>
          <w:lang w:val="en-GB" w:eastAsia="nl-NL"/>
        </w:rPr>
        <w:t xml:space="preserve"> being disproportionately affected </w:t>
      </w:r>
      <w:r w:rsidR="005D70E8">
        <w:rPr>
          <w:rFonts w:asciiTheme="minorHAnsi" w:eastAsia="Times New Roman" w:hAnsiTheme="minorHAnsi" w:cstheme="minorHAnsi"/>
          <w:sz w:val="22"/>
          <w:lang w:val="en-GB" w:eastAsia="nl-NL"/>
        </w:rPr>
        <w:t xml:space="preserve">by various forms of </w:t>
      </w:r>
      <w:r w:rsidR="00926C76" w:rsidRPr="005D70E8">
        <w:rPr>
          <w:rFonts w:asciiTheme="minorHAnsi" w:eastAsia="Times New Roman" w:hAnsiTheme="minorHAnsi" w:cstheme="minorHAnsi"/>
          <w:sz w:val="22"/>
          <w:lang w:val="en-GB" w:eastAsia="nl-NL"/>
        </w:rPr>
        <w:t>violence.</w:t>
      </w:r>
      <w:r w:rsidR="00806751" w:rsidRPr="005D70E8">
        <w:rPr>
          <w:rFonts w:asciiTheme="minorHAnsi" w:eastAsia="Times New Roman" w:hAnsiTheme="minorHAnsi" w:cstheme="minorHAnsi"/>
          <w:sz w:val="22"/>
          <w:lang w:val="en-GB" w:eastAsia="nl-NL"/>
        </w:rPr>
        <w:t xml:space="preserve"> </w:t>
      </w:r>
      <w:r w:rsidR="00806751" w:rsidRPr="005D70E8">
        <w:rPr>
          <w:rFonts w:asciiTheme="minorHAnsi" w:hAnsiTheme="minorHAnsi" w:cstheme="minorHAnsi"/>
          <w:color w:val="3D3C3B"/>
          <w:sz w:val="22"/>
          <w:lang w:val="en-GB"/>
          <w14:ligatures w14:val="standardContextual"/>
        </w:rPr>
        <w:t>Physical violence varies from having one’s hair</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pulled to severe abuse. Sexual</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violence goes frequently hand in hand with</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physical violence. Sexual intimidation is</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particularly common. Almost three out of four sex</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 xml:space="preserve">workers experienced </w:t>
      </w:r>
      <w:r w:rsidR="005D70E8">
        <w:rPr>
          <w:rFonts w:asciiTheme="minorHAnsi" w:hAnsiTheme="minorHAnsi" w:cstheme="minorHAnsi"/>
          <w:color w:val="3D3C3B"/>
          <w:sz w:val="22"/>
          <w:lang w:val="en-GB"/>
          <w14:ligatures w14:val="standardContextual"/>
        </w:rPr>
        <w:t>this</w:t>
      </w:r>
      <w:r w:rsidR="00806751" w:rsidRPr="005D70E8">
        <w:rPr>
          <w:rFonts w:asciiTheme="minorHAnsi" w:hAnsiTheme="minorHAnsi" w:cstheme="minorHAnsi"/>
          <w:color w:val="3D3C3B"/>
          <w:sz w:val="22"/>
          <w:lang w:val="en-GB"/>
          <w14:ligatures w14:val="standardContextual"/>
        </w:rPr>
        <w:t xml:space="preserve"> over the last year. More</w:t>
      </w:r>
      <w:r w:rsid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than half of them experienced financial-economic</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 xml:space="preserve">violence. For example, clients </w:t>
      </w:r>
      <w:r w:rsidR="00806751" w:rsidRPr="005D70E8">
        <w:rPr>
          <w:rFonts w:asciiTheme="minorHAnsi" w:hAnsiTheme="minorHAnsi" w:cstheme="minorHAnsi"/>
          <w:color w:val="3D3C3B"/>
          <w:sz w:val="22"/>
          <w:lang w:val="en-GB"/>
          <w14:ligatures w14:val="standardContextual"/>
        </w:rPr>
        <w:t xml:space="preserve">who </w:t>
      </w:r>
      <w:r w:rsidR="00806751" w:rsidRPr="005D70E8">
        <w:rPr>
          <w:rFonts w:asciiTheme="minorHAnsi" w:hAnsiTheme="minorHAnsi" w:cstheme="minorHAnsi"/>
          <w:color w:val="3D3C3B"/>
          <w:sz w:val="22"/>
          <w:lang w:val="en-GB"/>
          <w14:ligatures w14:val="standardContextual"/>
        </w:rPr>
        <w:t>refuse to pay or steal money. A quarter of</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the sex workers experienced financial and/or</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economic exclusion. They were, for example,</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refused by a bank or insurance company due to</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their work. The form of violence sex workers most</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frequently experienced was social-emotional</w:t>
      </w:r>
      <w:r w:rsidR="00806751" w:rsidRPr="005D70E8">
        <w:rPr>
          <w:rFonts w:asciiTheme="minorHAnsi" w:hAnsiTheme="minorHAnsi" w:cstheme="minorHAnsi"/>
          <w:color w:val="3D3C3B"/>
          <w:sz w:val="22"/>
          <w:lang w:val="en-GB"/>
          <w14:ligatures w14:val="standardContextual"/>
        </w:rPr>
        <w:t xml:space="preserve"> violence. </w:t>
      </w:r>
      <w:r w:rsidR="00806751" w:rsidRPr="005D70E8">
        <w:rPr>
          <w:rFonts w:asciiTheme="minorHAnsi" w:hAnsiTheme="minorHAnsi" w:cstheme="minorHAnsi"/>
          <w:color w:val="3D3C3B"/>
          <w:sz w:val="22"/>
          <w:lang w:val="en-GB"/>
          <w14:ligatures w14:val="standardContextual"/>
        </w:rPr>
        <w:t>Sex workers frequently deal with</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intrusive and unwanted questions, harassment and</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humiliation as well as violations of their privacy</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and stalking.</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The largest category of perpetrators of violence</w:t>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against sex workers are clients</w:t>
      </w:r>
      <w:r w:rsidR="00806751" w:rsidRPr="005D70E8">
        <w:rPr>
          <w:rFonts w:asciiTheme="minorHAnsi" w:hAnsiTheme="minorHAnsi" w:cstheme="minorHAnsi"/>
          <w:color w:val="3D3C3B"/>
          <w:sz w:val="22"/>
          <w:lang w:val="en-GB"/>
          <w14:ligatures w14:val="standardContextual"/>
        </w:rPr>
        <w:t>, but also friends or acquai</w:t>
      </w:r>
      <w:r w:rsidR="005D70E8" w:rsidRPr="005D70E8">
        <w:rPr>
          <w:rFonts w:asciiTheme="minorHAnsi" w:hAnsiTheme="minorHAnsi" w:cstheme="minorHAnsi"/>
          <w:color w:val="3D3C3B"/>
          <w:sz w:val="22"/>
          <w:lang w:val="en-GB"/>
          <w14:ligatures w14:val="standardContextual"/>
        </w:rPr>
        <w:t>n</w:t>
      </w:r>
      <w:r w:rsidR="00806751" w:rsidRPr="005D70E8">
        <w:rPr>
          <w:rFonts w:asciiTheme="minorHAnsi" w:hAnsiTheme="minorHAnsi" w:cstheme="minorHAnsi"/>
          <w:color w:val="3D3C3B"/>
          <w:sz w:val="22"/>
          <w:lang w:val="en-GB"/>
          <w14:ligatures w14:val="standardContextual"/>
        </w:rPr>
        <w:t>tances,</w:t>
      </w:r>
      <w:r w:rsidR="005D70E8" w:rsidRPr="005D70E8">
        <w:rPr>
          <w:rFonts w:asciiTheme="minorHAnsi" w:hAnsiTheme="minorHAnsi" w:cstheme="minorHAnsi"/>
          <w:color w:val="3D3C3B"/>
          <w:sz w:val="22"/>
          <w:lang w:val="en-GB"/>
          <w14:ligatures w14:val="standardContextual"/>
        </w:rPr>
        <w:t xml:space="preserve"> intimate partners, employers, operators or authorities like the police are mentioned, </w:t>
      </w:r>
      <w:proofErr w:type="spellStart"/>
      <w:r w:rsidR="005D70E8" w:rsidRPr="005D70E8">
        <w:rPr>
          <w:rFonts w:asciiTheme="minorHAnsi" w:hAnsiTheme="minorHAnsi" w:cstheme="minorHAnsi"/>
          <w:color w:val="3D3C3B"/>
          <w:sz w:val="22"/>
          <w:lang w:val="en-GB"/>
          <w14:ligatures w14:val="standardContextual"/>
        </w:rPr>
        <w:t>e.g</w:t>
      </w:r>
      <w:proofErr w:type="spellEnd"/>
      <w:r w:rsidR="005D70E8" w:rsidRPr="005D70E8">
        <w:rPr>
          <w:rFonts w:asciiTheme="minorHAnsi" w:hAnsiTheme="minorHAnsi" w:cstheme="minorHAnsi"/>
          <w:color w:val="3D3C3B"/>
          <w:sz w:val="22"/>
          <w:lang w:val="en-GB"/>
          <w14:ligatures w14:val="standardContextual"/>
        </w:rPr>
        <w:t xml:space="preserve"> for intrusive questions or violating sex workers privacy. </w:t>
      </w:r>
      <w:r w:rsidR="005D70E8" w:rsidRPr="005D70E8">
        <w:rPr>
          <w:rStyle w:val="Voetnootmarkering"/>
          <w:rFonts w:asciiTheme="minorHAnsi" w:hAnsiTheme="minorHAnsi" w:cstheme="minorHAnsi"/>
          <w:color w:val="3D3C3B"/>
          <w:sz w:val="22"/>
          <w:lang w:val="en-GB"/>
          <w14:ligatures w14:val="standardContextual"/>
        </w:rPr>
        <w:footnoteReference w:id="1"/>
      </w:r>
      <w:r w:rsidR="00806751" w:rsidRPr="005D70E8">
        <w:rPr>
          <w:rFonts w:asciiTheme="minorHAnsi" w:hAnsiTheme="minorHAnsi" w:cstheme="minorHAnsi"/>
          <w:color w:val="3D3C3B"/>
          <w:sz w:val="22"/>
          <w:lang w:val="en-GB"/>
          <w14:ligatures w14:val="standardContextual"/>
        </w:rPr>
        <w:t xml:space="preserve"> </w:t>
      </w:r>
      <w:r w:rsidR="00806751" w:rsidRPr="005D70E8">
        <w:rPr>
          <w:rFonts w:asciiTheme="minorHAnsi" w:hAnsiTheme="minorHAnsi" w:cstheme="minorHAnsi"/>
          <w:color w:val="3D3C3B"/>
          <w:sz w:val="22"/>
          <w:lang w:val="en-GB"/>
          <w14:ligatures w14:val="standardContextual"/>
        </w:rPr>
        <w:t>.</w:t>
      </w:r>
    </w:p>
    <w:p w14:paraId="4B5510D9" w14:textId="42DAEB7A" w:rsidR="00DD6C71" w:rsidRPr="005D70E8" w:rsidRDefault="00DD6C71" w:rsidP="005D70E8">
      <w:pPr>
        <w:widowControl w:val="0"/>
        <w:spacing w:before="120" w:after="120" w:line="280" w:lineRule="atLeast"/>
        <w:jc w:val="both"/>
        <w:rPr>
          <w:rFonts w:asciiTheme="minorHAnsi" w:hAnsiTheme="minorHAnsi" w:cstheme="minorHAnsi"/>
          <w:sz w:val="22"/>
          <w:lang w:val="en-GB"/>
        </w:rPr>
      </w:pPr>
      <w:r w:rsidRPr="005D70E8">
        <w:rPr>
          <w:rFonts w:asciiTheme="minorHAnsi" w:hAnsiTheme="minorHAnsi" w:cstheme="minorHAnsi"/>
          <w:sz w:val="22"/>
          <w:lang w:val="en-GB"/>
        </w:rPr>
        <w:t>As for trafficking, d</w:t>
      </w:r>
      <w:r w:rsidR="00C75DC4" w:rsidRPr="005D70E8">
        <w:rPr>
          <w:rFonts w:asciiTheme="minorHAnsi" w:hAnsiTheme="minorHAnsi" w:cstheme="minorHAnsi"/>
          <w:sz w:val="22"/>
          <w:lang w:val="en-GB"/>
        </w:rPr>
        <w:t>uring 2015–2019 about 180 trafficking cases (suspects) per year were registered at the Public Prosecution Service (PPS). About 80% of these cases concerned sexual exploitation; in about one fifth of the cases the victim was a minor.</w:t>
      </w:r>
      <w:r w:rsidR="00C75DC4" w:rsidRPr="005D70E8">
        <w:rPr>
          <w:rStyle w:val="Voetnootmarkering"/>
          <w:rFonts w:asciiTheme="minorHAnsi" w:hAnsiTheme="minorHAnsi" w:cstheme="minorHAnsi"/>
          <w:sz w:val="22"/>
          <w:lang w:val="en-GB"/>
        </w:rPr>
        <w:footnoteReference w:id="2"/>
      </w:r>
      <w:r w:rsidR="005D75ED" w:rsidRPr="005D70E8">
        <w:rPr>
          <w:rFonts w:asciiTheme="minorHAnsi" w:hAnsiTheme="minorHAnsi" w:cstheme="minorHAnsi"/>
          <w:sz w:val="22"/>
          <w:lang w:val="en-GB"/>
        </w:rPr>
        <w:t xml:space="preserve"> While it is difficult to make a </w:t>
      </w:r>
      <w:r w:rsidR="005D75ED" w:rsidRPr="005D70E8">
        <w:rPr>
          <w:rFonts w:asciiTheme="minorHAnsi" w:hAnsiTheme="minorHAnsi" w:cstheme="minorHAnsi"/>
          <w:sz w:val="22"/>
          <w:lang w:val="en-GB"/>
        </w:rPr>
        <w:t>reliable estimate of the actual number of victims of trafficking and/or exploitation in the sex sector</w:t>
      </w:r>
      <w:r w:rsidR="005D75ED" w:rsidRPr="005D70E8">
        <w:rPr>
          <w:rFonts w:asciiTheme="minorHAnsi" w:hAnsiTheme="minorHAnsi" w:cstheme="minorHAnsi"/>
          <w:sz w:val="22"/>
          <w:lang w:val="en-GB"/>
        </w:rPr>
        <w:t xml:space="preserve">, </w:t>
      </w:r>
      <w:r w:rsidRPr="005D70E8">
        <w:rPr>
          <w:rFonts w:asciiTheme="minorHAnsi" w:hAnsiTheme="minorHAnsi" w:cstheme="minorHAnsi"/>
          <w:sz w:val="22"/>
          <w:lang w:val="en-GB"/>
        </w:rPr>
        <w:t>r</w:t>
      </w:r>
      <w:r w:rsidRPr="005D70E8">
        <w:rPr>
          <w:rFonts w:asciiTheme="minorHAnsi" w:hAnsiTheme="minorHAnsi" w:cstheme="minorHAnsi"/>
          <w:sz w:val="22"/>
          <w:lang w:val="en-GB"/>
        </w:rPr>
        <w:t>esearch consistently reveals low prevalence figures, varying from 4% to 10%. The 2006 evaluation of the lifting of the ban on brothels has found some indications of involuntary prostitution or prostitution by minors, but to a very limited extent.</w:t>
      </w:r>
      <w:r w:rsidRPr="005D70E8">
        <w:rPr>
          <w:rFonts w:asciiTheme="minorHAnsi" w:hAnsiTheme="minorHAnsi" w:cstheme="minorHAnsi"/>
          <w:sz w:val="22"/>
          <w:lang w:val="en-GB"/>
        </w:rPr>
        <w:t xml:space="preserve"> </w:t>
      </w:r>
      <w:r w:rsidRPr="005D70E8">
        <w:rPr>
          <w:rFonts w:asciiTheme="minorHAnsi" w:hAnsiTheme="minorHAnsi" w:cstheme="minorHAnsi"/>
          <w:sz w:val="22"/>
          <w:lang w:val="en-GB"/>
        </w:rPr>
        <w:t>Similarly, the 2014 evaluation found no indications of the large-scale existence of trafficking or prostitution of minors</w:t>
      </w:r>
      <w:r w:rsidRPr="005D70E8">
        <w:rPr>
          <w:rFonts w:asciiTheme="minorHAnsi" w:hAnsiTheme="minorHAnsi" w:cstheme="minorHAnsi"/>
          <w:sz w:val="22"/>
          <w:lang w:val="en-GB"/>
        </w:rPr>
        <w:t xml:space="preserve">. </w:t>
      </w:r>
    </w:p>
    <w:p w14:paraId="2C5B5479" w14:textId="638883EE" w:rsidR="00C75DC4" w:rsidRPr="005D70E8" w:rsidRDefault="00C75DC4" w:rsidP="005D70E8">
      <w:pPr>
        <w:pStyle w:val="Body"/>
        <w:widowControl w:val="0"/>
        <w:spacing w:before="120" w:after="120" w:line="280" w:lineRule="atLeast"/>
        <w:jc w:val="both"/>
        <w:rPr>
          <w:rFonts w:asciiTheme="minorHAnsi" w:hAnsiTheme="minorHAnsi" w:cstheme="minorHAnsi"/>
          <w:sz w:val="22"/>
          <w:szCs w:val="22"/>
          <w:lang w:val="en-GB"/>
        </w:rPr>
      </w:pPr>
      <w:r w:rsidRPr="005D70E8">
        <w:rPr>
          <w:rFonts w:asciiTheme="minorHAnsi" w:hAnsiTheme="minorHAnsi" w:cstheme="minorHAnsi"/>
          <w:sz w:val="22"/>
          <w:szCs w:val="22"/>
          <w:lang w:val="en-GB"/>
        </w:rPr>
        <w:t>Analysis by the National Rapporteur on Trafficking in Human Beings of the coercive means applied in 111 cases of sexual exploitation in 2009-2010 showed that only 22% of the criminal charges (and 16% of the proven cases) related to deception regarding the nature of the work.</w:t>
      </w:r>
      <w:r w:rsidR="005D75ED" w:rsidRPr="005D70E8">
        <w:rPr>
          <w:rStyle w:val="Voetnootmarkering"/>
          <w:rFonts w:asciiTheme="minorHAnsi" w:hAnsiTheme="minorHAnsi" w:cstheme="minorHAnsi"/>
          <w:sz w:val="22"/>
          <w:szCs w:val="22"/>
          <w:lang w:val="en-GB"/>
        </w:rPr>
        <w:footnoteReference w:id="3"/>
      </w:r>
      <w:r w:rsidRPr="005D70E8">
        <w:rPr>
          <w:rFonts w:asciiTheme="minorHAnsi" w:hAnsiTheme="minorHAnsi" w:cstheme="minorHAnsi"/>
          <w:sz w:val="22"/>
          <w:szCs w:val="22"/>
          <w:lang w:val="en-GB"/>
        </w:rPr>
        <w:t xml:space="preserve"> This means that, contrary to the stereotype of the ‘innocent’ victim being forced into prostitution against her will, the majority of cases do not concern coercion into prostitution, but coercion and exploitation within prostitution. That is, people who consciously choose to work in prostitution, but who subsequently end up in a situation of exploitation, where they are forced to work under unfree and abusive conditions and/or are forced to hand over their earnings. </w:t>
      </w:r>
    </w:p>
    <w:p w14:paraId="37857B84" w14:textId="0B4C3BAC" w:rsidR="00AC0934" w:rsidRPr="005D70E8" w:rsidRDefault="00D82983" w:rsidP="005D70E8">
      <w:pPr>
        <w:spacing w:before="120" w:after="120" w:line="280" w:lineRule="atLeast"/>
        <w:rPr>
          <w:rFonts w:asciiTheme="minorHAnsi" w:eastAsia="Times New Roman" w:hAnsiTheme="minorHAnsi" w:cstheme="minorHAnsi"/>
          <w:b/>
          <w:bCs/>
          <w:sz w:val="22"/>
          <w:lang w:val="en-GB" w:eastAsia="nl-NL"/>
        </w:rPr>
      </w:pPr>
      <w:r w:rsidRPr="005D70E8">
        <w:rPr>
          <w:rFonts w:asciiTheme="minorHAnsi" w:eastAsia="Times New Roman" w:hAnsiTheme="minorHAnsi" w:cstheme="minorHAnsi"/>
          <w:b/>
          <w:bCs/>
          <w:sz w:val="22"/>
          <w:lang w:val="en-GB" w:eastAsia="nl-NL"/>
        </w:rPr>
        <w:t>Question 9</w:t>
      </w:r>
      <w:r w:rsidR="00AC0934" w:rsidRPr="005D70E8">
        <w:rPr>
          <w:rFonts w:asciiTheme="minorHAnsi" w:eastAsia="Times New Roman" w:hAnsiTheme="minorHAnsi" w:cstheme="minorHAnsi"/>
          <w:b/>
          <w:bCs/>
          <w:sz w:val="22"/>
          <w:lang w:val="en-GB" w:eastAsia="nl-NL"/>
        </w:rPr>
        <w:t>:</w:t>
      </w:r>
      <w:r w:rsidRPr="005D70E8">
        <w:rPr>
          <w:rFonts w:asciiTheme="minorHAnsi" w:eastAsia="Times New Roman" w:hAnsiTheme="minorHAnsi" w:cstheme="minorHAnsi"/>
          <w:b/>
          <w:bCs/>
          <w:sz w:val="22"/>
          <w:lang w:val="en-GB" w:eastAsia="nl-NL"/>
        </w:rPr>
        <w:t xml:space="preserve"> </w:t>
      </w:r>
      <w:r w:rsidR="00AC0934" w:rsidRPr="00D82983">
        <w:rPr>
          <w:rFonts w:asciiTheme="minorHAnsi" w:eastAsia="Times New Roman" w:hAnsiTheme="minorHAnsi" w:cstheme="minorHAnsi"/>
          <w:b/>
          <w:bCs/>
          <w:sz w:val="22"/>
          <w:lang w:val="en-GB" w:eastAsia="nl-NL"/>
        </w:rPr>
        <w:t>How effective have legislative frameworks and policies been in preventing and responding to violence against women and girls in prostitution?</w:t>
      </w:r>
    </w:p>
    <w:p w14:paraId="55F2DCDE" w14:textId="77777777" w:rsidR="00057EC9" w:rsidRPr="005D70E8" w:rsidRDefault="00AC0934" w:rsidP="005D70E8">
      <w:pPr>
        <w:spacing w:before="120" w:after="120" w:line="280" w:lineRule="atLeast"/>
        <w:rPr>
          <w:rFonts w:asciiTheme="minorHAnsi" w:hAnsiTheme="minorHAnsi" w:cstheme="minorHAnsi"/>
          <w:color w:val="000000"/>
          <w:sz w:val="22"/>
          <w:lang w:val="en-GB"/>
        </w:rPr>
      </w:pPr>
      <w:r w:rsidRPr="005D70E8">
        <w:rPr>
          <w:rFonts w:asciiTheme="minorHAnsi" w:hAnsiTheme="minorHAnsi" w:cstheme="minorHAnsi"/>
          <w:sz w:val="22"/>
          <w:lang w:val="en-GB"/>
        </w:rPr>
        <w:t>On 1 October 2000 the Dutch Parliament lifted the general ban on brothels. This allowed for the regulation of sex businesses under administrative and labour law and for the treatment of sex work as labour. Ever since, the Dutch Penal Code no longer treats organising the voluntary prostitution of adult persons as a crime. This means that it is legal to operate a sex business, when it takes place on a consensual basis and involves persons above 18 years of age.</w:t>
      </w:r>
      <w:r w:rsidRPr="005D70E8">
        <w:rPr>
          <w:rFonts w:asciiTheme="minorHAnsi" w:hAnsiTheme="minorHAnsi" w:cstheme="minorHAnsi"/>
          <w:color w:val="000000"/>
          <w:sz w:val="22"/>
          <w:lang w:val="en-GB"/>
        </w:rPr>
        <w:t xml:space="preserve"> </w:t>
      </w:r>
      <w:r w:rsidRPr="005D70E8">
        <w:rPr>
          <w:rFonts w:asciiTheme="minorHAnsi" w:hAnsiTheme="minorHAnsi" w:cstheme="minorHAnsi"/>
          <w:sz w:val="22"/>
          <w:lang w:val="en-GB"/>
        </w:rPr>
        <w:t>At the same time the exploitation of involuntary prostitution and of minors became more strictly penalized, as were clients of minors.</w:t>
      </w:r>
      <w:r w:rsidRPr="005D70E8">
        <w:rPr>
          <w:rFonts w:asciiTheme="minorHAnsi" w:hAnsiTheme="minorHAnsi" w:cstheme="minorHAnsi"/>
          <w:sz w:val="22"/>
          <w:lang w:val="en-GB"/>
        </w:rPr>
        <w:t xml:space="preserve"> </w:t>
      </w:r>
      <w:r w:rsidRPr="005D70E8">
        <w:rPr>
          <w:rFonts w:asciiTheme="minorHAnsi" w:hAnsiTheme="minorHAnsi" w:cstheme="minorHAnsi"/>
          <w:sz w:val="22"/>
          <w:lang w:val="en-GB"/>
        </w:rPr>
        <w:t xml:space="preserve">The abolition of the ban on brothels served three major aims: </w:t>
      </w:r>
      <w:r w:rsidRPr="005D70E8">
        <w:rPr>
          <w:rFonts w:asciiTheme="minorHAnsi" w:hAnsiTheme="minorHAnsi" w:cstheme="minorHAnsi"/>
          <w:color w:val="000000"/>
          <w:sz w:val="22"/>
          <w:lang w:val="en-GB"/>
        </w:rPr>
        <w:t xml:space="preserve">to control and regulate voluntary </w:t>
      </w:r>
      <w:r w:rsidRPr="005D70E8">
        <w:rPr>
          <w:rFonts w:asciiTheme="minorHAnsi" w:hAnsiTheme="minorHAnsi" w:cstheme="minorHAnsi"/>
          <w:color w:val="000000"/>
          <w:sz w:val="22"/>
          <w:lang w:val="en-GB"/>
        </w:rPr>
        <w:lastRenderedPageBreak/>
        <w:t>prostitution</w:t>
      </w:r>
      <w:r w:rsidRPr="005D70E8">
        <w:rPr>
          <w:rFonts w:asciiTheme="minorHAnsi" w:hAnsiTheme="minorHAnsi" w:cstheme="minorHAnsi"/>
          <w:sz w:val="22"/>
          <w:lang w:val="en-GB"/>
        </w:rPr>
        <w:t>;</w:t>
      </w:r>
      <w:r w:rsidRPr="005D70E8">
        <w:rPr>
          <w:rFonts w:asciiTheme="minorHAnsi" w:hAnsiTheme="minorHAnsi" w:cstheme="minorHAnsi"/>
          <w:color w:val="000000"/>
          <w:sz w:val="22"/>
          <w:lang w:val="en-GB"/>
        </w:rPr>
        <w:t xml:space="preserve"> to combat trafficking and other ‘unacceptable’ forms of prostitution (minors, undocumented sex workers) more effectively; and to protect the position of sex workers</w:t>
      </w:r>
      <w:r w:rsidR="00057EC9" w:rsidRPr="005D70E8">
        <w:rPr>
          <w:rFonts w:asciiTheme="minorHAnsi" w:hAnsiTheme="minorHAnsi" w:cstheme="minorHAnsi"/>
          <w:color w:val="000000"/>
          <w:sz w:val="22"/>
          <w:lang w:val="en-GB"/>
        </w:rPr>
        <w:t>.</w:t>
      </w:r>
    </w:p>
    <w:p w14:paraId="2FCD1C15" w14:textId="3F48A3C5" w:rsidR="00057EC9" w:rsidRPr="005D70E8" w:rsidRDefault="00057EC9"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The discussion on the abolition of the ban on brothels originates in the second feminist wave which put violence against women on the political agenda. Dutch feminists started to question the traditional divisions between ‘good’ women who deserved protection and ‘bad’ ones who could be abused with impunity.</w:t>
      </w:r>
      <w:r w:rsidRPr="005D70E8">
        <w:rPr>
          <w:rFonts w:asciiTheme="minorHAnsi" w:hAnsiTheme="minorHAnsi" w:cstheme="minorHAnsi"/>
          <w:color w:val="000000"/>
          <w:sz w:val="22"/>
          <w:lang w:val="en-GB"/>
        </w:rPr>
        <w:t xml:space="preserve"> By challenging the ‘whore stigma’ as an instrument to control female sexuality and mobility they made</w:t>
      </w:r>
      <w:r w:rsidRPr="005D70E8">
        <w:rPr>
          <w:rFonts w:asciiTheme="minorHAnsi" w:hAnsiTheme="minorHAnsi" w:cstheme="minorHAnsi"/>
          <w:sz w:val="22"/>
          <w:lang w:val="en-GB"/>
        </w:rPr>
        <w:t xml:space="preserve"> prostitutes’ rights central to all women’s rights. Sex worker and feminist activists argued that the principle of self-determination should also apply to prostitution and that the right of women to </w:t>
      </w:r>
      <w:r w:rsidRPr="005D70E8">
        <w:rPr>
          <w:rFonts w:asciiTheme="minorHAnsi" w:hAnsiTheme="minorHAnsi" w:cstheme="minorHAnsi"/>
          <w:color w:val="000000"/>
          <w:sz w:val="22"/>
          <w:lang w:val="en-GB"/>
        </w:rPr>
        <w:t xml:space="preserve">physical and psychological integrity </w:t>
      </w:r>
      <w:r w:rsidRPr="005D70E8">
        <w:rPr>
          <w:rFonts w:asciiTheme="minorHAnsi" w:hAnsiTheme="minorHAnsi" w:cstheme="minorHAnsi"/>
          <w:color w:val="000000"/>
          <w:sz w:val="22"/>
          <w:lang w:val="en-GB"/>
        </w:rPr>
        <w:t xml:space="preserve">and to </w:t>
      </w:r>
      <w:r w:rsidRPr="005D70E8">
        <w:rPr>
          <w:rFonts w:asciiTheme="minorHAnsi" w:hAnsiTheme="minorHAnsi" w:cstheme="minorHAnsi"/>
          <w:sz w:val="22"/>
          <w:lang w:val="en-GB"/>
        </w:rPr>
        <w:t xml:space="preserve">have control over their own bodies should also give them the right to </w:t>
      </w:r>
      <w:proofErr w:type="spellStart"/>
      <w:r w:rsidRPr="005D70E8">
        <w:rPr>
          <w:rFonts w:asciiTheme="minorHAnsi" w:hAnsiTheme="minorHAnsi" w:cstheme="minorHAnsi"/>
          <w:color w:val="000000"/>
          <w:sz w:val="22"/>
          <w:lang w:val="en-GB"/>
        </w:rPr>
        <w:t>to</w:t>
      </w:r>
      <w:proofErr w:type="spellEnd"/>
      <w:r w:rsidRPr="005D70E8">
        <w:rPr>
          <w:rFonts w:asciiTheme="minorHAnsi" w:hAnsiTheme="minorHAnsi" w:cstheme="minorHAnsi"/>
          <w:color w:val="000000"/>
          <w:sz w:val="22"/>
          <w:lang w:val="en-GB"/>
        </w:rPr>
        <w:t xml:space="preserve"> choose prostitution as a profession. Not prostitution as such, but violence and coercion needed to be combated. </w:t>
      </w:r>
      <w:r w:rsidRPr="005D70E8">
        <w:rPr>
          <w:rFonts w:asciiTheme="minorHAnsi" w:hAnsiTheme="minorHAnsi" w:cstheme="minorHAnsi"/>
          <w:sz w:val="22"/>
          <w:lang w:val="en-GB"/>
        </w:rPr>
        <w:t xml:space="preserve">At the same time women’s groups and third world solidarity groups drew attention to the exploitation of migrant prostitutes who were working under slavery-like conditions and called for harsher penalties for trafficking in women. This debate was the cradle for the Dutch approach towards </w:t>
      </w:r>
      <w:r w:rsidRPr="005D70E8">
        <w:rPr>
          <w:rFonts w:asciiTheme="minorHAnsi" w:hAnsiTheme="minorHAnsi" w:cstheme="minorHAnsi"/>
          <w:sz w:val="22"/>
          <w:lang w:val="en-GB"/>
        </w:rPr>
        <w:t>sex work</w:t>
      </w:r>
      <w:r w:rsidRPr="005D70E8">
        <w:rPr>
          <w:rFonts w:asciiTheme="minorHAnsi" w:hAnsiTheme="minorHAnsi" w:cstheme="minorHAnsi"/>
          <w:sz w:val="22"/>
          <w:lang w:val="en-GB"/>
        </w:rPr>
        <w:t>: a sharp division between voluntary and involuntary prostitution, between consent and coercion. If a person considers prostitution an option to earn a living, he or she should be able to work under proper conditions and should have the same rights and the same protection against violence and abuse as any worker has. If a person is forced into prostitution or faces violence, abuse or deceit in the course of their work, the law should protect them.</w:t>
      </w:r>
    </w:p>
    <w:p w14:paraId="037BE472" w14:textId="283D05A9" w:rsidR="00C75DC4" w:rsidRPr="005D70E8" w:rsidRDefault="00C75DC4"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 xml:space="preserve">A recent study carried out by SoaAids and Proud, the sex workers </w:t>
      </w:r>
      <w:r w:rsidRPr="005D70E8">
        <w:rPr>
          <w:rFonts w:asciiTheme="minorHAnsi" w:hAnsiTheme="minorHAnsi" w:cstheme="minorHAnsi"/>
          <w:sz w:val="22"/>
          <w:lang w:val="en-GB"/>
        </w:rPr>
        <w:t>organisation</w:t>
      </w:r>
      <w:r w:rsidRPr="005D70E8">
        <w:rPr>
          <w:rFonts w:asciiTheme="minorHAnsi" w:hAnsiTheme="minorHAnsi" w:cstheme="minorHAnsi"/>
          <w:sz w:val="22"/>
          <w:lang w:val="en-GB"/>
        </w:rPr>
        <w:t xml:space="preserve">, showed that sex workers felt safer working in the windows, in clubs and private houses or in </w:t>
      </w:r>
      <w:r w:rsidRPr="005D70E8">
        <w:rPr>
          <w:rFonts w:asciiTheme="minorHAnsi" w:hAnsiTheme="minorHAnsi" w:cstheme="minorHAnsi"/>
          <w:sz w:val="22"/>
          <w:lang w:val="en-GB"/>
        </w:rPr>
        <w:t xml:space="preserve">recognised </w:t>
      </w:r>
      <w:r w:rsidRPr="005D70E8">
        <w:rPr>
          <w:rFonts w:asciiTheme="minorHAnsi" w:hAnsiTheme="minorHAnsi" w:cstheme="minorHAnsi"/>
          <w:sz w:val="22"/>
          <w:lang w:val="en-GB"/>
        </w:rPr>
        <w:t>street walking areas, because of the presence of other people, the possibility to press an alarm button and the opportunity to screen clients and to reject them. Sex workers who operate outside licensed working places, like</w:t>
      </w:r>
      <w:r w:rsidRPr="005D70E8">
        <w:rPr>
          <w:rFonts w:asciiTheme="minorHAnsi" w:hAnsiTheme="minorHAnsi" w:cstheme="minorHAnsi"/>
          <w:color w:val="222222"/>
          <w:sz w:val="22"/>
          <w:lang w:val="en-GB"/>
        </w:rPr>
        <w:t xml:space="preserve"> hotel rooms, massage parlours or at home, </w:t>
      </w:r>
      <w:r w:rsidRPr="005D70E8">
        <w:rPr>
          <w:rFonts w:asciiTheme="minorHAnsi" w:hAnsiTheme="minorHAnsi" w:cstheme="minorHAnsi"/>
          <w:sz w:val="22"/>
          <w:lang w:val="en-GB"/>
        </w:rPr>
        <w:t>face an increased risk of violence. They are also less likely to report violence to the police for fear of negative repercussions. Violent clients and thugs know this and take advantage of it.</w:t>
      </w:r>
      <w:r w:rsidRPr="005D70E8">
        <w:rPr>
          <w:rStyle w:val="Voetnootmarkering"/>
          <w:rFonts w:asciiTheme="minorHAnsi" w:hAnsiTheme="minorHAnsi" w:cstheme="minorHAnsi"/>
          <w:sz w:val="22"/>
          <w:lang w:val="en-GB"/>
        </w:rPr>
        <w:footnoteReference w:id="4"/>
      </w:r>
      <w:r w:rsidRPr="005D70E8">
        <w:rPr>
          <w:rFonts w:asciiTheme="minorHAnsi" w:hAnsiTheme="minorHAnsi" w:cstheme="minorHAnsi"/>
          <w:sz w:val="22"/>
          <w:lang w:val="en-GB"/>
        </w:rPr>
        <w:t xml:space="preserve"> In a study aimed at migrant sex workers in the Netherlands, respondents confirmed that they felt safer working in licensed places, due to the presence of alarm buttons and cameras, but also having colleagues around increased their sense of safety.</w:t>
      </w:r>
      <w:r w:rsidRPr="005D70E8">
        <w:rPr>
          <w:rStyle w:val="Voetnootmarkering"/>
          <w:rFonts w:asciiTheme="minorHAnsi" w:hAnsiTheme="minorHAnsi" w:cstheme="minorHAnsi"/>
          <w:sz w:val="22"/>
          <w:lang w:val="en-GB"/>
        </w:rPr>
        <w:footnoteReference w:id="5"/>
      </w:r>
    </w:p>
    <w:p w14:paraId="0BCB10DF" w14:textId="68273735" w:rsidR="00057EC9" w:rsidRPr="005D70E8" w:rsidRDefault="00057EC9" w:rsidP="005D70E8">
      <w:pPr>
        <w:spacing w:before="120" w:after="120" w:line="280" w:lineRule="atLeast"/>
        <w:rPr>
          <w:rFonts w:asciiTheme="minorHAnsi" w:hAnsiTheme="minorHAnsi" w:cstheme="minorHAnsi"/>
          <w:sz w:val="22"/>
          <w:lang w:val="en-GB"/>
        </w:rPr>
      </w:pPr>
      <w:r w:rsidRPr="005D70E8">
        <w:rPr>
          <w:rFonts w:asciiTheme="minorHAnsi" w:eastAsia="Times New Roman" w:hAnsiTheme="minorHAnsi" w:cstheme="minorHAnsi"/>
          <w:sz w:val="22"/>
          <w:lang w:val="en-GB"/>
        </w:rPr>
        <w:t xml:space="preserve">Since the legalization of sex work in the Netherlands the CEDAW Committee has devoted attention to the situation of sex workers in </w:t>
      </w:r>
      <w:r w:rsidRPr="005D70E8">
        <w:rPr>
          <w:rFonts w:asciiTheme="minorHAnsi" w:eastAsia="Times New Roman" w:hAnsiTheme="minorHAnsi" w:cstheme="minorHAnsi"/>
          <w:sz w:val="22"/>
          <w:lang w:val="en-GB"/>
        </w:rPr>
        <w:t xml:space="preserve">the Netherlands in </w:t>
      </w:r>
      <w:r w:rsidRPr="005D70E8">
        <w:rPr>
          <w:rFonts w:asciiTheme="minorHAnsi" w:eastAsia="Times New Roman" w:hAnsiTheme="minorHAnsi" w:cstheme="minorHAnsi"/>
          <w:sz w:val="22"/>
          <w:lang w:val="en-GB"/>
        </w:rPr>
        <w:t>several of its Concluding Observations on the Netherlands. In none of these has the CEDAW Committee suggested that the Dutch policy of legalizing sex work violates Article 6 of the Convention which obliges States Parties to ‘take all appropriate measures, including legislation, to suppress all forms of traffic in women and exploitation of prostitution of women'. Instead, the CEDAW Committee has repeatedly expressed concerns about efforts by the Dutch government to restrict sex workers' liberties and rights</w:t>
      </w:r>
      <w:r w:rsidRPr="005D70E8">
        <w:rPr>
          <w:rFonts w:asciiTheme="minorHAnsi" w:eastAsia="Times New Roman" w:hAnsiTheme="minorHAnsi" w:cstheme="minorHAnsi"/>
          <w:sz w:val="22"/>
          <w:lang w:val="en-GB"/>
        </w:rPr>
        <w:t xml:space="preserve">, e.g. through the proposed introduction of mandatory registration </w:t>
      </w:r>
      <w:r w:rsidRPr="005D70E8">
        <w:rPr>
          <w:rFonts w:asciiTheme="minorHAnsi" w:eastAsia="Times New Roman" w:hAnsiTheme="minorHAnsi" w:cstheme="minorHAnsi"/>
          <w:sz w:val="22"/>
          <w:lang w:val="en-GB"/>
        </w:rPr>
        <w:t>(</w:t>
      </w:r>
      <w:r w:rsidRPr="005D70E8">
        <w:rPr>
          <w:rFonts w:asciiTheme="minorHAnsi" w:hAnsiTheme="minorHAnsi" w:cstheme="minorHAnsi"/>
          <w:sz w:val="22"/>
          <w:lang w:val="en-GB"/>
        </w:rPr>
        <w:t>CEDAW/C/NLD/CO/5, para 30).</w:t>
      </w:r>
    </w:p>
    <w:p w14:paraId="62ACAE89" w14:textId="30D9CF08" w:rsidR="00F35D00" w:rsidRPr="005D70E8" w:rsidRDefault="00AC0934" w:rsidP="005D70E8">
      <w:pPr>
        <w:spacing w:before="120" w:after="120" w:line="280" w:lineRule="atLeast"/>
        <w:rPr>
          <w:rFonts w:asciiTheme="minorHAnsi" w:hAnsiTheme="minorHAnsi" w:cstheme="minorHAnsi"/>
          <w:b/>
          <w:bCs/>
          <w:sz w:val="22"/>
          <w:lang w:val="en-US"/>
        </w:rPr>
      </w:pPr>
      <w:r w:rsidRPr="005D70E8">
        <w:rPr>
          <w:rFonts w:asciiTheme="minorHAnsi" w:eastAsia="Times New Roman" w:hAnsiTheme="minorHAnsi" w:cstheme="minorHAnsi"/>
          <w:b/>
          <w:bCs/>
          <w:sz w:val="22"/>
          <w:lang w:val="en-GB" w:eastAsia="nl-NL"/>
        </w:rPr>
        <w:t xml:space="preserve">Question </w:t>
      </w:r>
      <w:r w:rsidR="00D82983" w:rsidRPr="005D70E8">
        <w:rPr>
          <w:rFonts w:asciiTheme="minorHAnsi" w:eastAsia="Times New Roman" w:hAnsiTheme="minorHAnsi" w:cstheme="minorHAnsi"/>
          <w:b/>
          <w:bCs/>
          <w:sz w:val="22"/>
          <w:lang w:val="en-GB" w:eastAsia="nl-NL"/>
        </w:rPr>
        <w:t xml:space="preserve">15: </w:t>
      </w:r>
      <w:r w:rsidR="00F35D00" w:rsidRPr="005D70E8">
        <w:rPr>
          <w:rFonts w:asciiTheme="minorHAnsi" w:hAnsiTheme="minorHAnsi" w:cstheme="minorHAnsi"/>
          <w:b/>
          <w:bCs/>
          <w:sz w:val="22"/>
          <w:lang w:val="en-US"/>
        </w:rPr>
        <w:t>What recommendations do you have to prevent and end violence associated with the prostitution for women and girls?</w:t>
      </w:r>
    </w:p>
    <w:p w14:paraId="646BAE95" w14:textId="77777777" w:rsidR="00D82983" w:rsidRPr="005D70E8" w:rsidRDefault="00364146" w:rsidP="005D70E8">
      <w:pPr>
        <w:pStyle w:val="Body"/>
        <w:spacing w:before="120" w:after="120" w:line="280" w:lineRule="atLeast"/>
        <w:jc w:val="both"/>
        <w:rPr>
          <w:rFonts w:asciiTheme="minorHAnsi" w:hAnsiTheme="minorHAnsi" w:cstheme="minorHAnsi"/>
          <w:sz w:val="22"/>
          <w:szCs w:val="22"/>
        </w:rPr>
      </w:pPr>
      <w:r w:rsidRPr="005D70E8">
        <w:rPr>
          <w:rFonts w:asciiTheme="minorHAnsi" w:hAnsiTheme="minorHAnsi" w:cstheme="minorHAnsi"/>
          <w:sz w:val="22"/>
          <w:szCs w:val="22"/>
        </w:rPr>
        <w:t>In order to protect sex workers against violence and other human rights abuses we s</w:t>
      </w:r>
      <w:r w:rsidR="00781FF6" w:rsidRPr="005D70E8">
        <w:rPr>
          <w:rFonts w:asciiTheme="minorHAnsi" w:hAnsiTheme="minorHAnsi" w:cstheme="minorHAnsi"/>
          <w:sz w:val="22"/>
          <w:szCs w:val="22"/>
        </w:rPr>
        <w:t xml:space="preserve">trongly </w:t>
      </w:r>
      <w:r w:rsidRPr="005D70E8">
        <w:rPr>
          <w:rFonts w:asciiTheme="minorHAnsi" w:hAnsiTheme="minorHAnsi" w:cstheme="minorHAnsi"/>
          <w:sz w:val="22"/>
          <w:szCs w:val="22"/>
        </w:rPr>
        <w:t xml:space="preserve">recommend </w:t>
      </w:r>
      <w:r w:rsidR="00023961" w:rsidRPr="005D70E8">
        <w:rPr>
          <w:rFonts w:asciiTheme="minorHAnsi" w:hAnsiTheme="minorHAnsi" w:cstheme="minorHAnsi"/>
          <w:sz w:val="22"/>
          <w:szCs w:val="22"/>
        </w:rPr>
        <w:t xml:space="preserve">that sex work </w:t>
      </w:r>
      <w:r w:rsidRPr="005D70E8">
        <w:rPr>
          <w:rFonts w:asciiTheme="minorHAnsi" w:hAnsiTheme="minorHAnsi" w:cstheme="minorHAnsi"/>
          <w:sz w:val="22"/>
          <w:szCs w:val="22"/>
        </w:rPr>
        <w:t xml:space="preserve">policies </w:t>
      </w:r>
      <w:r w:rsidR="00F4270C" w:rsidRPr="005D70E8">
        <w:rPr>
          <w:rFonts w:asciiTheme="minorHAnsi" w:hAnsiTheme="minorHAnsi" w:cstheme="minorHAnsi"/>
          <w:sz w:val="22"/>
          <w:szCs w:val="22"/>
        </w:rPr>
        <w:t>are rights-based and</w:t>
      </w:r>
      <w:r w:rsidRPr="005D70E8">
        <w:rPr>
          <w:rFonts w:asciiTheme="minorHAnsi" w:hAnsiTheme="minorHAnsi" w:cstheme="minorHAnsi"/>
          <w:sz w:val="22"/>
          <w:szCs w:val="22"/>
        </w:rPr>
        <w:t xml:space="preserve"> </w:t>
      </w:r>
      <w:r w:rsidRPr="005D70E8">
        <w:rPr>
          <w:rFonts w:asciiTheme="minorHAnsi" w:hAnsiTheme="minorHAnsi" w:cstheme="minorHAnsi"/>
          <w:sz w:val="22"/>
          <w:szCs w:val="22"/>
        </w:rPr>
        <w:t xml:space="preserve">guided by </w:t>
      </w:r>
      <w:r w:rsidRPr="005D70E8">
        <w:rPr>
          <w:rFonts w:asciiTheme="minorHAnsi" w:hAnsiTheme="minorHAnsi" w:cstheme="minorHAnsi"/>
          <w:sz w:val="22"/>
          <w:szCs w:val="22"/>
        </w:rPr>
        <w:t xml:space="preserve">the </w:t>
      </w:r>
      <w:r w:rsidRPr="005D70E8">
        <w:rPr>
          <w:rFonts w:asciiTheme="minorHAnsi" w:hAnsiTheme="minorHAnsi" w:cstheme="minorHAnsi"/>
          <w:sz w:val="22"/>
          <w:szCs w:val="22"/>
        </w:rPr>
        <w:t xml:space="preserve">available scientific knowledge </w:t>
      </w:r>
      <w:r w:rsidRPr="005D70E8">
        <w:rPr>
          <w:rFonts w:asciiTheme="minorHAnsi" w:hAnsiTheme="minorHAnsi" w:cstheme="minorHAnsi"/>
          <w:sz w:val="22"/>
          <w:szCs w:val="22"/>
        </w:rPr>
        <w:lastRenderedPageBreak/>
        <w:t>o</w:t>
      </w:r>
      <w:r w:rsidR="00F4270C" w:rsidRPr="005D70E8">
        <w:rPr>
          <w:rFonts w:asciiTheme="minorHAnsi" w:hAnsiTheme="minorHAnsi" w:cstheme="minorHAnsi"/>
          <w:sz w:val="22"/>
          <w:szCs w:val="22"/>
        </w:rPr>
        <w:t>f</w:t>
      </w:r>
      <w:r w:rsidRPr="005D70E8">
        <w:rPr>
          <w:rFonts w:asciiTheme="minorHAnsi" w:hAnsiTheme="minorHAnsi" w:cstheme="minorHAnsi"/>
          <w:sz w:val="22"/>
          <w:szCs w:val="22"/>
        </w:rPr>
        <w:t xml:space="preserve"> the effects of </w:t>
      </w:r>
      <w:r w:rsidRPr="005D70E8">
        <w:rPr>
          <w:rFonts w:asciiTheme="minorHAnsi" w:hAnsiTheme="minorHAnsi" w:cstheme="minorHAnsi"/>
          <w:sz w:val="22"/>
          <w:szCs w:val="22"/>
        </w:rPr>
        <w:t xml:space="preserve">different </w:t>
      </w:r>
      <w:r w:rsidRPr="005D70E8">
        <w:rPr>
          <w:rFonts w:asciiTheme="minorHAnsi" w:hAnsiTheme="minorHAnsi" w:cstheme="minorHAnsi"/>
          <w:sz w:val="22"/>
          <w:szCs w:val="22"/>
        </w:rPr>
        <w:t xml:space="preserve">sex work policies on the safety, health and working and living conditions of sex workers. </w:t>
      </w:r>
    </w:p>
    <w:p w14:paraId="08DBD566" w14:textId="299F6101" w:rsidR="004102D1" w:rsidRPr="005D70E8" w:rsidRDefault="00D82983" w:rsidP="005D70E8">
      <w:pPr>
        <w:pStyle w:val="Body"/>
        <w:spacing w:before="120" w:after="120" w:line="280" w:lineRule="atLeast"/>
        <w:jc w:val="both"/>
        <w:rPr>
          <w:rFonts w:asciiTheme="minorHAnsi" w:hAnsiTheme="minorHAnsi" w:cstheme="minorHAnsi"/>
          <w:sz w:val="22"/>
          <w:szCs w:val="22"/>
        </w:rPr>
      </w:pPr>
      <w:r w:rsidRPr="005D70E8">
        <w:rPr>
          <w:rFonts w:asciiTheme="minorHAnsi" w:hAnsiTheme="minorHAnsi" w:cstheme="minorHAnsi"/>
          <w:sz w:val="22"/>
          <w:szCs w:val="22"/>
        </w:rPr>
        <w:t>Two k</w:t>
      </w:r>
      <w:r w:rsidR="007B2035" w:rsidRPr="005D70E8">
        <w:rPr>
          <w:rFonts w:asciiTheme="minorHAnsi" w:hAnsiTheme="minorHAnsi" w:cstheme="minorHAnsi"/>
          <w:sz w:val="22"/>
          <w:szCs w:val="22"/>
        </w:rPr>
        <w:t>ey</w:t>
      </w:r>
      <w:r w:rsidR="00F4270C" w:rsidRPr="005D70E8">
        <w:rPr>
          <w:rFonts w:asciiTheme="minorHAnsi" w:hAnsiTheme="minorHAnsi" w:cstheme="minorHAnsi"/>
          <w:sz w:val="22"/>
          <w:szCs w:val="22"/>
        </w:rPr>
        <w:t xml:space="preserve"> component</w:t>
      </w:r>
      <w:r w:rsidR="007B2035" w:rsidRPr="005D70E8">
        <w:rPr>
          <w:rFonts w:asciiTheme="minorHAnsi" w:hAnsiTheme="minorHAnsi" w:cstheme="minorHAnsi"/>
          <w:sz w:val="22"/>
          <w:szCs w:val="22"/>
        </w:rPr>
        <w:t>s are the distinction between sex work and trafficking and</w:t>
      </w:r>
      <w:r w:rsidR="00F4270C" w:rsidRPr="005D70E8">
        <w:rPr>
          <w:rFonts w:asciiTheme="minorHAnsi" w:hAnsiTheme="minorHAnsi" w:cstheme="minorHAnsi"/>
          <w:sz w:val="22"/>
          <w:szCs w:val="22"/>
        </w:rPr>
        <w:t xml:space="preserve"> the </w:t>
      </w:r>
      <w:r w:rsidR="00F4270C" w:rsidRPr="005D70E8">
        <w:rPr>
          <w:rFonts w:asciiTheme="minorHAnsi" w:hAnsiTheme="minorHAnsi" w:cstheme="minorHAnsi"/>
          <w:sz w:val="22"/>
          <w:szCs w:val="22"/>
        </w:rPr>
        <w:t xml:space="preserve">meaningful participation of sex workers </w:t>
      </w:r>
      <w:r w:rsidR="00F4270C" w:rsidRPr="005D70E8">
        <w:rPr>
          <w:rFonts w:asciiTheme="minorHAnsi" w:hAnsiTheme="minorHAnsi" w:cstheme="minorHAnsi"/>
          <w:sz w:val="22"/>
          <w:szCs w:val="22"/>
        </w:rPr>
        <w:t xml:space="preserve">as partners </w:t>
      </w:r>
      <w:r w:rsidR="00F4270C" w:rsidRPr="005D70E8">
        <w:rPr>
          <w:rFonts w:asciiTheme="minorHAnsi" w:hAnsiTheme="minorHAnsi" w:cstheme="minorHAnsi"/>
          <w:sz w:val="22"/>
          <w:szCs w:val="22"/>
        </w:rPr>
        <w:t xml:space="preserve">in the development, implementation and evaluation of </w:t>
      </w:r>
      <w:r w:rsidR="00F4270C" w:rsidRPr="005D70E8">
        <w:rPr>
          <w:rFonts w:asciiTheme="minorHAnsi" w:hAnsiTheme="minorHAnsi" w:cstheme="minorHAnsi"/>
          <w:sz w:val="22"/>
          <w:szCs w:val="22"/>
        </w:rPr>
        <w:t xml:space="preserve">sex work related </w:t>
      </w:r>
      <w:r w:rsidR="00F4270C" w:rsidRPr="005D70E8">
        <w:rPr>
          <w:rFonts w:asciiTheme="minorHAnsi" w:hAnsiTheme="minorHAnsi" w:cstheme="minorHAnsi"/>
          <w:sz w:val="22"/>
          <w:szCs w:val="22"/>
        </w:rPr>
        <w:t>policies.</w:t>
      </w:r>
      <w:r w:rsidR="00F4270C" w:rsidRPr="005D70E8">
        <w:rPr>
          <w:rFonts w:asciiTheme="minorHAnsi" w:hAnsiTheme="minorHAnsi" w:cstheme="minorHAnsi"/>
          <w:sz w:val="22"/>
          <w:szCs w:val="22"/>
        </w:rPr>
        <w:t xml:space="preserve"> </w:t>
      </w:r>
      <w:r w:rsidRPr="005D70E8">
        <w:rPr>
          <w:rFonts w:asciiTheme="minorHAnsi" w:hAnsiTheme="minorHAnsi" w:cstheme="minorHAnsi"/>
          <w:sz w:val="22"/>
          <w:szCs w:val="22"/>
        </w:rPr>
        <w:t>The persistent conflation of trafficking and sex work</w:t>
      </w:r>
      <w:r w:rsidRPr="005D70E8">
        <w:rPr>
          <w:rFonts w:asciiTheme="minorHAnsi" w:hAnsiTheme="minorHAnsi" w:cstheme="minorHAnsi"/>
          <w:sz w:val="22"/>
          <w:szCs w:val="22"/>
          <w:lang w:val="en-GB"/>
        </w:rPr>
        <w:t xml:space="preserve"> leads to the </w:t>
      </w:r>
      <w:r w:rsidRPr="005D70E8">
        <w:rPr>
          <w:rFonts w:asciiTheme="minorHAnsi" w:hAnsiTheme="minorHAnsi" w:cstheme="minorHAnsi"/>
          <w:sz w:val="22"/>
          <w:szCs w:val="22"/>
          <w:lang w:val="en-GB"/>
        </w:rPr>
        <w:t>abuse of anti-trafficking measures to police and punish female (migrant) sex workers and restrict their freedom of movement.</w:t>
      </w:r>
      <w:r w:rsidRPr="005D70E8">
        <w:rPr>
          <w:rFonts w:asciiTheme="minorHAnsi" w:hAnsiTheme="minorHAnsi" w:cstheme="minorHAnsi"/>
          <w:sz w:val="22"/>
          <w:szCs w:val="22"/>
          <w:lang w:val="en-GB"/>
        </w:rPr>
        <w:t xml:space="preserve"> </w:t>
      </w:r>
      <w:r w:rsidR="004102D1" w:rsidRPr="005D70E8">
        <w:rPr>
          <w:rFonts w:asciiTheme="minorHAnsi" w:hAnsiTheme="minorHAnsi" w:cstheme="minorHAnsi"/>
          <w:sz w:val="22"/>
          <w:szCs w:val="22"/>
        </w:rPr>
        <w:t xml:space="preserve">Failure to </w:t>
      </w:r>
      <w:r w:rsidRPr="005D70E8">
        <w:rPr>
          <w:rFonts w:asciiTheme="minorHAnsi" w:hAnsiTheme="minorHAnsi" w:cstheme="minorHAnsi"/>
          <w:sz w:val="22"/>
          <w:szCs w:val="22"/>
        </w:rPr>
        <w:t>involve sex workers in the development of policies</w:t>
      </w:r>
      <w:r w:rsidR="004102D1" w:rsidRPr="005D70E8">
        <w:rPr>
          <w:rFonts w:asciiTheme="minorHAnsi" w:hAnsiTheme="minorHAnsi" w:cstheme="minorHAnsi"/>
          <w:sz w:val="22"/>
          <w:szCs w:val="22"/>
        </w:rPr>
        <w:t xml:space="preserve"> may mean that even well-intended laws and policies may negatively impact on the safety and health of sex workers and increase their exposure to exploitation, violence and other human rights violations</w:t>
      </w:r>
      <w:r w:rsidR="005D75ED" w:rsidRPr="005D70E8">
        <w:rPr>
          <w:rFonts w:asciiTheme="minorHAnsi" w:hAnsiTheme="minorHAnsi" w:cstheme="minorHAnsi"/>
          <w:sz w:val="22"/>
          <w:szCs w:val="22"/>
        </w:rPr>
        <w:t>.</w:t>
      </w:r>
    </w:p>
    <w:p w14:paraId="3D770620" w14:textId="6B6CD7E6" w:rsidR="008A44D9" w:rsidRPr="005D70E8" w:rsidRDefault="00D82983" w:rsidP="005D70E8">
      <w:pPr>
        <w:spacing w:before="120" w:after="120" w:line="280" w:lineRule="atLeast"/>
        <w:rPr>
          <w:rFonts w:asciiTheme="minorHAnsi" w:hAnsiTheme="minorHAnsi" w:cstheme="minorHAnsi"/>
          <w:sz w:val="22"/>
          <w:lang w:val="en-GB"/>
        </w:rPr>
      </w:pPr>
      <w:r w:rsidRPr="005D70E8">
        <w:rPr>
          <w:rFonts w:asciiTheme="minorHAnsi" w:hAnsiTheme="minorHAnsi" w:cstheme="minorHAnsi"/>
          <w:sz w:val="22"/>
          <w:lang w:val="en-GB"/>
        </w:rPr>
        <w:t xml:space="preserve">Research shows that criminalisation of sex work does not lead to less prostitution but has a significant negative </w:t>
      </w:r>
      <w:r w:rsidRPr="005D70E8">
        <w:rPr>
          <w:rFonts w:asciiTheme="minorHAnsi" w:hAnsiTheme="minorHAnsi" w:cstheme="minorHAnsi"/>
          <w:sz w:val="22"/>
          <w:lang w:val="en-GB"/>
        </w:rPr>
        <w:t>impact</w:t>
      </w:r>
      <w:r w:rsidRPr="005D70E8">
        <w:rPr>
          <w:rFonts w:asciiTheme="minorHAnsi" w:hAnsiTheme="minorHAnsi" w:cstheme="minorHAnsi"/>
          <w:sz w:val="22"/>
          <w:lang w:val="en-GB"/>
        </w:rPr>
        <w:t xml:space="preserve"> on the </w:t>
      </w:r>
      <w:r w:rsidRPr="005D70E8">
        <w:rPr>
          <w:rFonts w:asciiTheme="minorHAnsi" w:hAnsiTheme="minorHAnsi" w:cstheme="minorHAnsi"/>
          <w:sz w:val="22"/>
          <w:lang w:val="en-GB"/>
        </w:rPr>
        <w:t>situation of</w:t>
      </w:r>
      <w:r w:rsidRPr="005D70E8">
        <w:rPr>
          <w:rFonts w:asciiTheme="minorHAnsi" w:hAnsiTheme="minorHAnsi" w:cstheme="minorHAnsi"/>
          <w:sz w:val="22"/>
          <w:lang w:val="en-GB"/>
        </w:rPr>
        <w:t xml:space="preserve"> sex workers</w:t>
      </w:r>
      <w:r w:rsidRPr="005D70E8">
        <w:rPr>
          <w:rFonts w:asciiTheme="minorHAnsi" w:hAnsiTheme="minorHAnsi" w:cstheme="minorHAnsi"/>
          <w:sz w:val="22"/>
          <w:lang w:val="en-GB"/>
        </w:rPr>
        <w:t xml:space="preserve">. </w:t>
      </w:r>
      <w:r w:rsidR="00875926" w:rsidRPr="005D70E8">
        <w:rPr>
          <w:rFonts w:asciiTheme="minorHAnsi" w:hAnsiTheme="minorHAnsi" w:cstheme="minorHAnsi"/>
          <w:sz w:val="22"/>
          <w:lang w:val="en-GB"/>
        </w:rPr>
        <w:t>There is an increasing body of evidence, including scientifically rigorous research, which shows that any criminalisation of sex work, including of clients, has a negative impact on the safety, health, access to services and rights of sex workers.</w:t>
      </w:r>
      <w:r w:rsidR="005D75ED" w:rsidRPr="005D70E8">
        <w:rPr>
          <w:rStyle w:val="Voetnootmarkering"/>
          <w:rFonts w:asciiTheme="minorHAnsi" w:hAnsiTheme="minorHAnsi" w:cstheme="minorHAnsi"/>
          <w:sz w:val="22"/>
          <w:lang w:val="en-GB"/>
        </w:rPr>
        <w:footnoteReference w:id="6"/>
      </w:r>
      <w:r w:rsidR="008A44D9" w:rsidRPr="005D70E8">
        <w:rPr>
          <w:rFonts w:asciiTheme="minorHAnsi" w:hAnsiTheme="minorHAnsi" w:cstheme="minorHAnsi"/>
          <w:sz w:val="22"/>
          <w:lang w:val="en-GB"/>
        </w:rPr>
        <w:t xml:space="preserve"> Research in countries that have adopted the Swedish model shows that criminalisation of clients forces sex workers to work in hidden and isolated places which makes them more vulnerable in their relationships with clients. It increases the risk of violence, robbery and STI/HIV infections and gives clients a means to force sex workers into unprotected sex or other unwanted services. It reinforces discrimination and stigmatisation, makes it more difficult </w:t>
      </w:r>
      <w:r w:rsidR="00E94C72" w:rsidRPr="005D70E8">
        <w:rPr>
          <w:rFonts w:asciiTheme="minorHAnsi" w:hAnsiTheme="minorHAnsi" w:cstheme="minorHAnsi"/>
          <w:sz w:val="22"/>
          <w:lang w:val="en-GB"/>
        </w:rPr>
        <w:t xml:space="preserve">for sex workers </w:t>
      </w:r>
      <w:r w:rsidR="008A44D9" w:rsidRPr="005D70E8">
        <w:rPr>
          <w:rFonts w:asciiTheme="minorHAnsi" w:hAnsiTheme="minorHAnsi" w:cstheme="minorHAnsi"/>
          <w:sz w:val="22"/>
          <w:lang w:val="en-GB"/>
        </w:rPr>
        <w:t xml:space="preserve">to report or seek police assistance in cases of coercion or violence, and limits </w:t>
      </w:r>
      <w:r w:rsidR="00E94C72" w:rsidRPr="005D70E8">
        <w:rPr>
          <w:rFonts w:asciiTheme="minorHAnsi" w:hAnsiTheme="minorHAnsi" w:cstheme="minorHAnsi"/>
          <w:sz w:val="22"/>
          <w:lang w:val="en-GB"/>
        </w:rPr>
        <w:t>their</w:t>
      </w:r>
      <w:r w:rsidR="008A44D9" w:rsidRPr="005D70E8">
        <w:rPr>
          <w:rFonts w:asciiTheme="minorHAnsi" w:hAnsiTheme="minorHAnsi" w:cstheme="minorHAnsi"/>
          <w:sz w:val="22"/>
          <w:lang w:val="en-GB"/>
        </w:rPr>
        <w:t xml:space="preserve"> access to prevention and care.</w:t>
      </w:r>
      <w:r w:rsidR="005D75ED" w:rsidRPr="005D70E8">
        <w:rPr>
          <w:rStyle w:val="Voetnootmarkering"/>
          <w:rFonts w:asciiTheme="minorHAnsi" w:hAnsiTheme="minorHAnsi" w:cstheme="minorHAnsi"/>
          <w:sz w:val="22"/>
          <w:lang w:val="en-GB"/>
        </w:rPr>
        <w:footnoteReference w:id="7"/>
      </w:r>
      <w:r w:rsidR="008A44D9" w:rsidRPr="005D70E8">
        <w:rPr>
          <w:rFonts w:asciiTheme="minorHAnsi" w:hAnsiTheme="minorHAnsi" w:cstheme="minorHAnsi"/>
          <w:sz w:val="22"/>
          <w:lang w:val="en-GB"/>
        </w:rPr>
        <w:t xml:space="preserve">  </w:t>
      </w:r>
      <w:r w:rsidR="0092476A" w:rsidRPr="005D70E8">
        <w:rPr>
          <w:rFonts w:asciiTheme="minorHAnsi" w:hAnsiTheme="minorHAnsi" w:cstheme="minorHAnsi"/>
          <w:sz w:val="22"/>
          <w:lang w:val="en-GB"/>
        </w:rPr>
        <w:t xml:space="preserve">As you </w:t>
      </w:r>
      <w:r w:rsidR="00E94C72" w:rsidRPr="005D70E8">
        <w:rPr>
          <w:rFonts w:asciiTheme="minorHAnsi" w:hAnsiTheme="minorHAnsi" w:cstheme="minorHAnsi"/>
          <w:sz w:val="22"/>
          <w:lang w:val="en-GB"/>
        </w:rPr>
        <w:t>are aware</w:t>
      </w:r>
      <w:r w:rsidR="0092476A" w:rsidRPr="005D70E8">
        <w:rPr>
          <w:rFonts w:asciiTheme="minorHAnsi" w:hAnsiTheme="minorHAnsi" w:cstheme="minorHAnsi"/>
          <w:sz w:val="22"/>
          <w:lang w:val="en-GB"/>
        </w:rPr>
        <w:t xml:space="preserve">, the ECHR in April 2023 reconfirmed the admissibility of a case brought </w:t>
      </w:r>
      <w:r w:rsidR="008A44D9" w:rsidRPr="005D70E8">
        <w:rPr>
          <w:rFonts w:asciiTheme="minorHAnsi" w:hAnsiTheme="minorHAnsi" w:cstheme="minorHAnsi"/>
          <w:sz w:val="22"/>
          <w:lang w:val="en-GB"/>
        </w:rPr>
        <w:t xml:space="preserve">against the French state </w:t>
      </w:r>
      <w:r w:rsidR="0092476A" w:rsidRPr="005D70E8">
        <w:rPr>
          <w:rFonts w:asciiTheme="minorHAnsi" w:hAnsiTheme="minorHAnsi" w:cstheme="minorHAnsi"/>
          <w:sz w:val="22"/>
          <w:lang w:val="en-GB"/>
        </w:rPr>
        <w:t xml:space="preserve">by 261 sex workers and 19 </w:t>
      </w:r>
      <w:r w:rsidR="0092476A" w:rsidRPr="005D70E8">
        <w:rPr>
          <w:rFonts w:asciiTheme="minorHAnsi" w:hAnsiTheme="minorHAnsi" w:cstheme="minorHAnsi"/>
          <w:sz w:val="22"/>
          <w:lang w:val="en-GB"/>
        </w:rPr>
        <w:t>sex worker, health and feminist organisations</w:t>
      </w:r>
      <w:r w:rsidR="0092476A" w:rsidRPr="005D70E8">
        <w:rPr>
          <w:rFonts w:asciiTheme="minorHAnsi" w:hAnsiTheme="minorHAnsi" w:cstheme="minorHAnsi"/>
          <w:sz w:val="22"/>
          <w:lang w:val="en-GB"/>
        </w:rPr>
        <w:t xml:space="preserve"> against the criminalisation of clients of sex workers, </w:t>
      </w:r>
      <w:r w:rsidR="00E94C72" w:rsidRPr="005D70E8">
        <w:rPr>
          <w:rFonts w:asciiTheme="minorHAnsi" w:hAnsiTheme="minorHAnsi" w:cstheme="minorHAnsi"/>
          <w:sz w:val="22"/>
          <w:lang w:val="en-GB"/>
        </w:rPr>
        <w:t xml:space="preserve">ruling </w:t>
      </w:r>
      <w:r w:rsidR="0092476A" w:rsidRPr="005D70E8">
        <w:rPr>
          <w:rFonts w:asciiTheme="minorHAnsi" w:hAnsiTheme="minorHAnsi" w:cstheme="minorHAnsi"/>
          <w:sz w:val="22"/>
          <w:lang w:val="en-GB"/>
        </w:rPr>
        <w:t>that the</w:t>
      </w:r>
      <w:r w:rsidR="00E94C72" w:rsidRPr="005D70E8">
        <w:rPr>
          <w:rFonts w:asciiTheme="minorHAnsi" w:hAnsiTheme="minorHAnsi" w:cstheme="minorHAnsi"/>
          <w:sz w:val="22"/>
          <w:lang w:val="en-GB"/>
        </w:rPr>
        <w:t xml:space="preserve"> applicants had made it sufficiently plausible </w:t>
      </w:r>
      <w:r w:rsidR="0092476A" w:rsidRPr="005D70E8">
        <w:rPr>
          <w:rFonts w:asciiTheme="minorHAnsi" w:hAnsiTheme="minorHAnsi" w:cstheme="minorHAnsi"/>
          <w:sz w:val="22"/>
          <w:lang w:val="en-GB"/>
        </w:rPr>
        <w:t xml:space="preserve">that </w:t>
      </w:r>
      <w:r w:rsidR="00E94C72" w:rsidRPr="005D70E8">
        <w:rPr>
          <w:rFonts w:asciiTheme="minorHAnsi" w:hAnsiTheme="minorHAnsi" w:cstheme="minorHAnsi"/>
          <w:sz w:val="22"/>
          <w:lang w:val="en-GB"/>
        </w:rPr>
        <w:t>the criminalisation</w:t>
      </w:r>
      <w:r w:rsidR="0092476A" w:rsidRPr="005D70E8">
        <w:rPr>
          <w:rFonts w:asciiTheme="minorHAnsi" w:hAnsiTheme="minorHAnsi" w:cstheme="minorHAnsi"/>
          <w:sz w:val="22"/>
          <w:lang w:val="en-GB"/>
        </w:rPr>
        <w:t xml:space="preserve"> </w:t>
      </w:r>
      <w:r w:rsidR="00E94C72" w:rsidRPr="005D70E8">
        <w:rPr>
          <w:rFonts w:asciiTheme="minorHAnsi" w:hAnsiTheme="minorHAnsi" w:cstheme="minorHAnsi"/>
          <w:sz w:val="22"/>
          <w:lang w:val="en-GB"/>
        </w:rPr>
        <w:t xml:space="preserve">of clients </w:t>
      </w:r>
      <w:r w:rsidR="008A44D9" w:rsidRPr="005D70E8">
        <w:rPr>
          <w:rFonts w:asciiTheme="minorHAnsi" w:hAnsiTheme="minorHAnsi" w:cstheme="minorHAnsi"/>
          <w:sz w:val="22"/>
          <w:lang w:val="en-GB"/>
        </w:rPr>
        <w:t>violate</w:t>
      </w:r>
      <w:r w:rsidR="0092476A" w:rsidRPr="005D70E8">
        <w:rPr>
          <w:rFonts w:asciiTheme="minorHAnsi" w:hAnsiTheme="minorHAnsi" w:cstheme="minorHAnsi"/>
          <w:sz w:val="22"/>
          <w:lang w:val="en-GB"/>
        </w:rPr>
        <w:t>d</w:t>
      </w:r>
      <w:r w:rsidR="008A44D9" w:rsidRPr="005D70E8">
        <w:rPr>
          <w:rFonts w:asciiTheme="minorHAnsi" w:hAnsiTheme="minorHAnsi" w:cstheme="minorHAnsi"/>
          <w:sz w:val="22"/>
          <w:lang w:val="en-GB"/>
        </w:rPr>
        <w:t xml:space="preserve"> Articles 2 (right to life), 3 (prohibition of inhuman and degrading treatment) and 8 (right to private life) of the European Human Rights Convention</w:t>
      </w:r>
      <w:r w:rsidR="005D75ED" w:rsidRPr="005D70E8">
        <w:rPr>
          <w:rFonts w:asciiTheme="minorHAnsi" w:hAnsiTheme="minorHAnsi" w:cstheme="minorHAnsi"/>
          <w:sz w:val="22"/>
          <w:lang w:val="en-GB"/>
        </w:rPr>
        <w:t xml:space="preserve"> (</w:t>
      </w:r>
      <w:r w:rsidR="005D75ED" w:rsidRPr="005D70E8">
        <w:rPr>
          <w:rFonts w:asciiTheme="minorHAnsi" w:hAnsiTheme="minorHAnsi" w:cstheme="minorHAnsi"/>
          <w:noProof/>
          <w:sz w:val="22"/>
          <w:lang w:val="en-GB"/>
        </w:rPr>
        <w:t xml:space="preserve">ECHR (2021). </w:t>
      </w:r>
      <w:r w:rsidR="005D75ED" w:rsidRPr="005D70E8">
        <w:rPr>
          <w:rFonts w:asciiTheme="minorHAnsi" w:hAnsiTheme="minorHAnsi" w:cstheme="minorHAnsi"/>
          <w:i/>
          <w:iCs/>
          <w:noProof/>
          <w:sz w:val="22"/>
          <w:lang w:val="en-GB"/>
        </w:rPr>
        <w:t>M. A. and Others v. France. Appl. No. 63664/19, 64450/19, 24387/20 et al.</w:t>
      </w:r>
      <w:r w:rsidR="005D75ED" w:rsidRPr="005D70E8">
        <w:rPr>
          <w:rFonts w:asciiTheme="minorHAnsi" w:hAnsiTheme="minorHAnsi" w:cstheme="minorHAnsi"/>
          <w:noProof/>
          <w:sz w:val="22"/>
          <w:lang w:val="en-GB"/>
        </w:rPr>
        <w:t>)</w:t>
      </w:r>
      <w:r w:rsidR="008A44D9" w:rsidRPr="005D70E8">
        <w:rPr>
          <w:rFonts w:asciiTheme="minorHAnsi" w:hAnsiTheme="minorHAnsi" w:cstheme="minorHAnsi"/>
          <w:sz w:val="22"/>
          <w:lang w:val="en-GB"/>
        </w:rPr>
        <w:t xml:space="preserve">. </w:t>
      </w:r>
    </w:p>
    <w:p w14:paraId="1A32CF45" w14:textId="7CFE494A" w:rsidR="008A44D9" w:rsidRPr="005D70E8" w:rsidRDefault="0092476A" w:rsidP="005D70E8">
      <w:pPr>
        <w:widowControl w:val="0"/>
        <w:spacing w:before="120" w:after="120" w:line="280" w:lineRule="atLeast"/>
        <w:jc w:val="both"/>
        <w:rPr>
          <w:rFonts w:asciiTheme="minorHAnsi" w:hAnsiTheme="minorHAnsi" w:cstheme="minorHAnsi"/>
          <w:sz w:val="22"/>
          <w:lang w:val="en-GB"/>
        </w:rPr>
      </w:pPr>
      <w:r w:rsidRPr="005D70E8">
        <w:rPr>
          <w:rFonts w:asciiTheme="minorHAnsi" w:hAnsiTheme="minorHAnsi" w:cstheme="minorHAnsi"/>
          <w:sz w:val="22"/>
          <w:lang w:val="en-GB"/>
        </w:rPr>
        <w:t xml:space="preserve">Criminalisation of </w:t>
      </w:r>
      <w:r w:rsidR="008A44D9" w:rsidRPr="005D70E8">
        <w:rPr>
          <w:rFonts w:asciiTheme="minorHAnsi" w:hAnsiTheme="minorHAnsi" w:cstheme="minorHAnsi"/>
          <w:sz w:val="22"/>
          <w:lang w:val="en-GB"/>
        </w:rPr>
        <w:t xml:space="preserve">sex work is also diametrically opposed to </w:t>
      </w:r>
      <w:r w:rsidR="00E94C72" w:rsidRPr="005D70E8">
        <w:rPr>
          <w:rFonts w:asciiTheme="minorHAnsi" w:hAnsiTheme="minorHAnsi" w:cstheme="minorHAnsi"/>
          <w:sz w:val="22"/>
          <w:lang w:val="en-GB"/>
        </w:rPr>
        <w:t xml:space="preserve">the call of </w:t>
      </w:r>
      <w:r w:rsidR="008A44D9" w:rsidRPr="005D70E8">
        <w:rPr>
          <w:rFonts w:asciiTheme="minorHAnsi" w:hAnsiTheme="minorHAnsi" w:cstheme="minorHAnsi"/>
          <w:sz w:val="22"/>
          <w:lang w:val="en-GB"/>
        </w:rPr>
        <w:t xml:space="preserve">sex workers </w:t>
      </w:r>
      <w:r w:rsidR="004102D1" w:rsidRPr="005D70E8">
        <w:rPr>
          <w:rFonts w:asciiTheme="minorHAnsi" w:hAnsiTheme="minorHAnsi" w:cstheme="minorHAnsi"/>
          <w:sz w:val="22"/>
          <w:lang w:val="en-GB"/>
        </w:rPr>
        <w:t>for</w:t>
      </w:r>
      <w:r w:rsidRPr="005D70E8">
        <w:rPr>
          <w:rFonts w:asciiTheme="minorHAnsi" w:hAnsiTheme="minorHAnsi" w:cstheme="minorHAnsi"/>
          <w:sz w:val="22"/>
          <w:lang w:val="en-GB"/>
        </w:rPr>
        <w:t xml:space="preserve"> the decriminalisation of adult consensual sex work</w:t>
      </w:r>
      <w:r w:rsidR="004102D1" w:rsidRPr="005D70E8">
        <w:rPr>
          <w:rFonts w:asciiTheme="minorHAnsi" w:hAnsiTheme="minorHAnsi" w:cstheme="minorHAnsi"/>
          <w:sz w:val="22"/>
          <w:lang w:val="en-GB"/>
        </w:rPr>
        <w:t xml:space="preserve"> and policies that </w:t>
      </w:r>
      <w:r w:rsidR="008A44D9" w:rsidRPr="005D70E8">
        <w:rPr>
          <w:rFonts w:asciiTheme="minorHAnsi" w:hAnsiTheme="minorHAnsi" w:cstheme="minorHAnsi"/>
          <w:sz w:val="22"/>
          <w:lang w:val="en-GB"/>
        </w:rPr>
        <w:t xml:space="preserve">focus on destigmatisation and non-discrimination of sex workers, </w:t>
      </w:r>
      <w:r w:rsidR="00E94C72" w:rsidRPr="005D70E8">
        <w:rPr>
          <w:rFonts w:asciiTheme="minorHAnsi" w:hAnsiTheme="minorHAnsi" w:cstheme="minorHAnsi"/>
          <w:sz w:val="22"/>
          <w:lang w:val="en-GB"/>
        </w:rPr>
        <w:t xml:space="preserve">and </w:t>
      </w:r>
      <w:r w:rsidR="008A44D9" w:rsidRPr="005D70E8">
        <w:rPr>
          <w:rFonts w:asciiTheme="minorHAnsi" w:hAnsiTheme="minorHAnsi" w:cstheme="minorHAnsi"/>
          <w:sz w:val="22"/>
          <w:lang w:val="en-GB"/>
        </w:rPr>
        <w:t xml:space="preserve">in which sex workers have the same protections, rights and obligations as </w:t>
      </w:r>
      <w:r w:rsidRPr="005D70E8">
        <w:rPr>
          <w:rFonts w:asciiTheme="minorHAnsi" w:hAnsiTheme="minorHAnsi" w:cstheme="minorHAnsi"/>
          <w:sz w:val="22"/>
          <w:lang w:val="en-GB"/>
        </w:rPr>
        <w:t xml:space="preserve">other </w:t>
      </w:r>
      <w:r w:rsidR="008A44D9" w:rsidRPr="005D70E8">
        <w:rPr>
          <w:rFonts w:asciiTheme="minorHAnsi" w:hAnsiTheme="minorHAnsi" w:cstheme="minorHAnsi"/>
          <w:sz w:val="22"/>
          <w:lang w:val="en-GB"/>
        </w:rPr>
        <w:t>people</w:t>
      </w:r>
      <w:r w:rsidRPr="005D70E8">
        <w:rPr>
          <w:rFonts w:asciiTheme="minorHAnsi" w:hAnsiTheme="minorHAnsi" w:cstheme="minorHAnsi"/>
          <w:sz w:val="22"/>
          <w:lang w:val="en-GB"/>
        </w:rPr>
        <w:t>.</w:t>
      </w:r>
      <w:r w:rsidR="008A44D9" w:rsidRPr="005D70E8">
        <w:rPr>
          <w:rFonts w:asciiTheme="minorHAnsi" w:hAnsiTheme="minorHAnsi" w:cstheme="minorHAnsi"/>
          <w:sz w:val="22"/>
          <w:lang w:val="en-GB"/>
        </w:rPr>
        <w:t xml:space="preserve">  </w:t>
      </w:r>
    </w:p>
    <w:p w14:paraId="2A465525" w14:textId="23E9C596" w:rsidR="008A44D9" w:rsidRPr="005D70E8" w:rsidRDefault="004504EB" w:rsidP="005D70E8">
      <w:pPr>
        <w:widowControl w:val="0"/>
        <w:spacing w:before="120" w:after="120" w:line="280" w:lineRule="atLeast"/>
        <w:jc w:val="both"/>
        <w:rPr>
          <w:rFonts w:asciiTheme="minorHAnsi" w:hAnsiTheme="minorHAnsi" w:cstheme="minorHAnsi"/>
          <w:sz w:val="22"/>
          <w:lang w:val="en-GB"/>
        </w:rPr>
      </w:pPr>
      <w:r w:rsidRPr="005D70E8">
        <w:rPr>
          <w:rFonts w:asciiTheme="minorHAnsi" w:hAnsiTheme="minorHAnsi" w:cstheme="minorHAnsi"/>
          <w:sz w:val="22"/>
          <w:lang w:val="en-GB"/>
        </w:rPr>
        <w:t xml:space="preserve">The call for decriminalisation of </w:t>
      </w:r>
      <w:r w:rsidR="00364146" w:rsidRPr="005D70E8">
        <w:rPr>
          <w:rFonts w:asciiTheme="minorHAnsi" w:hAnsiTheme="minorHAnsi" w:cstheme="minorHAnsi"/>
          <w:sz w:val="22"/>
          <w:lang w:val="en-GB"/>
        </w:rPr>
        <w:t xml:space="preserve">adult consensual </w:t>
      </w:r>
      <w:r w:rsidRPr="005D70E8">
        <w:rPr>
          <w:rFonts w:asciiTheme="minorHAnsi" w:hAnsiTheme="minorHAnsi" w:cstheme="minorHAnsi"/>
          <w:sz w:val="22"/>
          <w:lang w:val="en-GB"/>
        </w:rPr>
        <w:t xml:space="preserve">sex work is </w:t>
      </w:r>
      <w:r w:rsidR="0092476A" w:rsidRPr="005D70E8">
        <w:rPr>
          <w:rFonts w:asciiTheme="minorHAnsi" w:hAnsiTheme="minorHAnsi" w:cstheme="minorHAnsi"/>
          <w:sz w:val="22"/>
          <w:lang w:val="en-GB"/>
        </w:rPr>
        <w:t>supported by h</w:t>
      </w:r>
      <w:r w:rsidR="008A44D9" w:rsidRPr="005D70E8">
        <w:rPr>
          <w:rFonts w:asciiTheme="minorHAnsi" w:hAnsiTheme="minorHAnsi" w:cstheme="minorHAnsi"/>
          <w:sz w:val="22"/>
          <w:lang w:val="en-GB"/>
        </w:rPr>
        <w:t xml:space="preserve">uman rights organisations such as Amnesty International and Human Rights Watch, UN agencies, (WHO), the UN Population Fund (UNFPA), and the UN Development Programme (UNDP), the Special Rapporteur on Health, the </w:t>
      </w:r>
      <w:r w:rsidRPr="005D70E8">
        <w:rPr>
          <w:rFonts w:asciiTheme="minorHAnsi" w:hAnsiTheme="minorHAnsi" w:cstheme="minorHAnsi"/>
          <w:sz w:val="22"/>
          <w:lang w:val="en-GB"/>
        </w:rPr>
        <w:t xml:space="preserve">UN </w:t>
      </w:r>
      <w:r w:rsidR="008A44D9" w:rsidRPr="005D70E8">
        <w:rPr>
          <w:rFonts w:asciiTheme="minorHAnsi" w:hAnsiTheme="minorHAnsi" w:cstheme="minorHAnsi"/>
          <w:sz w:val="22"/>
          <w:lang w:val="en-GB"/>
        </w:rPr>
        <w:t>Working Group on Discrimination against Women and Girls, anti-trafficking organisations such as the Global Alliance Against Traffic in Women (GAATW)</w:t>
      </w:r>
      <w:r w:rsidR="0092476A" w:rsidRPr="005D70E8">
        <w:rPr>
          <w:rFonts w:asciiTheme="minorHAnsi" w:hAnsiTheme="minorHAnsi" w:cstheme="minorHAnsi"/>
          <w:sz w:val="22"/>
          <w:lang w:val="en-GB"/>
        </w:rPr>
        <w:t xml:space="preserve"> and La Strada International</w:t>
      </w:r>
      <w:r w:rsidR="00364146" w:rsidRPr="005D70E8">
        <w:rPr>
          <w:rFonts w:asciiTheme="minorHAnsi" w:hAnsiTheme="minorHAnsi" w:cstheme="minorHAnsi"/>
          <w:sz w:val="22"/>
          <w:lang w:val="en-GB"/>
        </w:rPr>
        <w:t xml:space="preserve"> (LSI)</w:t>
      </w:r>
      <w:r w:rsidR="008A44D9" w:rsidRPr="005D70E8">
        <w:rPr>
          <w:rFonts w:asciiTheme="minorHAnsi" w:hAnsiTheme="minorHAnsi" w:cstheme="minorHAnsi"/>
          <w:sz w:val="22"/>
          <w:lang w:val="en-GB"/>
        </w:rPr>
        <w:t>, and the International Commission of Jurists (ICJ)</w:t>
      </w:r>
      <w:r w:rsidRPr="005D70E8">
        <w:rPr>
          <w:rFonts w:asciiTheme="minorHAnsi" w:hAnsiTheme="minorHAnsi" w:cstheme="minorHAnsi"/>
          <w:sz w:val="22"/>
          <w:lang w:val="en-GB"/>
        </w:rPr>
        <w:t>, wh</w:t>
      </w:r>
      <w:r w:rsidR="004102D1" w:rsidRPr="005D70E8">
        <w:rPr>
          <w:rFonts w:asciiTheme="minorHAnsi" w:hAnsiTheme="minorHAnsi" w:cstheme="minorHAnsi"/>
          <w:sz w:val="22"/>
          <w:lang w:val="en-GB"/>
        </w:rPr>
        <w:t>ich</w:t>
      </w:r>
      <w:r w:rsidR="008A44D9" w:rsidRPr="005D70E8">
        <w:rPr>
          <w:rFonts w:asciiTheme="minorHAnsi" w:hAnsiTheme="minorHAnsi" w:cstheme="minorHAnsi"/>
          <w:sz w:val="22"/>
          <w:lang w:val="en-GB"/>
        </w:rPr>
        <w:t xml:space="preserve"> see decriminalisation of the sex industry as the most </w:t>
      </w:r>
      <w:r w:rsidR="008A44D9" w:rsidRPr="005D70E8">
        <w:rPr>
          <w:rFonts w:asciiTheme="minorHAnsi" w:hAnsiTheme="minorHAnsi" w:cstheme="minorHAnsi"/>
          <w:sz w:val="22"/>
          <w:lang w:val="en-GB"/>
        </w:rPr>
        <w:lastRenderedPageBreak/>
        <w:t>effective approach to combat abuses and exploitation such as human trafficking and to safeguard the human rights of sex workers.</w:t>
      </w:r>
      <w:r w:rsidR="005D75ED" w:rsidRPr="005D70E8">
        <w:rPr>
          <w:rStyle w:val="Voetnootmarkering"/>
          <w:rFonts w:asciiTheme="minorHAnsi" w:hAnsiTheme="minorHAnsi" w:cstheme="minorHAnsi"/>
          <w:sz w:val="22"/>
          <w:lang w:val="en-GB"/>
        </w:rPr>
        <w:footnoteReference w:id="8"/>
      </w:r>
      <w:r w:rsidRPr="005D70E8">
        <w:rPr>
          <w:rFonts w:asciiTheme="minorHAnsi" w:hAnsiTheme="minorHAnsi" w:cstheme="minorHAnsi"/>
          <w:sz w:val="22"/>
          <w:lang w:val="en-GB"/>
        </w:rPr>
        <w:t xml:space="preserve"> </w:t>
      </w:r>
      <w:r w:rsidR="008A44D9" w:rsidRPr="005D70E8">
        <w:rPr>
          <w:rFonts w:asciiTheme="minorHAnsi" w:hAnsiTheme="minorHAnsi" w:cstheme="minorHAnsi"/>
          <w:sz w:val="22"/>
          <w:lang w:val="en-GB"/>
        </w:rPr>
        <w:t>According to</w:t>
      </w:r>
      <w:r w:rsidR="004102D1" w:rsidRPr="005D70E8">
        <w:rPr>
          <w:rFonts w:asciiTheme="minorHAnsi" w:hAnsiTheme="minorHAnsi" w:cstheme="minorHAnsi"/>
          <w:sz w:val="22"/>
          <w:lang w:val="en-GB"/>
        </w:rPr>
        <w:t xml:space="preserve"> the</w:t>
      </w:r>
      <w:r w:rsidR="008A44D9" w:rsidRPr="005D70E8">
        <w:rPr>
          <w:rFonts w:asciiTheme="minorHAnsi" w:hAnsiTheme="minorHAnsi" w:cstheme="minorHAnsi"/>
          <w:sz w:val="22"/>
          <w:lang w:val="en-GB"/>
        </w:rPr>
        <w:t xml:space="preserve"> WHO, decriminalisation of sex work could lead to a 46% reduction in the number of new HIV infections over </w:t>
      </w:r>
      <w:r w:rsidR="00364146" w:rsidRPr="005D70E8">
        <w:rPr>
          <w:rFonts w:asciiTheme="minorHAnsi" w:hAnsiTheme="minorHAnsi" w:cstheme="minorHAnsi"/>
          <w:sz w:val="22"/>
          <w:lang w:val="en-GB"/>
        </w:rPr>
        <w:t xml:space="preserve">a period of </w:t>
      </w:r>
      <w:r w:rsidR="008A44D9" w:rsidRPr="005D70E8">
        <w:rPr>
          <w:rFonts w:asciiTheme="minorHAnsi" w:hAnsiTheme="minorHAnsi" w:cstheme="minorHAnsi"/>
          <w:sz w:val="22"/>
          <w:lang w:val="en-GB"/>
        </w:rPr>
        <w:t>10 years. Eliminating violence against sex workers could lead to a 20% reduction in new HIV infections.</w:t>
      </w:r>
      <w:r w:rsidR="005D75ED" w:rsidRPr="005D70E8">
        <w:rPr>
          <w:rStyle w:val="Voetnootmarkering"/>
          <w:rFonts w:asciiTheme="minorHAnsi" w:hAnsiTheme="minorHAnsi" w:cstheme="minorHAnsi"/>
          <w:sz w:val="22"/>
          <w:lang w:val="en-GB"/>
        </w:rPr>
        <w:footnoteReference w:id="9"/>
      </w:r>
      <w:r w:rsidR="008A44D9" w:rsidRPr="005D70E8">
        <w:rPr>
          <w:rFonts w:asciiTheme="minorHAnsi" w:hAnsiTheme="minorHAnsi" w:cstheme="minorHAnsi"/>
          <w:sz w:val="22"/>
          <w:lang w:val="en-GB"/>
        </w:rPr>
        <w:t xml:space="preserve">  </w:t>
      </w:r>
    </w:p>
    <w:p w14:paraId="0A1CE48B" w14:textId="0055BC2A" w:rsidR="00BB1F85" w:rsidRPr="005D70E8" w:rsidRDefault="00E94C72" w:rsidP="005D70E8">
      <w:pPr>
        <w:pStyle w:val="Body"/>
        <w:widowControl w:val="0"/>
        <w:spacing w:before="120" w:after="120" w:line="280" w:lineRule="atLeast"/>
        <w:jc w:val="both"/>
        <w:rPr>
          <w:rFonts w:asciiTheme="minorHAnsi" w:hAnsiTheme="minorHAnsi" w:cstheme="minorHAnsi"/>
          <w:sz w:val="22"/>
          <w:szCs w:val="22"/>
        </w:rPr>
      </w:pPr>
      <w:r w:rsidRPr="005D70E8">
        <w:rPr>
          <w:rFonts w:asciiTheme="minorHAnsi" w:hAnsiTheme="minorHAnsi" w:cstheme="minorHAnsi"/>
          <w:sz w:val="22"/>
          <w:szCs w:val="22"/>
        </w:rPr>
        <w:t xml:space="preserve">Also recently, the ECHR stipulated in its ruling in the case of </w:t>
      </w:r>
      <w:proofErr w:type="spellStart"/>
      <w:r w:rsidRPr="005D70E8">
        <w:rPr>
          <w:rFonts w:asciiTheme="minorHAnsi" w:hAnsiTheme="minorHAnsi" w:cstheme="minorHAnsi"/>
          <w:i/>
          <w:iCs/>
          <w:sz w:val="22"/>
          <w:szCs w:val="22"/>
        </w:rPr>
        <w:t>Krachunova</w:t>
      </w:r>
      <w:proofErr w:type="spellEnd"/>
      <w:r w:rsidRPr="005D70E8">
        <w:rPr>
          <w:rFonts w:asciiTheme="minorHAnsi" w:hAnsiTheme="minorHAnsi" w:cstheme="minorHAnsi"/>
          <w:i/>
          <w:iCs/>
          <w:sz w:val="22"/>
          <w:szCs w:val="22"/>
        </w:rPr>
        <w:t xml:space="preserve"> v. Bulgaria</w:t>
      </w:r>
      <w:r w:rsidRPr="005D70E8">
        <w:rPr>
          <w:rFonts w:asciiTheme="minorHAnsi" w:hAnsiTheme="minorHAnsi" w:cstheme="minorHAnsi"/>
          <w:sz w:val="22"/>
          <w:szCs w:val="22"/>
        </w:rPr>
        <w:t xml:space="preserve"> (</w:t>
      </w:r>
      <w:r w:rsidRPr="005D70E8">
        <w:rPr>
          <w:rFonts w:asciiTheme="minorHAnsi" w:hAnsiTheme="minorHAnsi" w:cstheme="minorHAnsi"/>
          <w:sz w:val="22"/>
          <w:szCs w:val="22"/>
          <w:lang w:val="en-GB"/>
        </w:rPr>
        <w:t xml:space="preserve">appl. 18269/18, </w:t>
      </w:r>
      <w:r w:rsidRPr="005D70E8">
        <w:rPr>
          <w:rFonts w:asciiTheme="minorHAnsi" w:hAnsiTheme="minorHAnsi" w:cstheme="minorHAnsi"/>
          <w:color w:val="161616"/>
          <w:sz w:val="22"/>
          <w:szCs w:val="22"/>
          <w:lang w:val="en-GB"/>
        </w:rPr>
        <w:t> </w:t>
      </w:r>
      <w:hyperlink r:id="rId10" w:history="1">
        <w:r w:rsidRPr="005D70E8">
          <w:rPr>
            <w:rStyle w:val="Hyperlink"/>
            <w:rFonts w:asciiTheme="minorHAnsi" w:hAnsiTheme="minorHAnsi" w:cstheme="minorHAnsi"/>
            <w:sz w:val="22"/>
            <w:szCs w:val="22"/>
            <w:lang w:val="en-GB"/>
          </w:rPr>
          <w:t>https://hudoc.echr.coe.int/eng-press?i=003-7811893-10838069</w:t>
        </w:r>
      </w:hyperlink>
      <w:r w:rsidRPr="005D70E8">
        <w:rPr>
          <w:rFonts w:asciiTheme="minorHAnsi" w:hAnsiTheme="minorHAnsi" w:cstheme="minorHAnsi"/>
          <w:sz w:val="22"/>
          <w:szCs w:val="22"/>
          <w:lang w:val="en-GB"/>
        </w:rPr>
        <w:t>)</w:t>
      </w:r>
      <w:r w:rsidRPr="005D70E8">
        <w:rPr>
          <w:rFonts w:asciiTheme="minorHAnsi" w:hAnsiTheme="minorHAnsi" w:cstheme="minorHAnsi"/>
          <w:sz w:val="22"/>
          <w:szCs w:val="22"/>
          <w:lang w:val="en-GB"/>
        </w:rPr>
        <w:t xml:space="preserve"> that </w:t>
      </w:r>
      <w:r w:rsidRPr="005D70E8">
        <w:rPr>
          <w:rFonts w:asciiTheme="minorHAnsi" w:hAnsiTheme="minorHAnsi" w:cstheme="minorHAnsi"/>
          <w:sz w:val="22"/>
          <w:szCs w:val="22"/>
          <w:lang w:val="en-GB"/>
        </w:rPr>
        <w:t>human rights should be the main criterion in designing policies on prostitution and trafficking.</w:t>
      </w:r>
    </w:p>
    <w:p w14:paraId="113D7DC0" w14:textId="77777777" w:rsidR="00357CE2" w:rsidRPr="005D70E8" w:rsidRDefault="00357CE2" w:rsidP="005D70E8">
      <w:pPr>
        <w:pStyle w:val="Body"/>
        <w:widowControl w:val="0"/>
        <w:spacing w:before="120" w:after="120" w:line="280" w:lineRule="atLeast"/>
        <w:jc w:val="both"/>
        <w:rPr>
          <w:rFonts w:asciiTheme="minorHAnsi" w:hAnsiTheme="minorHAnsi" w:cstheme="minorHAnsi"/>
          <w:b/>
          <w:bCs/>
          <w:sz w:val="22"/>
          <w:szCs w:val="22"/>
        </w:rPr>
      </w:pPr>
    </w:p>
    <w:p w14:paraId="591F4D1B" w14:textId="3E7FC8AA" w:rsidR="00357CE2" w:rsidRDefault="0086649E" w:rsidP="005D70E8">
      <w:pPr>
        <w:pStyle w:val="Body"/>
        <w:widowControl w:val="0"/>
        <w:spacing w:before="120" w:after="120" w:line="280" w:lineRule="atLeast"/>
        <w:jc w:val="both"/>
        <w:rPr>
          <w:rFonts w:asciiTheme="minorHAnsi" w:hAnsiTheme="minorHAnsi" w:cstheme="minorHAnsi"/>
          <w:sz w:val="22"/>
          <w:szCs w:val="22"/>
        </w:rPr>
      </w:pPr>
      <w:r>
        <w:rPr>
          <w:rFonts w:asciiTheme="minorHAnsi" w:hAnsiTheme="minorHAnsi" w:cstheme="minorHAnsi"/>
          <w:sz w:val="22"/>
          <w:szCs w:val="22"/>
        </w:rPr>
        <w:t xml:space="preserve">On behalf of SekswerkExpertise and the Dutch CEDAW Network </w:t>
      </w:r>
    </w:p>
    <w:p w14:paraId="5AB32493" w14:textId="15EEC97C" w:rsidR="0086649E" w:rsidRDefault="0086649E" w:rsidP="005D70E8">
      <w:pPr>
        <w:pStyle w:val="Body"/>
        <w:widowControl w:val="0"/>
        <w:spacing w:before="120" w:after="120" w:line="280" w:lineRule="atLeast"/>
        <w:jc w:val="both"/>
        <w:rPr>
          <w:rFonts w:asciiTheme="minorHAnsi" w:hAnsiTheme="minorHAnsi" w:cstheme="minorHAnsi"/>
          <w:sz w:val="22"/>
          <w:szCs w:val="22"/>
        </w:rPr>
      </w:pPr>
      <w:r>
        <w:rPr>
          <w:rFonts w:asciiTheme="minorHAnsi" w:hAnsiTheme="minorHAnsi" w:cstheme="minorHAnsi"/>
          <w:noProof/>
          <w:sz w:val="22"/>
          <w:szCs w:val="22"/>
          <w14:ligatures w14:val="standardContextual"/>
        </w:rPr>
        <w:drawing>
          <wp:inline distT="0" distB="0" distL="0" distR="0" wp14:anchorId="04B45E03" wp14:editId="44608B0D">
            <wp:extent cx="1655099" cy="1021983"/>
            <wp:effectExtent l="0" t="0" r="2540" b="6985"/>
            <wp:docPr id="15287249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72495" name="Afbeelding 1528724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7982" cy="1029938"/>
                    </a:xfrm>
                    <a:prstGeom prst="rect">
                      <a:avLst/>
                    </a:prstGeom>
                  </pic:spPr>
                </pic:pic>
              </a:graphicData>
            </a:graphic>
          </wp:inline>
        </w:drawing>
      </w:r>
    </w:p>
    <w:p w14:paraId="7C205220" w14:textId="77777777" w:rsidR="0086649E" w:rsidRDefault="0086649E" w:rsidP="005D70E8">
      <w:pPr>
        <w:pStyle w:val="Body"/>
        <w:widowControl w:val="0"/>
        <w:spacing w:before="120" w:after="120" w:line="280" w:lineRule="atLeast"/>
        <w:jc w:val="both"/>
        <w:rPr>
          <w:rFonts w:asciiTheme="minorHAnsi" w:hAnsiTheme="minorHAnsi" w:cstheme="minorHAnsi"/>
          <w:sz w:val="22"/>
          <w:szCs w:val="22"/>
        </w:rPr>
      </w:pPr>
    </w:p>
    <w:p w14:paraId="46221380" w14:textId="258F0E32" w:rsidR="0086649E" w:rsidRDefault="0086649E" w:rsidP="005D70E8">
      <w:pPr>
        <w:pStyle w:val="Body"/>
        <w:widowControl w:val="0"/>
        <w:spacing w:before="120" w:after="120" w:line="280" w:lineRule="atLeast"/>
        <w:jc w:val="both"/>
        <w:rPr>
          <w:rFonts w:asciiTheme="minorHAnsi" w:hAnsiTheme="minorHAnsi" w:cstheme="minorHAnsi"/>
          <w:sz w:val="22"/>
          <w:szCs w:val="22"/>
        </w:rPr>
      </w:pPr>
      <w:r>
        <w:rPr>
          <w:rFonts w:asciiTheme="minorHAnsi" w:hAnsiTheme="minorHAnsi" w:cstheme="minorHAnsi"/>
          <w:sz w:val="22"/>
          <w:szCs w:val="22"/>
        </w:rPr>
        <w:t>Marjan Wijers</w:t>
      </w:r>
    </w:p>
    <w:p w14:paraId="26690281" w14:textId="3AC38271" w:rsidR="0086649E" w:rsidRDefault="0086649E" w:rsidP="005D70E8">
      <w:pPr>
        <w:pStyle w:val="Body"/>
        <w:widowControl w:val="0"/>
        <w:spacing w:before="120" w:after="120" w:line="280" w:lineRule="atLeast"/>
        <w:jc w:val="both"/>
        <w:rPr>
          <w:rFonts w:asciiTheme="minorHAnsi" w:hAnsiTheme="minorHAnsi" w:cstheme="minorHAnsi"/>
          <w:sz w:val="22"/>
          <w:szCs w:val="22"/>
        </w:rPr>
      </w:pPr>
      <w:r>
        <w:rPr>
          <w:rFonts w:asciiTheme="minorHAnsi" w:hAnsiTheme="minorHAnsi" w:cstheme="minorHAnsi"/>
          <w:sz w:val="22"/>
          <w:szCs w:val="22"/>
        </w:rPr>
        <w:t>SekswerkExpertise</w:t>
      </w:r>
    </w:p>
    <w:p w14:paraId="5887DDDF" w14:textId="6248A4EE" w:rsidR="0086649E" w:rsidRDefault="0086649E" w:rsidP="005D70E8">
      <w:pPr>
        <w:pStyle w:val="Body"/>
        <w:widowControl w:val="0"/>
        <w:spacing w:before="120" w:after="120" w:line="280" w:lineRule="atLeast"/>
        <w:jc w:val="both"/>
        <w:rPr>
          <w:rFonts w:asciiTheme="minorHAnsi" w:hAnsiTheme="minorHAnsi" w:cstheme="minorHAnsi"/>
          <w:sz w:val="22"/>
          <w:szCs w:val="22"/>
        </w:rPr>
      </w:pPr>
      <w:proofErr w:type="spellStart"/>
      <w:r>
        <w:rPr>
          <w:rFonts w:asciiTheme="minorHAnsi" w:hAnsiTheme="minorHAnsi" w:cstheme="minorHAnsi"/>
          <w:sz w:val="22"/>
          <w:szCs w:val="22"/>
        </w:rPr>
        <w:t>Herengracht</w:t>
      </w:r>
      <w:proofErr w:type="spellEnd"/>
      <w:r>
        <w:rPr>
          <w:rFonts w:asciiTheme="minorHAnsi" w:hAnsiTheme="minorHAnsi" w:cstheme="minorHAnsi"/>
          <w:sz w:val="22"/>
          <w:szCs w:val="22"/>
        </w:rPr>
        <w:t xml:space="preserve"> 20</w:t>
      </w:r>
    </w:p>
    <w:p w14:paraId="57EB8DF4" w14:textId="41E86F7D" w:rsidR="0086649E" w:rsidRDefault="0086649E" w:rsidP="005D70E8">
      <w:pPr>
        <w:pStyle w:val="Body"/>
        <w:widowControl w:val="0"/>
        <w:spacing w:before="120" w:after="120" w:line="280" w:lineRule="atLeast"/>
        <w:jc w:val="both"/>
        <w:rPr>
          <w:rFonts w:asciiTheme="minorHAnsi" w:hAnsiTheme="minorHAnsi" w:cstheme="minorHAnsi"/>
          <w:sz w:val="22"/>
          <w:szCs w:val="22"/>
        </w:rPr>
      </w:pPr>
      <w:r>
        <w:rPr>
          <w:rFonts w:asciiTheme="minorHAnsi" w:hAnsiTheme="minorHAnsi" w:cstheme="minorHAnsi"/>
          <w:sz w:val="22"/>
          <w:szCs w:val="22"/>
        </w:rPr>
        <w:t>2511 EH Den Haag</w:t>
      </w:r>
    </w:p>
    <w:p w14:paraId="50958B9E" w14:textId="0C0260FF" w:rsidR="0086649E" w:rsidRPr="005D70E8" w:rsidRDefault="0086649E" w:rsidP="005D70E8">
      <w:pPr>
        <w:pStyle w:val="Body"/>
        <w:widowControl w:val="0"/>
        <w:spacing w:before="120" w:after="120" w:line="280" w:lineRule="atLeast"/>
        <w:jc w:val="both"/>
        <w:rPr>
          <w:rFonts w:asciiTheme="minorHAnsi" w:hAnsiTheme="minorHAnsi" w:cstheme="minorHAnsi"/>
          <w:sz w:val="22"/>
          <w:szCs w:val="22"/>
        </w:rPr>
      </w:pPr>
      <w:r>
        <w:rPr>
          <w:rFonts w:asciiTheme="minorHAnsi" w:hAnsiTheme="minorHAnsi" w:cstheme="minorHAnsi"/>
          <w:sz w:val="22"/>
          <w:szCs w:val="22"/>
        </w:rPr>
        <w:t>E: sekswerkexpertise@gmail.com</w:t>
      </w:r>
    </w:p>
    <w:sectPr w:rsidR="0086649E" w:rsidRPr="005D70E8">
      <w:footerReference w:type="default" r:id="rId1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3040" w14:textId="77777777" w:rsidR="00E516A3" w:rsidRDefault="00E516A3" w:rsidP="009C6182">
      <w:pPr>
        <w:spacing w:after="0" w:line="240" w:lineRule="auto"/>
      </w:pPr>
      <w:r>
        <w:separator/>
      </w:r>
    </w:p>
  </w:endnote>
  <w:endnote w:type="continuationSeparator" w:id="0">
    <w:p w14:paraId="4FC7275D" w14:textId="77777777" w:rsidR="00E516A3" w:rsidRDefault="00E516A3" w:rsidP="009C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412929"/>
      <w:docPartObj>
        <w:docPartGallery w:val="Page Numbers (Bottom of Page)"/>
        <w:docPartUnique/>
      </w:docPartObj>
    </w:sdtPr>
    <w:sdtContent>
      <w:p w14:paraId="7489305B" w14:textId="41774D2D" w:rsidR="005D75ED" w:rsidRDefault="005D75ED">
        <w:pPr>
          <w:pStyle w:val="Voettekst"/>
          <w:jc w:val="right"/>
        </w:pPr>
        <w:r>
          <w:fldChar w:fldCharType="begin"/>
        </w:r>
        <w:r>
          <w:instrText>PAGE   \* MERGEFORMAT</w:instrText>
        </w:r>
        <w:r>
          <w:fldChar w:fldCharType="separate"/>
        </w:r>
        <w:r>
          <w:t>2</w:t>
        </w:r>
        <w:r>
          <w:fldChar w:fldCharType="end"/>
        </w:r>
      </w:p>
    </w:sdtContent>
  </w:sdt>
  <w:p w14:paraId="780CDC5B" w14:textId="77777777" w:rsidR="005D75ED" w:rsidRDefault="005D75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AA8F" w14:textId="77777777" w:rsidR="00E516A3" w:rsidRDefault="00E516A3" w:rsidP="009C6182">
      <w:pPr>
        <w:spacing w:after="0" w:line="240" w:lineRule="auto"/>
      </w:pPr>
      <w:r>
        <w:separator/>
      </w:r>
    </w:p>
  </w:footnote>
  <w:footnote w:type="continuationSeparator" w:id="0">
    <w:p w14:paraId="35264B55" w14:textId="77777777" w:rsidR="00E516A3" w:rsidRDefault="00E516A3" w:rsidP="009C6182">
      <w:pPr>
        <w:spacing w:after="0" w:line="240" w:lineRule="auto"/>
      </w:pPr>
      <w:r>
        <w:continuationSeparator/>
      </w:r>
    </w:p>
  </w:footnote>
  <w:footnote w:id="1">
    <w:p w14:paraId="60883809" w14:textId="0F44E4E1" w:rsidR="005D70E8" w:rsidRPr="005D70E8" w:rsidRDefault="005D70E8" w:rsidP="005D70E8">
      <w:pPr>
        <w:pStyle w:val="Voetnoottekst"/>
        <w:rPr>
          <w:rFonts w:asciiTheme="minorHAnsi" w:hAnsiTheme="minorHAnsi" w:cstheme="minorHAnsi"/>
          <w:lang w:val="en-GB"/>
        </w:rPr>
      </w:pPr>
      <w:r w:rsidRPr="005D70E8">
        <w:rPr>
          <w:rStyle w:val="Voetnootmarkering"/>
          <w:rFonts w:asciiTheme="minorHAnsi" w:hAnsiTheme="minorHAnsi" w:cstheme="minorHAnsi"/>
        </w:rPr>
        <w:footnoteRef/>
      </w:r>
      <w:r w:rsidRPr="005D70E8">
        <w:rPr>
          <w:rFonts w:asciiTheme="minorHAnsi" w:hAnsiTheme="minorHAnsi" w:cstheme="minorHAnsi"/>
          <w:lang w:val="en-GB"/>
        </w:rPr>
        <w:t xml:space="preserve"> SoaAids (2018), Sex work, stigma and Violence in the Netherlands.</w:t>
      </w:r>
    </w:p>
  </w:footnote>
  <w:footnote w:id="2">
    <w:p w14:paraId="54241921" w14:textId="0F4D559E" w:rsidR="00C75DC4" w:rsidRPr="005D70E8" w:rsidRDefault="00C75DC4" w:rsidP="005D70E8">
      <w:pPr>
        <w:pStyle w:val="Voetnoottekst"/>
        <w:rPr>
          <w:rFonts w:asciiTheme="minorHAnsi" w:hAnsiTheme="minorHAnsi" w:cstheme="minorHAnsi"/>
          <w:lang w:val="en-GB"/>
        </w:rPr>
      </w:pPr>
      <w:r w:rsidRPr="005D70E8">
        <w:rPr>
          <w:rStyle w:val="Voetnootmarkering"/>
          <w:rFonts w:asciiTheme="minorHAnsi" w:hAnsiTheme="minorHAnsi" w:cstheme="minorHAnsi"/>
        </w:rPr>
        <w:footnoteRef/>
      </w:r>
      <w:r w:rsidRPr="005D70E8">
        <w:rPr>
          <w:rFonts w:asciiTheme="minorHAnsi" w:hAnsiTheme="minorHAnsi" w:cstheme="minorHAnsi"/>
          <w:lang w:val="en-GB"/>
        </w:rPr>
        <w:t xml:space="preserve"> </w:t>
      </w:r>
      <w:r w:rsidRPr="005D70E8">
        <w:rPr>
          <w:rFonts w:asciiTheme="minorHAnsi" w:hAnsiTheme="minorHAnsi" w:cstheme="minorHAnsi"/>
          <w:lang w:val="en-GB"/>
        </w:rPr>
        <w:t xml:space="preserve">National Rapporteur Trafficking in Human Beings and Violence against Children (2021), </w:t>
      </w:r>
      <w:r w:rsidRPr="005D70E8">
        <w:rPr>
          <w:rFonts w:asciiTheme="minorHAnsi" w:hAnsiTheme="minorHAnsi" w:cstheme="minorHAnsi"/>
          <w:i/>
          <w:iCs/>
          <w:lang w:val="en-GB"/>
        </w:rPr>
        <w:t>Human Trafficking Offenders Monitoring Report 2015-2019</w:t>
      </w:r>
      <w:r w:rsidRPr="005D70E8">
        <w:rPr>
          <w:rFonts w:asciiTheme="minorHAnsi" w:hAnsiTheme="minorHAnsi" w:cstheme="minorHAnsi"/>
          <w:lang w:val="en-GB"/>
        </w:rPr>
        <w:t xml:space="preserve">. The Hague. </w:t>
      </w:r>
      <w:hyperlink r:id="rId1" w:history="1">
        <w:r w:rsidRPr="005D70E8">
          <w:rPr>
            <w:rStyle w:val="Hyperlink"/>
            <w:rFonts w:asciiTheme="minorHAnsi" w:hAnsiTheme="minorHAnsi" w:cstheme="minorHAnsi"/>
            <w:lang w:val="en-GB"/>
          </w:rPr>
          <w:t>https://www.dutchrapporteur.nl/publications/reports/2021/01/21/human-trafficking-offenders-monitoring-report-2015-2019-summary</w:t>
        </w:r>
      </w:hyperlink>
      <w:r w:rsidRPr="005D70E8">
        <w:rPr>
          <w:rFonts w:asciiTheme="minorHAnsi" w:hAnsiTheme="minorHAnsi" w:cstheme="minorHAnsi"/>
          <w:lang w:val="en-GB"/>
        </w:rPr>
        <w:t>.</w:t>
      </w:r>
    </w:p>
  </w:footnote>
  <w:footnote w:id="3">
    <w:p w14:paraId="2EC4EE7B" w14:textId="3D6C97AF" w:rsidR="005D75ED" w:rsidRPr="005D70E8" w:rsidRDefault="005D75ED" w:rsidP="005D70E8">
      <w:pPr>
        <w:spacing w:after="0" w:line="240" w:lineRule="auto"/>
        <w:rPr>
          <w:rFonts w:asciiTheme="minorHAnsi" w:hAnsiTheme="minorHAnsi" w:cstheme="minorHAnsi"/>
          <w:sz w:val="20"/>
          <w:szCs w:val="20"/>
        </w:rPr>
      </w:pPr>
      <w:r w:rsidRPr="005D70E8">
        <w:rPr>
          <w:rStyle w:val="Voetnootmarkering"/>
          <w:rFonts w:asciiTheme="minorHAnsi" w:hAnsiTheme="minorHAnsi" w:cstheme="minorHAnsi"/>
          <w:sz w:val="20"/>
          <w:szCs w:val="20"/>
        </w:rPr>
        <w:footnoteRef/>
      </w:r>
      <w:r w:rsidRPr="005D70E8">
        <w:rPr>
          <w:rFonts w:asciiTheme="minorHAnsi" w:hAnsiTheme="minorHAnsi" w:cstheme="minorHAnsi"/>
          <w:sz w:val="20"/>
          <w:szCs w:val="20"/>
          <w:lang w:val="en-GB"/>
        </w:rPr>
        <w:t xml:space="preserve"> </w:t>
      </w:r>
      <w:r w:rsidRPr="005D70E8">
        <w:rPr>
          <w:rFonts w:asciiTheme="minorHAnsi" w:hAnsiTheme="minorHAnsi" w:cstheme="minorHAnsi"/>
          <w:color w:val="000000"/>
          <w:sz w:val="20"/>
          <w:szCs w:val="20"/>
          <w:shd w:val="clear" w:color="auto" w:fill="FFFFFF" w:themeFill="background1"/>
          <w:lang w:val="en-GB"/>
        </w:rPr>
        <w:t xml:space="preserve">National Rapporteur </w:t>
      </w:r>
      <w:r w:rsidRPr="005D70E8">
        <w:rPr>
          <w:rFonts w:asciiTheme="minorHAnsi" w:hAnsiTheme="minorHAnsi" w:cstheme="minorHAnsi"/>
          <w:sz w:val="20"/>
          <w:szCs w:val="20"/>
          <w:lang w:val="en-GB"/>
        </w:rPr>
        <w:t xml:space="preserve">on Trafficking in Human Beings and Violence against Children </w:t>
      </w:r>
      <w:r w:rsidRPr="005D70E8">
        <w:rPr>
          <w:rFonts w:asciiTheme="minorHAnsi" w:hAnsiTheme="minorHAnsi" w:cstheme="minorHAnsi"/>
          <w:color w:val="000000"/>
          <w:sz w:val="20"/>
          <w:szCs w:val="20"/>
          <w:shd w:val="clear" w:color="auto" w:fill="FFFFFF" w:themeFill="background1"/>
          <w:lang w:val="en-GB"/>
        </w:rPr>
        <w:t>(2012).</w:t>
      </w:r>
      <w:r w:rsidRPr="005D70E8">
        <w:rPr>
          <w:rFonts w:asciiTheme="minorHAnsi" w:hAnsiTheme="minorHAnsi" w:cstheme="minorHAnsi"/>
          <w:color w:val="000000"/>
          <w:sz w:val="20"/>
          <w:szCs w:val="20"/>
          <w:shd w:val="clear" w:color="auto" w:fill="F3F6F8"/>
          <w:lang w:val="en-GB"/>
        </w:rPr>
        <w:t xml:space="preserve"> </w:t>
      </w:r>
      <w:r w:rsidRPr="005D70E8">
        <w:rPr>
          <w:rFonts w:asciiTheme="minorHAnsi" w:hAnsiTheme="minorHAnsi" w:cstheme="minorHAnsi"/>
          <w:i/>
          <w:iCs/>
          <w:color w:val="000000"/>
          <w:sz w:val="20"/>
          <w:szCs w:val="20"/>
          <w:shd w:val="clear" w:color="auto" w:fill="FFFFFF" w:themeFill="background1"/>
        </w:rPr>
        <w:t>Jurisprudentie mensenhandelzaken 2009-2010. Een analyse</w:t>
      </w:r>
      <w:r w:rsidRPr="005D70E8">
        <w:rPr>
          <w:rFonts w:asciiTheme="minorHAnsi" w:hAnsiTheme="minorHAnsi" w:cstheme="minorHAnsi"/>
          <w:color w:val="000000"/>
          <w:sz w:val="20"/>
          <w:szCs w:val="20"/>
          <w:shd w:val="clear" w:color="auto" w:fill="FFFFFF" w:themeFill="background1"/>
        </w:rPr>
        <w:t xml:space="preserve">, p. 57. </w:t>
      </w:r>
      <w:hyperlink r:id="rId2" w:history="1">
        <w:r w:rsidRPr="005D70E8">
          <w:rPr>
            <w:rStyle w:val="Hyperlink"/>
            <w:rFonts w:asciiTheme="minorHAnsi" w:hAnsiTheme="minorHAnsi" w:cstheme="minorHAnsi"/>
            <w:sz w:val="20"/>
            <w:szCs w:val="20"/>
          </w:rPr>
          <w:t>https://www.nationaalrapporteur.nl/Publicaties/Jurisprudentie-Mensenhandel-2009-2012/index.aspx</w:t>
        </w:r>
      </w:hyperlink>
      <w:r w:rsidRPr="005D70E8">
        <w:rPr>
          <w:rFonts w:asciiTheme="minorHAnsi" w:hAnsiTheme="minorHAnsi" w:cstheme="minorHAnsi"/>
          <w:sz w:val="20"/>
          <w:szCs w:val="20"/>
        </w:rPr>
        <w:t>.</w:t>
      </w:r>
    </w:p>
  </w:footnote>
  <w:footnote w:id="4">
    <w:p w14:paraId="480EE150" w14:textId="25AC5B6A" w:rsidR="00C75DC4" w:rsidRPr="005D70E8" w:rsidRDefault="00C75DC4" w:rsidP="005D70E8">
      <w:pPr>
        <w:pStyle w:val="Voetnoottekst"/>
        <w:rPr>
          <w:rFonts w:asciiTheme="minorHAnsi" w:hAnsiTheme="minorHAnsi" w:cstheme="minorHAnsi"/>
          <w:lang w:val="en-GB"/>
        </w:rPr>
      </w:pPr>
      <w:r w:rsidRPr="005D70E8">
        <w:rPr>
          <w:rStyle w:val="Voetnootmarkering"/>
          <w:rFonts w:asciiTheme="minorHAnsi" w:hAnsiTheme="minorHAnsi" w:cstheme="minorHAnsi"/>
        </w:rPr>
        <w:footnoteRef/>
      </w:r>
      <w:r w:rsidRPr="005D70E8">
        <w:rPr>
          <w:rFonts w:asciiTheme="minorHAnsi" w:hAnsiTheme="minorHAnsi" w:cstheme="minorHAnsi"/>
          <w:lang w:val="en-GB"/>
        </w:rPr>
        <w:t xml:space="preserve"> </w:t>
      </w:r>
      <w:proofErr w:type="spellStart"/>
      <w:r w:rsidRPr="005D70E8">
        <w:rPr>
          <w:rFonts w:asciiTheme="minorHAnsi" w:hAnsiTheme="minorHAnsi" w:cstheme="minorHAnsi"/>
          <w:lang w:val="en-GB"/>
        </w:rPr>
        <w:t>Kloek</w:t>
      </w:r>
      <w:proofErr w:type="spellEnd"/>
      <w:r w:rsidRPr="005D70E8">
        <w:rPr>
          <w:rFonts w:asciiTheme="minorHAnsi" w:hAnsiTheme="minorHAnsi" w:cstheme="minorHAnsi"/>
          <w:lang w:val="en-GB"/>
        </w:rPr>
        <w:t xml:space="preserve"> M. &amp; M. Dijkstra (2018). </w:t>
      </w:r>
      <w:r w:rsidRPr="005D70E8">
        <w:rPr>
          <w:rFonts w:asciiTheme="minorHAnsi" w:hAnsiTheme="minorHAnsi" w:cstheme="minorHAnsi"/>
          <w:i/>
          <w:iCs/>
          <w:lang w:val="en-GB"/>
        </w:rPr>
        <w:t>Sex work, stigma and violence in the Netherlands</w:t>
      </w:r>
      <w:r w:rsidRPr="005D70E8">
        <w:rPr>
          <w:rFonts w:asciiTheme="minorHAnsi" w:hAnsiTheme="minorHAnsi" w:cstheme="minorHAnsi"/>
          <w:lang w:val="en-GB"/>
        </w:rPr>
        <w:t>. SoaAids Nederland/</w:t>
      </w:r>
      <w:proofErr w:type="spellStart"/>
      <w:r w:rsidRPr="005D70E8">
        <w:rPr>
          <w:rFonts w:asciiTheme="minorHAnsi" w:hAnsiTheme="minorHAnsi" w:cstheme="minorHAnsi"/>
          <w:lang w:val="en-GB"/>
        </w:rPr>
        <w:t>Aidsfonds</w:t>
      </w:r>
      <w:proofErr w:type="spellEnd"/>
      <w:r w:rsidRPr="005D70E8">
        <w:rPr>
          <w:rFonts w:asciiTheme="minorHAnsi" w:hAnsiTheme="minorHAnsi" w:cstheme="minorHAnsi"/>
          <w:lang w:val="en-GB"/>
        </w:rPr>
        <w:t xml:space="preserve">, Proud, Dutch Union for sex workers. </w:t>
      </w:r>
      <w:hyperlink r:id="rId3" w:history="1">
        <w:r w:rsidRPr="005D70E8">
          <w:rPr>
            <w:rStyle w:val="Hyperlink"/>
            <w:rFonts w:asciiTheme="minorHAnsi" w:hAnsiTheme="minorHAnsi" w:cstheme="minorHAnsi"/>
            <w:lang w:val="en-GB"/>
          </w:rPr>
          <w:t>https://aidsfonds.org/resource/sex-work-stigma-and-violence-in-the-netherlands</w:t>
        </w:r>
      </w:hyperlink>
      <w:r w:rsidRPr="005D70E8">
        <w:rPr>
          <w:rFonts w:asciiTheme="minorHAnsi" w:hAnsiTheme="minorHAnsi" w:cstheme="minorHAnsi"/>
          <w:lang w:val="en-GB"/>
        </w:rPr>
        <w:t xml:space="preserve">. </w:t>
      </w:r>
    </w:p>
  </w:footnote>
  <w:footnote w:id="5">
    <w:p w14:paraId="568A376D" w14:textId="77777777" w:rsidR="00C75DC4" w:rsidRPr="005D70E8" w:rsidRDefault="00C75DC4" w:rsidP="005D70E8">
      <w:pPr>
        <w:pStyle w:val="Lijstalinea"/>
        <w:numPr>
          <w:ilvl w:val="0"/>
          <w:numId w:val="7"/>
        </w:numPr>
        <w:spacing w:after="0" w:line="240" w:lineRule="auto"/>
        <w:ind w:left="0" w:firstLine="0"/>
        <w:contextualSpacing w:val="0"/>
        <w:rPr>
          <w:rFonts w:asciiTheme="minorHAnsi" w:hAnsiTheme="minorHAnsi" w:cstheme="minorHAnsi"/>
          <w:sz w:val="20"/>
          <w:szCs w:val="20"/>
        </w:rPr>
      </w:pPr>
      <w:r w:rsidRPr="005D70E8">
        <w:rPr>
          <w:rStyle w:val="Voetnootmarkering"/>
          <w:rFonts w:asciiTheme="minorHAnsi" w:hAnsiTheme="minorHAnsi" w:cstheme="minorHAnsi"/>
          <w:sz w:val="20"/>
          <w:szCs w:val="20"/>
        </w:rPr>
        <w:footnoteRef/>
      </w:r>
      <w:r w:rsidRPr="005D70E8">
        <w:rPr>
          <w:rFonts w:asciiTheme="minorHAnsi" w:hAnsiTheme="minorHAnsi" w:cstheme="minorHAnsi"/>
          <w:sz w:val="20"/>
          <w:szCs w:val="20"/>
          <w:lang w:val="en-GB"/>
        </w:rPr>
        <w:t xml:space="preserve"> James J. &amp; M. Hamburg (20210). </w:t>
      </w:r>
      <w:r w:rsidRPr="005D70E8">
        <w:rPr>
          <w:rFonts w:asciiTheme="minorHAnsi" w:hAnsiTheme="minorHAnsi" w:cstheme="minorHAnsi"/>
          <w:i/>
          <w:iCs/>
          <w:sz w:val="20"/>
          <w:szCs w:val="20"/>
          <w:lang w:val="en-GB"/>
        </w:rPr>
        <w:t>The situation of migrant sex workers in the Netherlands</w:t>
      </w:r>
      <w:r w:rsidRPr="005D70E8">
        <w:rPr>
          <w:rFonts w:asciiTheme="minorHAnsi" w:hAnsiTheme="minorHAnsi" w:cstheme="minorHAnsi"/>
          <w:sz w:val="20"/>
          <w:szCs w:val="20"/>
          <w:lang w:val="en-GB"/>
        </w:rPr>
        <w:t xml:space="preserve">. </w:t>
      </w:r>
      <w:hyperlink r:id="rId4" w:history="1">
        <w:r w:rsidRPr="005D70E8">
          <w:rPr>
            <w:rStyle w:val="Hyperlink"/>
            <w:rFonts w:asciiTheme="minorHAnsi" w:hAnsiTheme="minorHAnsi" w:cstheme="minorHAnsi"/>
            <w:sz w:val="20"/>
            <w:szCs w:val="20"/>
          </w:rPr>
          <w:t>https://stichtingsexpower.nl/the-situation-of-migrant-sex-workers-in-the-netherlands/</w:t>
        </w:r>
      </w:hyperlink>
      <w:r w:rsidRPr="005D70E8">
        <w:rPr>
          <w:rStyle w:val="Hyperlink"/>
          <w:rFonts w:asciiTheme="minorHAnsi" w:hAnsiTheme="minorHAnsi" w:cstheme="minorHAnsi"/>
          <w:color w:val="1155CC"/>
          <w:sz w:val="20"/>
          <w:szCs w:val="20"/>
        </w:rPr>
        <w:t>.</w:t>
      </w:r>
    </w:p>
  </w:footnote>
  <w:footnote w:id="6">
    <w:p w14:paraId="1A8FAB01" w14:textId="2B5F92E0" w:rsidR="005D75ED" w:rsidRPr="005D70E8" w:rsidRDefault="005D75ED" w:rsidP="005D70E8">
      <w:pPr>
        <w:pStyle w:val="Voetnoottekst"/>
        <w:jc w:val="both"/>
        <w:rPr>
          <w:rFonts w:asciiTheme="minorHAnsi" w:hAnsiTheme="minorHAnsi" w:cstheme="minorHAnsi"/>
          <w:lang w:val="en-GB"/>
        </w:rPr>
      </w:pPr>
      <w:r w:rsidRPr="005D70E8">
        <w:rPr>
          <w:rStyle w:val="Voetnootmarkering"/>
          <w:rFonts w:asciiTheme="minorHAnsi" w:hAnsiTheme="minorHAnsi" w:cstheme="minorHAnsi"/>
        </w:rPr>
        <w:footnoteRef/>
      </w:r>
      <w:r w:rsidRPr="005D70E8">
        <w:rPr>
          <w:rFonts w:asciiTheme="minorHAnsi" w:hAnsiTheme="minorHAnsi" w:cstheme="minorHAnsi"/>
          <w:lang w:val="en-GB"/>
        </w:rPr>
        <w:t xml:space="preserve"> </w:t>
      </w:r>
      <w:r w:rsidRPr="005D70E8">
        <w:rPr>
          <w:rFonts w:asciiTheme="minorHAnsi" w:hAnsiTheme="minorHAnsi" w:cstheme="minorHAnsi"/>
          <w:lang w:val="en-GB"/>
        </w:rPr>
        <w:t xml:space="preserve">See e.g. </w:t>
      </w:r>
      <w:r w:rsidRPr="005D70E8">
        <w:rPr>
          <w:rFonts w:asciiTheme="minorHAnsi" w:hAnsiTheme="minorHAnsi" w:cstheme="minorHAnsi"/>
          <w:noProof/>
          <w:lang w:val="en-GB"/>
        </w:rPr>
        <w:t xml:space="preserve">Platt, L. et al. (2018). Associations between sex work laws and sex workers’ health: A systematic review and meta-analysis of quantitative and qualitative studies. </w:t>
      </w:r>
      <w:r w:rsidRPr="005D70E8">
        <w:rPr>
          <w:rFonts w:asciiTheme="minorHAnsi" w:hAnsiTheme="minorHAnsi" w:cstheme="minorHAnsi"/>
          <w:i/>
          <w:iCs/>
          <w:noProof/>
          <w:lang w:val="en-GB"/>
        </w:rPr>
        <w:t xml:space="preserve">PLOS Medicine, </w:t>
      </w:r>
      <w:r w:rsidRPr="005D70E8">
        <w:rPr>
          <w:rFonts w:asciiTheme="minorHAnsi" w:hAnsiTheme="minorHAnsi" w:cstheme="minorHAnsi"/>
          <w:noProof/>
          <w:lang w:val="en-GB"/>
        </w:rPr>
        <w:t>which compares research data of 33 countries</w:t>
      </w:r>
      <w:r w:rsidRPr="005D70E8">
        <w:rPr>
          <w:rFonts w:asciiTheme="minorHAnsi" w:hAnsiTheme="minorHAnsi" w:cstheme="minorHAnsi"/>
          <w:lang w:val="en-GB"/>
        </w:rPr>
        <w:t xml:space="preserve">; </w:t>
      </w:r>
      <w:r w:rsidRPr="005D70E8">
        <w:rPr>
          <w:rFonts w:asciiTheme="minorHAnsi" w:hAnsiTheme="minorHAnsi" w:cstheme="minorHAnsi"/>
          <w:noProof/>
          <w:lang w:val="en-GB"/>
        </w:rPr>
        <w:t xml:space="preserve">Oliveira, A., et al. (2023). Understanding the Impact of EU Prostitution Policies on Sex Workers: A Mixed Study Systematic Review. </w:t>
      </w:r>
      <w:r w:rsidRPr="005D70E8">
        <w:rPr>
          <w:rFonts w:asciiTheme="minorHAnsi" w:hAnsiTheme="minorHAnsi" w:cstheme="minorHAnsi"/>
          <w:i/>
          <w:iCs/>
          <w:noProof/>
          <w:lang w:val="en-GB"/>
        </w:rPr>
        <w:t>Sexuality Research and Social Policy</w:t>
      </w:r>
      <w:r w:rsidRPr="005D70E8">
        <w:rPr>
          <w:rFonts w:asciiTheme="minorHAnsi" w:hAnsiTheme="minorHAnsi" w:cstheme="minorHAnsi"/>
          <w:lang w:val="en-US"/>
        </w:rPr>
        <w:t>.</w:t>
      </w:r>
    </w:p>
  </w:footnote>
  <w:footnote w:id="7">
    <w:p w14:paraId="30A7B718" w14:textId="1FA2FAB0" w:rsidR="005D75ED" w:rsidRPr="005D70E8" w:rsidRDefault="005D75ED" w:rsidP="005D70E8">
      <w:pPr>
        <w:pStyle w:val="Voetnoottekst"/>
        <w:jc w:val="both"/>
        <w:rPr>
          <w:rFonts w:asciiTheme="minorHAnsi" w:hAnsiTheme="minorHAnsi" w:cstheme="minorHAnsi"/>
          <w:lang w:val="en-GB"/>
        </w:rPr>
      </w:pPr>
      <w:r w:rsidRPr="005D70E8">
        <w:rPr>
          <w:rStyle w:val="Voetnootmarkering"/>
          <w:rFonts w:asciiTheme="minorHAnsi" w:hAnsiTheme="minorHAnsi" w:cstheme="minorHAnsi"/>
        </w:rPr>
        <w:footnoteRef/>
      </w:r>
      <w:r w:rsidRPr="005D70E8">
        <w:rPr>
          <w:rFonts w:asciiTheme="minorHAnsi" w:hAnsiTheme="minorHAnsi" w:cstheme="minorHAnsi"/>
          <w:lang w:val="en-GB"/>
        </w:rPr>
        <w:t xml:space="preserve"> </w:t>
      </w:r>
      <w:r w:rsidRPr="005D70E8">
        <w:rPr>
          <w:rFonts w:asciiTheme="minorHAnsi" w:hAnsiTheme="minorHAnsi" w:cstheme="minorHAnsi"/>
          <w:lang w:val="en-GB"/>
        </w:rPr>
        <w:t xml:space="preserve">See for research on the effects of criminalisation of clients e.g. </w:t>
      </w:r>
      <w:r w:rsidRPr="005D70E8">
        <w:rPr>
          <w:rFonts w:asciiTheme="minorHAnsi" w:hAnsiTheme="minorHAnsi" w:cstheme="minorHAnsi"/>
          <w:noProof/>
          <w:lang w:val="en-GB"/>
        </w:rPr>
        <w:t xml:space="preserve">Amnesty International (2016). </w:t>
      </w:r>
      <w:r w:rsidRPr="005D70E8">
        <w:rPr>
          <w:rFonts w:asciiTheme="minorHAnsi" w:hAnsiTheme="minorHAnsi" w:cstheme="minorHAnsi"/>
          <w:i/>
          <w:iCs/>
          <w:noProof/>
          <w:lang w:val="en-GB"/>
        </w:rPr>
        <w:t>The human cost of “crushing” the market. Criminalization of sex work in Norway</w:t>
      </w:r>
      <w:r w:rsidRPr="005D70E8">
        <w:rPr>
          <w:rFonts w:asciiTheme="minorHAnsi" w:hAnsiTheme="minorHAnsi" w:cstheme="minorHAnsi"/>
          <w:noProof/>
          <w:lang w:val="en-GB"/>
        </w:rPr>
        <w:t xml:space="preserve">; Amnesty International (2022). </w:t>
      </w:r>
      <w:r w:rsidRPr="005D70E8">
        <w:rPr>
          <w:rFonts w:asciiTheme="minorHAnsi" w:hAnsiTheme="minorHAnsi" w:cstheme="minorHAnsi"/>
          <w:i/>
          <w:iCs/>
          <w:noProof/>
          <w:lang w:val="en-GB"/>
        </w:rPr>
        <w:t>“We live within a violent system”. Structural violence against sex workers in Ireland</w:t>
      </w:r>
      <w:hyperlink r:id="rId5" w:history="1"/>
      <w:r w:rsidRPr="005D70E8">
        <w:rPr>
          <w:rFonts w:asciiTheme="minorHAnsi" w:hAnsiTheme="minorHAnsi" w:cstheme="minorHAnsi"/>
          <w:noProof/>
          <w:lang w:val="en-GB"/>
        </w:rPr>
        <w:t xml:space="preserve">; Dodillet, S., &amp; Östergren, P. (2011). </w:t>
      </w:r>
      <w:r w:rsidRPr="005D70E8">
        <w:rPr>
          <w:rFonts w:asciiTheme="minorHAnsi" w:hAnsiTheme="minorHAnsi" w:cstheme="minorHAnsi"/>
          <w:i/>
          <w:iCs/>
          <w:noProof/>
          <w:lang w:val="en-GB"/>
        </w:rPr>
        <w:t>The Swedish Sex Purchase Act: Claimed Success and Documented Effects</w:t>
      </w:r>
      <w:r w:rsidRPr="005D70E8">
        <w:rPr>
          <w:rFonts w:asciiTheme="minorHAnsi" w:hAnsiTheme="minorHAnsi" w:cstheme="minorHAnsi"/>
          <w:noProof/>
          <w:lang w:val="en-GB"/>
        </w:rPr>
        <w:t xml:space="preserve">; Fuckförbundet. (2019). </w:t>
      </w:r>
      <w:r w:rsidRPr="005D70E8">
        <w:rPr>
          <w:rFonts w:asciiTheme="minorHAnsi" w:hAnsiTheme="minorHAnsi" w:cstheme="minorHAnsi"/>
          <w:i/>
          <w:iCs/>
          <w:noProof/>
          <w:lang w:val="en-GB"/>
        </w:rPr>
        <w:t xml:space="preserve">Twenty years of failing sex workers. A community report on the impact of the 1999 Swedish Sex Purchase </w:t>
      </w:r>
      <w:r w:rsidRPr="005D70E8">
        <w:rPr>
          <w:rFonts w:asciiTheme="minorHAnsi" w:hAnsiTheme="minorHAnsi" w:cstheme="minorHAnsi"/>
          <w:noProof/>
          <w:lang w:val="en-GB"/>
        </w:rPr>
        <w:t xml:space="preserve">Act; Holmström, C., &amp; Skilbrei, M.L. (2017). The Swedish Sex Purchase Act: Where Does it Stand? </w:t>
      </w:r>
      <w:r w:rsidRPr="005D70E8">
        <w:rPr>
          <w:rFonts w:asciiTheme="minorHAnsi" w:hAnsiTheme="minorHAnsi" w:cstheme="minorHAnsi"/>
          <w:i/>
          <w:iCs/>
          <w:noProof/>
          <w:lang w:val="en-GB"/>
        </w:rPr>
        <w:t>Oslo Law Review</w:t>
      </w:r>
      <w:r w:rsidRPr="005D70E8">
        <w:rPr>
          <w:rFonts w:asciiTheme="minorHAnsi" w:hAnsiTheme="minorHAnsi" w:cstheme="minorHAnsi"/>
          <w:noProof/>
          <w:lang w:val="en-GB"/>
        </w:rPr>
        <w:t xml:space="preserve">, </w:t>
      </w:r>
      <w:r w:rsidRPr="005D70E8">
        <w:rPr>
          <w:rFonts w:asciiTheme="minorHAnsi" w:hAnsiTheme="minorHAnsi" w:cstheme="minorHAnsi"/>
          <w:i/>
          <w:iCs/>
          <w:noProof/>
          <w:lang w:val="en-GB"/>
        </w:rPr>
        <w:t>4</w:t>
      </w:r>
      <w:r w:rsidRPr="005D70E8">
        <w:rPr>
          <w:rFonts w:asciiTheme="minorHAnsi" w:hAnsiTheme="minorHAnsi" w:cstheme="minorHAnsi"/>
          <w:noProof/>
          <w:lang w:val="en-GB"/>
        </w:rPr>
        <w:t xml:space="preserve">(2); Le Bail, H., Giametta, C., &amp; Rassouw, N. (2018). </w:t>
      </w:r>
      <w:r w:rsidRPr="005D70E8">
        <w:rPr>
          <w:rFonts w:asciiTheme="minorHAnsi" w:hAnsiTheme="minorHAnsi" w:cstheme="minorHAnsi"/>
          <w:i/>
          <w:iCs/>
          <w:noProof/>
          <w:lang w:val="en-GB"/>
        </w:rPr>
        <w:t xml:space="preserve">What do sex workers think about the French Prostitution Act? A study on the Impact of the Law of 13 April 2016 against the “Prostitution System” in France; </w:t>
      </w:r>
      <w:r w:rsidRPr="005D70E8">
        <w:rPr>
          <w:rFonts w:asciiTheme="minorHAnsi" w:hAnsiTheme="minorHAnsi" w:cstheme="minorHAnsi"/>
          <w:lang w:val="en-US"/>
        </w:rPr>
        <w:t>GAATW (2011), “</w:t>
      </w:r>
      <w:r w:rsidRPr="005D70E8">
        <w:rPr>
          <w:rFonts w:asciiTheme="minorHAnsi" w:hAnsiTheme="minorHAnsi" w:cstheme="minorHAnsi"/>
          <w:i/>
          <w:iCs/>
          <w:lang w:val="en-US"/>
        </w:rPr>
        <w:t>Moving Beyond Supply and Demand Catch-Phrases: Assessing the Uses and Limitations of Demand-Based Approaches in Anti-Trafficking</w:t>
      </w:r>
      <w:r w:rsidRPr="005D70E8">
        <w:rPr>
          <w:rFonts w:asciiTheme="minorHAnsi" w:hAnsiTheme="minorHAnsi" w:cstheme="minorHAnsi"/>
          <w:lang w:val="en-US"/>
        </w:rPr>
        <w:t>’.</w:t>
      </w:r>
    </w:p>
  </w:footnote>
  <w:footnote w:id="8">
    <w:p w14:paraId="5B270036" w14:textId="71BB6FD5" w:rsidR="005D75ED" w:rsidRPr="005D70E8" w:rsidRDefault="005D75ED" w:rsidP="005D70E8">
      <w:pPr>
        <w:pStyle w:val="Eindnoottekst"/>
        <w:rPr>
          <w:rFonts w:cstheme="minorHAnsi"/>
          <w:lang w:val="en-GB"/>
        </w:rPr>
      </w:pPr>
      <w:r w:rsidRPr="005D70E8">
        <w:rPr>
          <w:rStyle w:val="Voetnootmarkering"/>
          <w:rFonts w:cstheme="minorHAnsi"/>
        </w:rPr>
        <w:footnoteRef/>
      </w:r>
      <w:r w:rsidRPr="005D70E8">
        <w:rPr>
          <w:rFonts w:cstheme="minorHAnsi"/>
          <w:lang w:val="en-GB"/>
        </w:rPr>
        <w:t xml:space="preserve"> </w:t>
      </w:r>
      <w:r w:rsidRPr="005D70E8">
        <w:rPr>
          <w:rFonts w:cstheme="minorHAnsi"/>
          <w:noProof/>
          <w:lang w:val="en-GB"/>
        </w:rPr>
        <w:t xml:space="preserve">Amnesty International (2016). </w:t>
      </w:r>
      <w:r w:rsidRPr="005D70E8">
        <w:rPr>
          <w:rFonts w:cstheme="minorHAnsi"/>
          <w:i/>
          <w:iCs/>
          <w:noProof/>
          <w:lang w:val="en-GB"/>
        </w:rPr>
        <w:t>Amnesty International Policy on State Obligations to Respect, Protect and Fulfil the Human Rights of Sex Workers</w:t>
      </w:r>
      <w:r w:rsidRPr="005D70E8">
        <w:rPr>
          <w:rFonts w:cstheme="minorHAnsi"/>
          <w:lang w:val="en-GB"/>
        </w:rPr>
        <w:t xml:space="preserve">; </w:t>
      </w:r>
      <w:r w:rsidRPr="005D70E8">
        <w:rPr>
          <w:rFonts w:cstheme="minorHAnsi"/>
          <w:noProof/>
          <w:lang w:val="en-GB"/>
        </w:rPr>
        <w:t xml:space="preserve">Human Rights Watch (2019). </w:t>
      </w:r>
      <w:r w:rsidRPr="005D70E8">
        <w:rPr>
          <w:rFonts w:cstheme="minorHAnsi"/>
          <w:i/>
          <w:iCs/>
          <w:noProof/>
          <w:lang w:val="en-GB"/>
        </w:rPr>
        <w:t>Why Sex Work Should Be Decriminalized | Questions and Answers</w:t>
      </w:r>
      <w:r w:rsidRPr="005D70E8">
        <w:rPr>
          <w:rFonts w:cstheme="minorHAnsi"/>
          <w:noProof/>
          <w:lang w:val="en-GB"/>
        </w:rPr>
        <w:t xml:space="preserve">; UNAIDS (2021). </w:t>
      </w:r>
      <w:r w:rsidRPr="005D70E8">
        <w:rPr>
          <w:rFonts w:cstheme="minorHAnsi"/>
          <w:i/>
          <w:iCs/>
          <w:noProof/>
          <w:lang w:val="en-GB"/>
        </w:rPr>
        <w:t xml:space="preserve">Hiv and Sex work. Human Rights Factsheet Series; </w:t>
      </w:r>
      <w:r w:rsidRPr="005D70E8">
        <w:rPr>
          <w:rFonts w:eastAsia="Times New Roman" w:cstheme="minorHAnsi"/>
          <w:lang w:val="en-GB" w:eastAsia="nl-NL"/>
        </w:rPr>
        <w:t xml:space="preserve">Global Alliance Against Traffic in Women (GAATW) (2015), </w:t>
      </w:r>
      <w:r w:rsidRPr="005D70E8">
        <w:rPr>
          <w:rFonts w:eastAsia="Times New Roman" w:cstheme="minorHAnsi"/>
          <w:i/>
          <w:iCs/>
          <w:lang w:val="en-GB" w:eastAsia="nl-NL"/>
        </w:rPr>
        <w:t>GAATW-IS Comment: Amnesty International calls for the decriminalisation of sex work</w:t>
      </w:r>
      <w:r w:rsidRPr="005D70E8">
        <w:rPr>
          <w:rFonts w:eastAsia="Times New Roman" w:cstheme="minorHAnsi"/>
          <w:lang w:val="en-GB" w:eastAsia="nl-NL"/>
        </w:rPr>
        <w:t xml:space="preserve">; </w:t>
      </w:r>
      <w:r w:rsidRPr="005D70E8">
        <w:rPr>
          <w:rFonts w:cstheme="minorHAnsi"/>
          <w:noProof/>
          <w:lang w:val="en-GB"/>
        </w:rPr>
        <w:t xml:space="preserve">Global Commission on HIV and the Law (2018). </w:t>
      </w:r>
      <w:r w:rsidRPr="005D70E8">
        <w:rPr>
          <w:rFonts w:cstheme="minorHAnsi"/>
          <w:i/>
          <w:iCs/>
          <w:noProof/>
          <w:lang w:val="en-GB"/>
        </w:rPr>
        <w:t>Risks, Rights and Health; supplement</w:t>
      </w:r>
      <w:r w:rsidRPr="005D70E8">
        <w:rPr>
          <w:rFonts w:cstheme="minorHAnsi"/>
          <w:noProof/>
          <w:lang w:val="en-GB"/>
        </w:rPr>
        <w:t xml:space="preserve">; UNAIDS (2023). </w:t>
      </w:r>
      <w:r w:rsidRPr="005D70E8">
        <w:rPr>
          <w:rFonts w:cstheme="minorHAnsi"/>
          <w:i/>
          <w:iCs/>
          <w:noProof/>
          <w:lang w:val="en-GB"/>
        </w:rPr>
        <w:t>Save Lives. Decriminalise</w:t>
      </w:r>
      <w:r w:rsidRPr="005D70E8">
        <w:rPr>
          <w:rFonts w:cstheme="minorHAnsi"/>
          <w:noProof/>
          <w:lang w:val="en-GB"/>
        </w:rPr>
        <w:t xml:space="preserve">; UNAIDS, UNHCR, UNICEF, WFP, UNDP, UNFPA, UN Women, ILO, UNESCO, WHO, OHCHR, IOM (2017), </w:t>
      </w:r>
      <w:r w:rsidRPr="005D70E8">
        <w:rPr>
          <w:rFonts w:cstheme="minorHAnsi"/>
          <w:i/>
          <w:iCs/>
          <w:noProof/>
          <w:lang w:val="en-GB"/>
        </w:rPr>
        <w:t>Joint United Nations Statement on Ending Discrimination in Healthcare Settings</w:t>
      </w:r>
      <w:r w:rsidRPr="005D70E8">
        <w:rPr>
          <w:rFonts w:cstheme="minorHAnsi"/>
          <w:noProof/>
          <w:lang w:val="en-GB"/>
        </w:rPr>
        <w:t xml:space="preserve">; UN Special Rapporteur on the right to health. Grover, A. (2010). </w:t>
      </w:r>
      <w:r w:rsidRPr="005D70E8">
        <w:rPr>
          <w:rFonts w:cstheme="minorHAnsi"/>
          <w:i/>
          <w:iCs/>
          <w:noProof/>
          <w:lang w:val="en-GB"/>
        </w:rPr>
        <w:t xml:space="preserve">Report of the Special Rapporteur on the right of everyone to the enjoyment of the highest attainable standard of physical and mental health, UN GA A/HRC/14/20; </w:t>
      </w:r>
      <w:r w:rsidRPr="005D70E8">
        <w:rPr>
          <w:rFonts w:cstheme="minorHAnsi"/>
          <w:noProof/>
          <w:lang w:val="en-GB"/>
        </w:rPr>
        <w:t xml:space="preserve">UN Working Group on discrimination against women and girls (2023). </w:t>
      </w:r>
      <w:r w:rsidRPr="005D70E8">
        <w:rPr>
          <w:rFonts w:cstheme="minorHAnsi"/>
          <w:i/>
          <w:iCs/>
          <w:noProof/>
          <w:lang w:val="en-GB"/>
        </w:rPr>
        <w:t>Eliminating discrimination against sex workers and securing their human rights</w:t>
      </w:r>
      <w:r w:rsidRPr="005D70E8">
        <w:rPr>
          <w:rFonts w:cstheme="minorHAnsi"/>
          <w:noProof/>
          <w:lang w:val="en-GB"/>
        </w:rPr>
        <w:t xml:space="preserve">; ICJ (2023). </w:t>
      </w:r>
      <w:r w:rsidRPr="005D70E8">
        <w:rPr>
          <w:rFonts w:cstheme="minorHAnsi"/>
          <w:i/>
          <w:iCs/>
          <w:noProof/>
          <w:lang w:val="en-GB"/>
        </w:rPr>
        <w:t>The 8 March Principles for a Human Rights-Based Approach to Criminal Law Proscribing Conduct Associated with Sex, Reproduction, Drug Use, HIV, Homelessness and Poverty.</w:t>
      </w:r>
      <w:r w:rsidRPr="005D70E8">
        <w:rPr>
          <w:rFonts w:cstheme="minorHAnsi"/>
          <w:noProof/>
          <w:lang w:val="en-GB"/>
        </w:rPr>
        <w:t xml:space="preserve"> </w:t>
      </w:r>
    </w:p>
  </w:footnote>
  <w:footnote w:id="9">
    <w:p w14:paraId="5A4DC483" w14:textId="4C8F2F60" w:rsidR="005D75ED" w:rsidRPr="005D70E8" w:rsidRDefault="005D75ED" w:rsidP="005D70E8">
      <w:pPr>
        <w:widowControl w:val="0"/>
        <w:autoSpaceDE w:val="0"/>
        <w:autoSpaceDN w:val="0"/>
        <w:adjustRightInd w:val="0"/>
        <w:spacing w:after="0" w:line="240" w:lineRule="auto"/>
        <w:rPr>
          <w:rFonts w:asciiTheme="minorHAnsi" w:hAnsiTheme="minorHAnsi" w:cstheme="minorHAnsi"/>
          <w:sz w:val="20"/>
          <w:szCs w:val="20"/>
          <w:lang w:val="en-GB"/>
        </w:rPr>
      </w:pPr>
      <w:r w:rsidRPr="005D70E8">
        <w:rPr>
          <w:rStyle w:val="Voetnootmarkering"/>
          <w:rFonts w:asciiTheme="minorHAnsi" w:hAnsiTheme="minorHAnsi" w:cstheme="minorHAnsi"/>
          <w:sz w:val="20"/>
          <w:szCs w:val="20"/>
        </w:rPr>
        <w:footnoteRef/>
      </w:r>
      <w:r w:rsidRPr="005D70E8">
        <w:rPr>
          <w:rFonts w:asciiTheme="minorHAnsi" w:hAnsiTheme="minorHAnsi" w:cstheme="minorHAnsi"/>
          <w:sz w:val="20"/>
          <w:szCs w:val="20"/>
          <w:lang w:val="en-GB"/>
        </w:rPr>
        <w:t xml:space="preserve"> </w:t>
      </w:r>
      <w:r w:rsidRPr="005D70E8">
        <w:rPr>
          <w:rFonts w:asciiTheme="minorHAnsi" w:hAnsiTheme="minorHAnsi" w:cstheme="minorHAnsi"/>
          <w:sz w:val="20"/>
          <w:szCs w:val="20"/>
          <w:lang w:val="en-GB"/>
        </w:rPr>
        <w:t>The Lancet (2014). Series on HIV and sex workers,</w:t>
      </w:r>
      <w:r w:rsidRPr="005D70E8">
        <w:rPr>
          <w:rFonts w:asciiTheme="minorHAnsi" w:hAnsiTheme="minorHAnsi" w:cstheme="minorHAnsi"/>
          <w:noProof/>
          <w:sz w:val="20"/>
          <w:szCs w:val="20"/>
          <w:lang w:val="en-GB"/>
        </w:rPr>
        <w:t xml:space="preserve"> </w:t>
      </w:r>
      <w:hyperlink r:id="rId6" w:history="1">
        <w:r w:rsidRPr="005D70E8">
          <w:rPr>
            <w:rStyle w:val="Hyperlink"/>
            <w:rFonts w:asciiTheme="minorHAnsi" w:hAnsiTheme="minorHAnsi" w:cstheme="minorHAnsi"/>
            <w:sz w:val="20"/>
            <w:szCs w:val="20"/>
            <w:lang w:val="en-GB"/>
          </w:rPr>
          <w:t>https://www.thelancet.com/series/hiv-and-sex-workers</w:t>
        </w:r>
      </w:hyperlink>
      <w:r w:rsidRPr="005D70E8">
        <w:rPr>
          <w:rFonts w:asciiTheme="minorHAnsi" w:hAnsiTheme="minorHAnsi" w:cstheme="minorHAnsi"/>
          <w:sz w:val="20"/>
          <w:szCs w:val="20"/>
          <w:lang w:val="en-GB"/>
        </w:rPr>
        <w:t xml:space="preserve">; </w:t>
      </w:r>
      <w:r w:rsidRPr="005D70E8">
        <w:rPr>
          <w:rFonts w:asciiTheme="minorHAnsi" w:hAnsiTheme="minorHAnsi" w:cstheme="minorHAnsi"/>
          <w:noProof/>
          <w:sz w:val="20"/>
          <w:szCs w:val="20"/>
          <w:lang w:val="en-GB"/>
        </w:rPr>
        <w:t xml:space="preserve">The Lancet Editorial. (2023). Protecting the health of sex workers in the EU. </w:t>
      </w:r>
      <w:r w:rsidRPr="005D70E8">
        <w:rPr>
          <w:rFonts w:asciiTheme="minorHAnsi" w:hAnsiTheme="minorHAnsi" w:cstheme="minorHAnsi"/>
          <w:i/>
          <w:iCs/>
          <w:noProof/>
          <w:sz w:val="20"/>
          <w:szCs w:val="20"/>
          <w:lang w:val="en-GB"/>
        </w:rPr>
        <w:t>The Lancet</w:t>
      </w:r>
      <w:r w:rsidRPr="005D70E8">
        <w:rPr>
          <w:rFonts w:asciiTheme="minorHAnsi" w:hAnsiTheme="minorHAnsi" w:cstheme="minorHAnsi"/>
          <w:noProof/>
          <w:sz w:val="20"/>
          <w:szCs w:val="20"/>
          <w:lang w:val="en-GB"/>
        </w:rPr>
        <w:t xml:space="preserve">, 401.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5A1D2E"/>
    <w:multiLevelType w:val="multilevel"/>
    <w:tmpl w:val="51CA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1543F"/>
    <w:multiLevelType w:val="multilevel"/>
    <w:tmpl w:val="7AA6D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50061"/>
    <w:multiLevelType w:val="multilevel"/>
    <w:tmpl w:val="6150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81ADB"/>
    <w:multiLevelType w:val="multilevel"/>
    <w:tmpl w:val="F78E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7E15FA"/>
    <w:multiLevelType w:val="hybridMultilevel"/>
    <w:tmpl w:val="360CD860"/>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B0E0DAB"/>
    <w:multiLevelType w:val="hybridMultilevel"/>
    <w:tmpl w:val="04E2C2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3037754">
    <w:abstractNumId w:val="6"/>
  </w:num>
  <w:num w:numId="2" w16cid:durableId="55905369">
    <w:abstractNumId w:val="2"/>
  </w:num>
  <w:num w:numId="3" w16cid:durableId="2126998572">
    <w:abstractNumId w:val="5"/>
  </w:num>
  <w:num w:numId="4" w16cid:durableId="578173922">
    <w:abstractNumId w:val="3"/>
  </w:num>
  <w:num w:numId="5" w16cid:durableId="1142771091">
    <w:abstractNumId w:val="4"/>
  </w:num>
  <w:num w:numId="6" w16cid:durableId="384765884">
    <w:abstractNumId w:val="1"/>
  </w:num>
  <w:num w:numId="7" w16cid:durableId="131989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00"/>
    <w:rsid w:val="000233B0"/>
    <w:rsid w:val="00023961"/>
    <w:rsid w:val="00057EC9"/>
    <w:rsid w:val="001836FF"/>
    <w:rsid w:val="00357CE2"/>
    <w:rsid w:val="00364146"/>
    <w:rsid w:val="003F1F96"/>
    <w:rsid w:val="004102D1"/>
    <w:rsid w:val="004504EB"/>
    <w:rsid w:val="004B1E95"/>
    <w:rsid w:val="005A2975"/>
    <w:rsid w:val="005B09F9"/>
    <w:rsid w:val="005D70E8"/>
    <w:rsid w:val="005D75ED"/>
    <w:rsid w:val="005E55FD"/>
    <w:rsid w:val="005F1BE8"/>
    <w:rsid w:val="00781FF6"/>
    <w:rsid w:val="007B2035"/>
    <w:rsid w:val="00806751"/>
    <w:rsid w:val="00864293"/>
    <w:rsid w:val="0086649E"/>
    <w:rsid w:val="00875926"/>
    <w:rsid w:val="008A44D9"/>
    <w:rsid w:val="0092476A"/>
    <w:rsid w:val="00926C76"/>
    <w:rsid w:val="00983D85"/>
    <w:rsid w:val="009C6182"/>
    <w:rsid w:val="00AC0934"/>
    <w:rsid w:val="00BB1F85"/>
    <w:rsid w:val="00C416F3"/>
    <w:rsid w:val="00C65791"/>
    <w:rsid w:val="00C75DC4"/>
    <w:rsid w:val="00D82983"/>
    <w:rsid w:val="00DA4510"/>
    <w:rsid w:val="00DD6C71"/>
    <w:rsid w:val="00E516A3"/>
    <w:rsid w:val="00E94C72"/>
    <w:rsid w:val="00EB0B4F"/>
    <w:rsid w:val="00F35D00"/>
    <w:rsid w:val="00F427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F7FB"/>
  <w15:chartTrackingRefBased/>
  <w15:docId w15:val="{0CA0C059-F715-4E42-AD99-5619544C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before="120" w:after="12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5D00"/>
    <w:pPr>
      <w:spacing w:before="0" w:after="160" w:line="256" w:lineRule="auto"/>
    </w:pPr>
    <w:rPr>
      <w:rFonts w:ascii="Verdana" w:hAnsi="Verdana"/>
      <w:kern w:val="0"/>
      <w:sz w:val="18"/>
      <w14:ligatures w14:val="none"/>
    </w:rPr>
  </w:style>
  <w:style w:type="paragraph" w:styleId="Kop1">
    <w:name w:val="heading 1"/>
    <w:basedOn w:val="Standaard"/>
    <w:next w:val="Standaard"/>
    <w:link w:val="Kop1Char"/>
    <w:autoRedefine/>
    <w:uiPriority w:val="9"/>
    <w:qFormat/>
    <w:rsid w:val="00864293"/>
    <w:pPr>
      <w:widowControl w:val="0"/>
      <w:shd w:val="clear" w:color="auto" w:fill="FFFFFF"/>
      <w:tabs>
        <w:tab w:val="right" w:pos="9072"/>
      </w:tabs>
      <w:spacing w:after="0" w:line="360" w:lineRule="auto"/>
      <w:textAlignment w:val="baseline"/>
      <w:outlineLvl w:val="0"/>
    </w:pPr>
    <w:rPr>
      <w:rFonts w:ascii="Cambria" w:eastAsia="Times New Roman" w:hAnsi="Cambria" w:cs="Times New Roman"/>
      <w:b/>
      <w:bCs/>
      <w:caps/>
      <w:sz w:val="24"/>
      <w:szCs w:val="24"/>
      <w:lang w:val="en-GB"/>
    </w:rPr>
  </w:style>
  <w:style w:type="paragraph" w:styleId="Kop2">
    <w:name w:val="heading 2"/>
    <w:basedOn w:val="Standaard"/>
    <w:next w:val="Standaard"/>
    <w:link w:val="Kop2Char"/>
    <w:autoRedefine/>
    <w:uiPriority w:val="99"/>
    <w:qFormat/>
    <w:rsid w:val="00864293"/>
    <w:pPr>
      <w:widowControl w:val="0"/>
      <w:tabs>
        <w:tab w:val="right" w:pos="9072"/>
      </w:tabs>
      <w:spacing w:before="120" w:after="0" w:line="360" w:lineRule="auto"/>
      <w:outlineLvl w:val="1"/>
    </w:pPr>
    <w:rPr>
      <w:rFonts w:asciiTheme="majorHAnsi" w:eastAsia="Times New Roman" w:hAnsiTheme="majorHAnsi" w:cs="Times New Roman"/>
      <w:b/>
      <w:smallCaps/>
      <w:sz w:val="24"/>
      <w:shd w:val="clear" w:color="auto" w:fill="FFFFFF"/>
      <w:lang w:val="en-GB" w:eastAsia="en-GB"/>
    </w:rPr>
  </w:style>
  <w:style w:type="paragraph" w:styleId="Kop3">
    <w:name w:val="heading 3"/>
    <w:basedOn w:val="Standaard"/>
    <w:next w:val="Standaard"/>
    <w:link w:val="Kop3Char"/>
    <w:autoRedefine/>
    <w:uiPriority w:val="99"/>
    <w:qFormat/>
    <w:rsid w:val="00EB0B4F"/>
    <w:pPr>
      <w:widowControl w:val="0"/>
      <w:shd w:val="clear" w:color="auto" w:fill="FFFFFF"/>
      <w:tabs>
        <w:tab w:val="right" w:pos="9070"/>
      </w:tabs>
      <w:spacing w:after="0" w:line="240" w:lineRule="auto"/>
      <w:outlineLvl w:val="2"/>
    </w:pPr>
    <w:rPr>
      <w:rFonts w:eastAsia="Times New Roman" w:cstheme="minorHAnsi"/>
      <w:b/>
      <w:bCs/>
      <w:sz w:val="24"/>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9"/>
    <w:rsid w:val="00EB0B4F"/>
    <w:rPr>
      <w:rFonts w:eastAsia="Times New Roman" w:cstheme="minorHAnsi"/>
      <w:b/>
      <w:bCs/>
      <w:kern w:val="0"/>
      <w:sz w:val="24"/>
      <w:szCs w:val="20"/>
      <w:shd w:val="clear" w:color="auto" w:fill="FFFFFF"/>
      <w:lang w:val="en-GB"/>
      <w14:ligatures w14:val="none"/>
    </w:rPr>
  </w:style>
  <w:style w:type="character" w:customStyle="1" w:styleId="Kop1Char">
    <w:name w:val="Kop 1 Char"/>
    <w:basedOn w:val="Standaardalinea-lettertype"/>
    <w:link w:val="Kop1"/>
    <w:uiPriority w:val="9"/>
    <w:rsid w:val="00864293"/>
    <w:rPr>
      <w:rFonts w:ascii="Cambria" w:eastAsia="Times New Roman" w:hAnsi="Cambria" w:cs="Times New Roman"/>
      <w:b/>
      <w:bCs/>
      <w:caps/>
      <w:sz w:val="24"/>
      <w:szCs w:val="24"/>
      <w:shd w:val="clear" w:color="auto" w:fill="FFFFFF"/>
      <w:lang w:val="en-GB"/>
    </w:rPr>
  </w:style>
  <w:style w:type="character" w:customStyle="1" w:styleId="Kop2Char">
    <w:name w:val="Kop 2 Char"/>
    <w:basedOn w:val="Standaardalinea-lettertype"/>
    <w:link w:val="Kop2"/>
    <w:uiPriority w:val="99"/>
    <w:rsid w:val="00864293"/>
    <w:rPr>
      <w:rFonts w:asciiTheme="majorHAnsi" w:eastAsia="Times New Roman" w:hAnsiTheme="majorHAnsi" w:cs="Times New Roman"/>
      <w:b/>
      <w:smallCaps/>
      <w:sz w:val="24"/>
      <w:lang w:val="en-GB" w:eastAsia="en-GB"/>
    </w:rPr>
  </w:style>
  <w:style w:type="character" w:styleId="Hyperlink">
    <w:name w:val="Hyperlink"/>
    <w:basedOn w:val="Standaardalinea-lettertype"/>
    <w:uiPriority w:val="99"/>
    <w:unhideWhenUsed/>
    <w:rsid w:val="00F35D00"/>
    <w:rPr>
      <w:color w:val="0000FF"/>
      <w:u w:val="single"/>
    </w:rPr>
  </w:style>
  <w:style w:type="character" w:styleId="Onopgelostemelding">
    <w:name w:val="Unresolved Mention"/>
    <w:basedOn w:val="Standaardalinea-lettertype"/>
    <w:uiPriority w:val="99"/>
    <w:semiHidden/>
    <w:unhideWhenUsed/>
    <w:rsid w:val="004B1E95"/>
    <w:rPr>
      <w:color w:val="605E5C"/>
      <w:shd w:val="clear" w:color="auto" w:fill="E1DFDD"/>
    </w:rPr>
  </w:style>
  <w:style w:type="paragraph" w:styleId="Lijstalinea">
    <w:name w:val="List Paragraph"/>
    <w:basedOn w:val="Standaard"/>
    <w:uiPriority w:val="34"/>
    <w:qFormat/>
    <w:rsid w:val="004B1E95"/>
    <w:pPr>
      <w:ind w:left="720"/>
      <w:contextualSpacing/>
    </w:pPr>
  </w:style>
  <w:style w:type="paragraph" w:styleId="Voetnoottekst">
    <w:name w:val="footnote text"/>
    <w:aliases w:val="Fußnotentext Char1,Fußnotentext Char Char"/>
    <w:basedOn w:val="Standaard"/>
    <w:link w:val="VoetnoottekstChar"/>
    <w:uiPriority w:val="99"/>
    <w:unhideWhenUsed/>
    <w:qFormat/>
    <w:rsid w:val="009C6182"/>
    <w:pPr>
      <w:spacing w:after="0" w:line="240" w:lineRule="auto"/>
    </w:pPr>
    <w:rPr>
      <w:sz w:val="20"/>
      <w:szCs w:val="20"/>
    </w:rPr>
  </w:style>
  <w:style w:type="character" w:customStyle="1" w:styleId="VoetnoottekstChar">
    <w:name w:val="Voetnoottekst Char"/>
    <w:aliases w:val="Fußnotentext Char1 Char,Fußnotentext Char Char Char"/>
    <w:basedOn w:val="Standaardalinea-lettertype"/>
    <w:link w:val="Voetnoottekst"/>
    <w:uiPriority w:val="99"/>
    <w:rsid w:val="009C6182"/>
    <w:rPr>
      <w:rFonts w:ascii="Verdana" w:hAnsi="Verdana"/>
      <w:kern w:val="0"/>
      <w:sz w:val="20"/>
      <w:szCs w:val="20"/>
      <w14:ligatures w14:val="none"/>
    </w:rPr>
  </w:style>
  <w:style w:type="character" w:styleId="Voetnootmarkering">
    <w:name w:val="footnote reference"/>
    <w:basedOn w:val="Standaardalinea-lettertype"/>
    <w:uiPriority w:val="99"/>
    <w:semiHidden/>
    <w:unhideWhenUsed/>
    <w:rsid w:val="009C6182"/>
    <w:rPr>
      <w:vertAlign w:val="superscript"/>
    </w:rPr>
  </w:style>
  <w:style w:type="character" w:styleId="Zwaar">
    <w:name w:val="Strong"/>
    <w:basedOn w:val="Standaardalinea-lettertype"/>
    <w:uiPriority w:val="22"/>
    <w:qFormat/>
    <w:rsid w:val="00C416F3"/>
    <w:rPr>
      <w:b/>
      <w:bCs/>
    </w:rPr>
  </w:style>
  <w:style w:type="paragraph" w:customStyle="1" w:styleId="Body">
    <w:name w:val="Body"/>
    <w:rsid w:val="00781FF6"/>
    <w:pPr>
      <w:pBdr>
        <w:top w:val="nil"/>
        <w:left w:val="nil"/>
        <w:bottom w:val="nil"/>
        <w:right w:val="nil"/>
        <w:between w:val="nil"/>
        <w:bar w:val="nil"/>
      </w:pBdr>
      <w:spacing w:before="0" w:after="0" w:line="240" w:lineRule="auto"/>
    </w:pPr>
    <w:rPr>
      <w:rFonts w:ascii="Calibri" w:eastAsia="Calibri" w:hAnsi="Calibri" w:cs="Calibri"/>
      <w:color w:val="000000"/>
      <w:kern w:val="0"/>
      <w:sz w:val="20"/>
      <w:szCs w:val="20"/>
      <w:u w:color="000000"/>
      <w:bdr w:val="nil"/>
      <w:lang w:val="en-US" w:eastAsia="nl-NL"/>
      <w14:ligatures w14:val="none"/>
    </w:rPr>
  </w:style>
  <w:style w:type="character" w:styleId="Eindnootmarkering">
    <w:name w:val="endnote reference"/>
    <w:basedOn w:val="Standaardalinea-lettertype"/>
    <w:uiPriority w:val="99"/>
    <w:semiHidden/>
    <w:unhideWhenUsed/>
    <w:rsid w:val="008A44D9"/>
    <w:rPr>
      <w:vertAlign w:val="superscript"/>
    </w:rPr>
  </w:style>
  <w:style w:type="paragraph" w:styleId="Eindnoottekst">
    <w:name w:val="endnote text"/>
    <w:basedOn w:val="Standaard"/>
    <w:link w:val="EindnoottekstChar"/>
    <w:uiPriority w:val="99"/>
    <w:unhideWhenUsed/>
    <w:rsid w:val="008A44D9"/>
    <w:pPr>
      <w:spacing w:after="0" w:line="240" w:lineRule="auto"/>
    </w:pPr>
    <w:rPr>
      <w:rFonts w:asciiTheme="minorHAnsi" w:hAnsiTheme="minorHAnsi"/>
      <w:kern w:val="2"/>
      <w:sz w:val="20"/>
      <w:szCs w:val="20"/>
      <w14:ligatures w14:val="standardContextual"/>
    </w:rPr>
  </w:style>
  <w:style w:type="character" w:customStyle="1" w:styleId="EindnoottekstChar">
    <w:name w:val="Eindnoottekst Char"/>
    <w:basedOn w:val="Standaardalinea-lettertype"/>
    <w:link w:val="Eindnoottekst"/>
    <w:uiPriority w:val="99"/>
    <w:rsid w:val="008A44D9"/>
    <w:rPr>
      <w:sz w:val="20"/>
      <w:szCs w:val="20"/>
    </w:rPr>
  </w:style>
  <w:style w:type="character" w:styleId="GevolgdeHyperlink">
    <w:name w:val="FollowedHyperlink"/>
    <w:basedOn w:val="Standaardalinea-lettertype"/>
    <w:uiPriority w:val="99"/>
    <w:semiHidden/>
    <w:unhideWhenUsed/>
    <w:rsid w:val="007B2035"/>
    <w:rPr>
      <w:color w:val="954F72" w:themeColor="followedHyperlink"/>
      <w:u w:val="single"/>
    </w:rPr>
  </w:style>
  <w:style w:type="paragraph" w:customStyle="1" w:styleId="Pa17">
    <w:name w:val="Pa17"/>
    <w:basedOn w:val="Standaard"/>
    <w:next w:val="Standaard"/>
    <w:uiPriority w:val="99"/>
    <w:rsid w:val="00057EC9"/>
    <w:pPr>
      <w:autoSpaceDE w:val="0"/>
      <w:autoSpaceDN w:val="0"/>
      <w:adjustRightInd w:val="0"/>
      <w:spacing w:after="0" w:line="181" w:lineRule="atLeast"/>
    </w:pPr>
    <w:rPr>
      <w:rFonts w:ascii="Times New Roman" w:hAnsi="Times New Roman" w:cs="Times New Roman"/>
      <w:sz w:val="24"/>
      <w:szCs w:val="24"/>
      <w:lang w:val="en-GB"/>
    </w:rPr>
  </w:style>
  <w:style w:type="paragraph" w:styleId="Koptekst">
    <w:name w:val="header"/>
    <w:basedOn w:val="Standaard"/>
    <w:link w:val="KoptekstChar"/>
    <w:uiPriority w:val="99"/>
    <w:unhideWhenUsed/>
    <w:rsid w:val="005D75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5ED"/>
    <w:rPr>
      <w:rFonts w:ascii="Verdana" w:hAnsi="Verdana"/>
      <w:kern w:val="0"/>
      <w:sz w:val="18"/>
      <w14:ligatures w14:val="none"/>
    </w:rPr>
  </w:style>
  <w:style w:type="paragraph" w:styleId="Voettekst">
    <w:name w:val="footer"/>
    <w:basedOn w:val="Standaard"/>
    <w:link w:val="VoettekstChar"/>
    <w:uiPriority w:val="99"/>
    <w:unhideWhenUsed/>
    <w:rsid w:val="005D75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5ED"/>
    <w:rPr>
      <w:rFonts w:ascii="Verdana" w:hAnsi="Verdana"/>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6186">
      <w:bodyDiv w:val="1"/>
      <w:marLeft w:val="0"/>
      <w:marRight w:val="0"/>
      <w:marTop w:val="0"/>
      <w:marBottom w:val="0"/>
      <w:divBdr>
        <w:top w:val="none" w:sz="0" w:space="0" w:color="auto"/>
        <w:left w:val="none" w:sz="0" w:space="0" w:color="auto"/>
        <w:bottom w:val="none" w:sz="0" w:space="0" w:color="auto"/>
        <w:right w:val="none" w:sz="0" w:space="0" w:color="auto"/>
      </w:divBdr>
    </w:div>
    <w:div w:id="1089080449">
      <w:bodyDiv w:val="1"/>
      <w:marLeft w:val="0"/>
      <w:marRight w:val="0"/>
      <w:marTop w:val="0"/>
      <w:marBottom w:val="0"/>
      <w:divBdr>
        <w:top w:val="none" w:sz="0" w:space="0" w:color="auto"/>
        <w:left w:val="none" w:sz="0" w:space="0" w:color="auto"/>
        <w:bottom w:val="none" w:sz="0" w:space="0" w:color="auto"/>
        <w:right w:val="none" w:sz="0" w:space="0" w:color="auto"/>
      </w:divBdr>
    </w:div>
    <w:div w:id="1175073295">
      <w:bodyDiv w:val="1"/>
      <w:marLeft w:val="0"/>
      <w:marRight w:val="0"/>
      <w:marTop w:val="0"/>
      <w:marBottom w:val="0"/>
      <w:divBdr>
        <w:top w:val="none" w:sz="0" w:space="0" w:color="auto"/>
        <w:left w:val="none" w:sz="0" w:space="0" w:color="auto"/>
        <w:bottom w:val="none" w:sz="0" w:space="0" w:color="auto"/>
        <w:right w:val="none" w:sz="0" w:space="0" w:color="auto"/>
      </w:divBdr>
    </w:div>
    <w:div w:id="1371346682">
      <w:bodyDiv w:val="1"/>
      <w:marLeft w:val="0"/>
      <w:marRight w:val="0"/>
      <w:marTop w:val="0"/>
      <w:marBottom w:val="0"/>
      <w:divBdr>
        <w:top w:val="none" w:sz="0" w:space="0" w:color="auto"/>
        <w:left w:val="none" w:sz="0" w:space="0" w:color="auto"/>
        <w:bottom w:val="none" w:sz="0" w:space="0" w:color="auto"/>
        <w:right w:val="none" w:sz="0" w:space="0" w:color="auto"/>
      </w:divBdr>
    </w:div>
    <w:div w:id="1414740568">
      <w:bodyDiv w:val="1"/>
      <w:marLeft w:val="0"/>
      <w:marRight w:val="0"/>
      <w:marTop w:val="0"/>
      <w:marBottom w:val="0"/>
      <w:divBdr>
        <w:top w:val="none" w:sz="0" w:space="0" w:color="auto"/>
        <w:left w:val="none" w:sz="0" w:space="0" w:color="auto"/>
        <w:bottom w:val="none" w:sz="0" w:space="0" w:color="auto"/>
        <w:right w:val="none" w:sz="0" w:space="0" w:color="auto"/>
      </w:divBdr>
    </w:div>
    <w:div w:id="18836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hudoc.echr.coe.int/eng-press?i=003-7811893-1083806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idsfonds.org/resource/sex-work-stigma-and-violence-in-the-netherlands" TargetMode="External"/><Relationship Id="rId2" Type="http://schemas.openxmlformats.org/officeDocument/2006/relationships/hyperlink" Target="https://www.nationaalrapporteur.nl/Publicaties/Jurisprudentie-Mensenhandel-2009-2012/index.aspx" TargetMode="External"/><Relationship Id="rId1" Type="http://schemas.openxmlformats.org/officeDocument/2006/relationships/hyperlink" Target="https://www.dutchrapporteur.nl/publications/reports/2021/01/21/human-trafficking-offenders-monitoring-report-2015-2019-summary" TargetMode="External"/><Relationship Id="rId6" Type="http://schemas.openxmlformats.org/officeDocument/2006/relationships/hyperlink" Target="https://www.thelancet.com/series/hiv-and-sex-workers" TargetMode="External"/><Relationship Id="rId5" Type="http://schemas.openxmlformats.org/officeDocument/2006/relationships/hyperlink" Target="https://www.amnesty.org/en/documents/eur29/5156/2022/en/" TargetMode="External"/><Relationship Id="rId4" Type="http://schemas.openxmlformats.org/officeDocument/2006/relationships/hyperlink" Target="https://stichtingsexpower.nl/the-situation-of-migrant-sex-workers-in-the-nether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Sekswerk Expertise</Contributor>
    <Filename xmlns="d42e65b2-cf21-49c1-b27d-d23f90380c0e" xsi:nil="true"/>
  </documentManagement>
</p:properties>
</file>

<file path=customXml/itemProps1.xml><?xml version="1.0" encoding="utf-8"?>
<ds:datastoreItem xmlns:ds="http://schemas.openxmlformats.org/officeDocument/2006/customXml" ds:itemID="{BCED2CE5-BC1B-498A-AFCD-8607C2CDBAD7}">
  <ds:schemaRefs>
    <ds:schemaRef ds:uri="http://schemas.openxmlformats.org/officeDocument/2006/bibliography"/>
  </ds:schemaRefs>
</ds:datastoreItem>
</file>

<file path=customXml/itemProps2.xml><?xml version="1.0" encoding="utf-8"?>
<ds:datastoreItem xmlns:ds="http://schemas.openxmlformats.org/officeDocument/2006/customXml" ds:itemID="{B53E837E-1273-4890-8072-A0ECD76252E1}"/>
</file>

<file path=customXml/itemProps3.xml><?xml version="1.0" encoding="utf-8"?>
<ds:datastoreItem xmlns:ds="http://schemas.openxmlformats.org/officeDocument/2006/customXml" ds:itemID="{EB3CF417-1EDE-4EBD-A1BE-038839A16C22}"/>
</file>

<file path=customXml/itemProps4.xml><?xml version="1.0" encoding="utf-8"?>
<ds:datastoreItem xmlns:ds="http://schemas.openxmlformats.org/officeDocument/2006/customXml" ds:itemID="{73EB9FDC-5230-48C8-8059-642EFB1959C0}"/>
</file>

<file path=docProps/app.xml><?xml version="1.0" encoding="utf-8"?>
<Properties xmlns="http://schemas.openxmlformats.org/officeDocument/2006/extended-properties" xmlns:vt="http://schemas.openxmlformats.org/officeDocument/2006/docPropsVTypes">
  <Template>Normal.dotm</Template>
  <TotalTime>1444</TotalTime>
  <Pages>5</Pages>
  <Words>2249</Words>
  <Characters>12371</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Wijers</dc:creator>
  <cp:keywords/>
  <dc:description/>
  <cp:lastModifiedBy>Marjan Wijers</cp:lastModifiedBy>
  <cp:revision>6</cp:revision>
  <dcterms:created xsi:type="dcterms:W3CDTF">2024-01-30T22:35:00Z</dcterms:created>
  <dcterms:modified xsi:type="dcterms:W3CDTF">2024-01-31T23:00:00Z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0x0101009D953D6983EF5F4EB0B6A5354F975E96</vt:lpwstr>
  </property>
</Properties>
</file>