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CC4C" w14:textId="77777777" w:rsidR="001C37A7" w:rsidRPr="00293A88" w:rsidRDefault="001C37A7" w:rsidP="001C37A7">
      <w:pPr>
        <w:pStyle w:val="NoSpacing"/>
        <w:rPr>
          <w:rFonts w:ascii="Tw Cen MT" w:hAnsi="Tw Cen MT"/>
          <w:b/>
          <w:bCs/>
        </w:rPr>
      </w:pPr>
    </w:p>
    <w:p w14:paraId="08A7326A" w14:textId="67EDDDFF" w:rsidR="001C37A7" w:rsidRPr="00293A88" w:rsidRDefault="000146C1" w:rsidP="001C37A7">
      <w:pPr>
        <w:pStyle w:val="NoSpacing"/>
        <w:rPr>
          <w:rFonts w:ascii="Tw Cen MT" w:hAnsi="Tw Cen MT"/>
          <w:b/>
          <w:bCs/>
        </w:rPr>
      </w:pPr>
      <w:r>
        <w:rPr>
          <w:rFonts w:ascii="Tw Cen MT" w:hAnsi="Tw Cen MT"/>
          <w:b/>
          <w:bCs/>
        </w:rPr>
        <w:t>I</w:t>
      </w:r>
      <w:r w:rsidRPr="000146C1">
        <w:rPr>
          <w:rFonts w:ascii="Tw Cen MT" w:hAnsi="Tw Cen MT"/>
          <w:b/>
          <w:bCs/>
        </w:rPr>
        <w:t>nput to the</w:t>
      </w:r>
      <w:r w:rsidR="001C37A7" w:rsidRPr="00293A88">
        <w:rPr>
          <w:rFonts w:ascii="Tw Cen MT" w:hAnsi="Tw Cen MT"/>
          <w:b/>
          <w:bCs/>
        </w:rPr>
        <w:t xml:space="preserve"> Report on </w:t>
      </w:r>
      <w:bookmarkStart w:id="0" w:name="_Hlk105580766"/>
      <w:r w:rsidR="001C37A7" w:rsidRPr="000D7CE9">
        <w:rPr>
          <w:rFonts w:ascii="Tw Cen MT" w:hAnsi="Tw Cen MT"/>
          <w:b/>
          <w:bCs/>
        </w:rPr>
        <w:t>prostitution and violence against women and girls</w:t>
      </w:r>
    </w:p>
    <w:bookmarkEnd w:id="0"/>
    <w:p w14:paraId="1F4DBC2C" w14:textId="77777777" w:rsidR="0067450D" w:rsidRDefault="0067450D" w:rsidP="00FC3BC8">
      <w:pPr>
        <w:shd w:val="clear" w:color="auto" w:fill="FFFFFF"/>
        <w:spacing w:after="225"/>
        <w:jc w:val="both"/>
        <w:rPr>
          <w:rFonts w:ascii="Tw Cen MT" w:eastAsia="Times New Roman" w:hAnsi="Tw Cen MT" w:cs="Arial"/>
          <w:bCs/>
          <w:szCs w:val="24"/>
        </w:rPr>
      </w:pPr>
    </w:p>
    <w:p w14:paraId="7A17CAEC" w14:textId="63256CA2" w:rsidR="00353AD9" w:rsidRDefault="00353AD9" w:rsidP="00353AD9">
      <w:pPr>
        <w:pStyle w:val="NoSpacing"/>
        <w:rPr>
          <w:rFonts w:ascii="Tw Cen MT" w:hAnsi="Tw Cen MT"/>
          <w:b/>
          <w:bCs/>
        </w:rPr>
      </w:pPr>
      <w:r>
        <w:rPr>
          <w:rFonts w:ascii="Tw Cen MT" w:hAnsi="Tw Cen MT"/>
          <w:b/>
          <w:bCs/>
        </w:rPr>
        <w:t>Framing sex work and sex workers</w:t>
      </w:r>
    </w:p>
    <w:p w14:paraId="4C9CA03D" w14:textId="77777777" w:rsidR="00353AD9" w:rsidRPr="00353AD9" w:rsidRDefault="00353AD9" w:rsidP="00353AD9">
      <w:pPr>
        <w:pStyle w:val="NoSpacing"/>
        <w:rPr>
          <w:rFonts w:ascii="Tw Cen MT" w:hAnsi="Tw Cen MT"/>
          <w:b/>
          <w:bCs/>
        </w:rPr>
      </w:pPr>
    </w:p>
    <w:p w14:paraId="16CFCFFF" w14:textId="57F05AC5" w:rsidR="002348F6" w:rsidRDefault="00377C57" w:rsidP="00EC4E3A">
      <w:pPr>
        <w:shd w:val="clear" w:color="auto" w:fill="FFFFFF"/>
        <w:spacing w:after="225"/>
        <w:jc w:val="both"/>
        <w:rPr>
          <w:rFonts w:ascii="Tw Cen MT" w:eastAsia="Times New Roman" w:hAnsi="Tw Cen MT" w:cs="Arial"/>
          <w:bCs/>
          <w:szCs w:val="24"/>
        </w:rPr>
      </w:pPr>
      <w:r w:rsidRPr="007F5974">
        <w:rPr>
          <w:rFonts w:ascii="Tw Cen MT" w:eastAsia="Times New Roman" w:hAnsi="Tw Cen MT" w:cs="Arial"/>
          <w:bCs/>
          <w:szCs w:val="24"/>
        </w:rPr>
        <w:t>The term “prostituted women” to refer to women who do sex work</w:t>
      </w:r>
      <w:r w:rsidR="00554689">
        <w:rPr>
          <w:rFonts w:ascii="Tw Cen MT" w:eastAsia="Times New Roman" w:hAnsi="Tw Cen MT" w:cs="Arial"/>
          <w:bCs/>
          <w:szCs w:val="24"/>
        </w:rPr>
        <w:t xml:space="preserve"> and the 1949 Convention </w:t>
      </w:r>
      <w:r w:rsidR="008F1017" w:rsidRPr="00D21B64">
        <w:rPr>
          <w:rFonts w:ascii="Tw Cen MT" w:eastAsia="Times New Roman" w:hAnsi="Tw Cen MT" w:cs="Arial"/>
          <w:bCs/>
          <w:szCs w:val="24"/>
        </w:rPr>
        <w:t>for the Suppression of the Traffic in Persons and of the Exploitation of the Prostitution of Others</w:t>
      </w:r>
      <w:r w:rsidR="00F5510E">
        <w:rPr>
          <w:rFonts w:ascii="Tw Cen MT" w:eastAsia="Times New Roman" w:hAnsi="Tw Cen MT" w:cs="Arial"/>
          <w:bCs/>
          <w:szCs w:val="24"/>
        </w:rPr>
        <w:t>, on</w:t>
      </w:r>
      <w:r w:rsidR="00554689">
        <w:rPr>
          <w:rFonts w:ascii="Tw Cen MT" w:eastAsia="Times New Roman" w:hAnsi="Tw Cen MT" w:cs="Arial"/>
          <w:bCs/>
          <w:szCs w:val="24"/>
        </w:rPr>
        <w:t xml:space="preserve"> which this call for inputs</w:t>
      </w:r>
      <w:r w:rsidR="000475F0">
        <w:rPr>
          <w:rFonts w:ascii="Tw Cen MT" w:eastAsia="Times New Roman" w:hAnsi="Tw Cen MT" w:cs="Arial"/>
          <w:bCs/>
          <w:szCs w:val="24"/>
        </w:rPr>
        <w:t xml:space="preserve"> references</w:t>
      </w:r>
      <w:r w:rsidR="00554689">
        <w:rPr>
          <w:rFonts w:ascii="Tw Cen MT" w:eastAsia="Times New Roman" w:hAnsi="Tw Cen MT" w:cs="Arial"/>
          <w:bCs/>
          <w:szCs w:val="24"/>
        </w:rPr>
        <w:t>,</w:t>
      </w:r>
      <w:r w:rsidR="00937F8C">
        <w:rPr>
          <w:rFonts w:ascii="Tw Cen MT" w:eastAsia="Times New Roman" w:hAnsi="Tw Cen MT" w:cs="Arial"/>
          <w:bCs/>
          <w:szCs w:val="24"/>
        </w:rPr>
        <w:t xml:space="preserve"> assumes</w:t>
      </w:r>
      <w:r w:rsidRPr="007F5974">
        <w:rPr>
          <w:rFonts w:ascii="Tw Cen MT" w:eastAsia="Times New Roman" w:hAnsi="Tw Cen MT" w:cs="Arial"/>
          <w:bCs/>
          <w:szCs w:val="24"/>
        </w:rPr>
        <w:t xml:space="preserve"> that all women who sell sexual services are victims</w:t>
      </w:r>
      <w:r w:rsidR="00937F8C">
        <w:rPr>
          <w:rFonts w:ascii="Tw Cen MT" w:eastAsia="Times New Roman" w:hAnsi="Tw Cen MT" w:cs="Arial"/>
          <w:bCs/>
          <w:szCs w:val="24"/>
        </w:rPr>
        <w:t xml:space="preserve"> lacking agency over their circumstances</w:t>
      </w:r>
      <w:r w:rsidRPr="007F5974">
        <w:rPr>
          <w:rFonts w:ascii="Tw Cen MT" w:eastAsia="Times New Roman" w:hAnsi="Tw Cen MT" w:cs="Arial"/>
          <w:bCs/>
          <w:szCs w:val="24"/>
        </w:rPr>
        <w:t>.</w:t>
      </w:r>
      <w:r w:rsidR="008F7ABD">
        <w:rPr>
          <w:rFonts w:ascii="Tw Cen MT" w:eastAsia="Times New Roman" w:hAnsi="Tw Cen MT" w:cs="Arial"/>
          <w:bCs/>
          <w:szCs w:val="24"/>
        </w:rPr>
        <w:t xml:space="preserve"> </w:t>
      </w:r>
      <w:r w:rsidR="00C41256">
        <w:rPr>
          <w:rFonts w:ascii="Tw Cen MT" w:eastAsia="Times New Roman" w:hAnsi="Tw Cen MT" w:cs="Arial"/>
          <w:bCs/>
          <w:szCs w:val="24"/>
        </w:rPr>
        <w:t>T</w:t>
      </w:r>
      <w:r w:rsidR="008F7ABD" w:rsidRPr="007F5974">
        <w:rPr>
          <w:rFonts w:ascii="Tw Cen MT" w:eastAsia="Times New Roman" w:hAnsi="Tw Cen MT" w:cs="Arial"/>
          <w:bCs/>
          <w:szCs w:val="24"/>
        </w:rPr>
        <w:t xml:space="preserve">he term “sex worker” </w:t>
      </w:r>
      <w:r w:rsidR="00C41256">
        <w:rPr>
          <w:rFonts w:ascii="Tw Cen MT" w:eastAsia="Times New Roman" w:hAnsi="Tw Cen MT" w:cs="Arial"/>
          <w:bCs/>
          <w:szCs w:val="24"/>
        </w:rPr>
        <w:t>is</w:t>
      </w:r>
      <w:r w:rsidR="008F7ABD" w:rsidRPr="007F5974">
        <w:rPr>
          <w:rFonts w:ascii="Tw Cen MT" w:eastAsia="Times New Roman" w:hAnsi="Tw Cen MT" w:cs="Arial"/>
          <w:bCs/>
          <w:szCs w:val="24"/>
        </w:rPr>
        <w:t xml:space="preserve"> used to </w:t>
      </w:r>
      <w:r w:rsidR="008F7ABD">
        <w:rPr>
          <w:rFonts w:ascii="Tw Cen MT" w:eastAsia="Times New Roman" w:hAnsi="Tw Cen MT" w:cs="Arial"/>
          <w:bCs/>
          <w:szCs w:val="24"/>
        </w:rPr>
        <w:t>reflect and respect the immense diversity within this population</w:t>
      </w:r>
      <w:r w:rsidR="008F7ABD" w:rsidRPr="007F5974">
        <w:rPr>
          <w:rFonts w:ascii="Tw Cen MT" w:eastAsia="Times New Roman" w:hAnsi="Tw Cen MT" w:cs="Arial"/>
          <w:bCs/>
          <w:szCs w:val="24"/>
        </w:rPr>
        <w:t>.</w:t>
      </w:r>
      <w:r w:rsidR="00972E61">
        <w:rPr>
          <w:rFonts w:ascii="Tw Cen MT" w:eastAsia="Times New Roman" w:hAnsi="Tw Cen MT" w:cs="Arial"/>
          <w:bCs/>
          <w:szCs w:val="24"/>
        </w:rPr>
        <w:t xml:space="preserve"> </w:t>
      </w:r>
      <w:r w:rsidR="00937F8C">
        <w:rPr>
          <w:rFonts w:ascii="Tw Cen MT" w:eastAsia="Times New Roman" w:hAnsi="Tw Cen MT" w:cs="Arial"/>
          <w:bCs/>
          <w:szCs w:val="24"/>
        </w:rPr>
        <w:t xml:space="preserve">Sex workers </w:t>
      </w:r>
      <w:r w:rsidR="00CC1EF8">
        <w:rPr>
          <w:rFonts w:ascii="Tw Cen MT" w:eastAsia="Times New Roman" w:hAnsi="Tw Cen MT" w:cs="Arial"/>
          <w:bCs/>
          <w:szCs w:val="24"/>
        </w:rPr>
        <w:t>are diverse in terms of</w:t>
      </w:r>
      <w:r w:rsidR="00EC4E3A">
        <w:rPr>
          <w:rFonts w:ascii="Tw Cen MT" w:eastAsia="Times New Roman" w:hAnsi="Tw Cen MT" w:cs="Arial"/>
          <w:bCs/>
          <w:szCs w:val="24"/>
        </w:rPr>
        <w:t>, but not limited to,</w:t>
      </w:r>
      <w:r w:rsidR="00CC1EF8">
        <w:rPr>
          <w:rFonts w:ascii="Tw Cen MT" w:eastAsia="Times New Roman" w:hAnsi="Tw Cen MT" w:cs="Arial"/>
          <w:bCs/>
          <w:szCs w:val="24"/>
        </w:rPr>
        <w:t xml:space="preserve"> </w:t>
      </w:r>
      <w:r w:rsidR="00EC4E3A">
        <w:rPr>
          <w:rFonts w:ascii="Tw Cen MT" w:eastAsia="Times New Roman" w:hAnsi="Tw Cen MT" w:cs="Arial"/>
          <w:bCs/>
          <w:szCs w:val="24"/>
        </w:rPr>
        <w:t>gender, age, health status, documentation, ability, location, area of work, background</w:t>
      </w:r>
      <w:r w:rsidR="00CC1EF8">
        <w:rPr>
          <w:rFonts w:ascii="Tw Cen MT" w:eastAsia="Times New Roman" w:hAnsi="Tw Cen MT" w:cs="Arial"/>
          <w:bCs/>
          <w:szCs w:val="24"/>
        </w:rPr>
        <w:t>.</w:t>
      </w:r>
      <w:r w:rsidR="00043928">
        <w:rPr>
          <w:rStyle w:val="FootnoteReference"/>
          <w:rFonts w:ascii="Tw Cen MT" w:eastAsia="Times New Roman" w:hAnsi="Tw Cen MT" w:cs="Arial"/>
          <w:bCs/>
          <w:szCs w:val="24"/>
        </w:rPr>
        <w:footnoteReference w:id="1"/>
      </w:r>
      <w:r w:rsidR="00F114E1">
        <w:rPr>
          <w:rFonts w:ascii="Tw Cen MT" w:eastAsia="Times New Roman" w:hAnsi="Tw Cen MT" w:cs="Arial"/>
          <w:bCs/>
          <w:szCs w:val="24"/>
        </w:rPr>
        <w:t xml:space="preserve"> Likewise, the clients of sex workers are diverse in their profiles, gender identities and motivations for seeking sexual services.</w:t>
      </w:r>
      <w:r w:rsidR="007676F6">
        <w:rPr>
          <w:rStyle w:val="FootnoteReference"/>
          <w:rFonts w:ascii="Tw Cen MT" w:eastAsia="Times New Roman" w:hAnsi="Tw Cen MT" w:cs="Arial"/>
          <w:bCs/>
          <w:szCs w:val="24"/>
        </w:rPr>
        <w:footnoteReference w:id="2"/>
      </w:r>
      <w:r w:rsidR="00E96CDB">
        <w:rPr>
          <w:rFonts w:ascii="Tw Cen MT" w:eastAsia="Times New Roman" w:hAnsi="Tw Cen MT" w:cs="Arial"/>
          <w:bCs/>
          <w:szCs w:val="24"/>
        </w:rPr>
        <w:t>,</w:t>
      </w:r>
      <w:r w:rsidR="00E96CDB">
        <w:rPr>
          <w:rStyle w:val="FootnoteReference"/>
          <w:rFonts w:ascii="Tw Cen MT" w:eastAsia="Times New Roman" w:hAnsi="Tw Cen MT" w:cs="Arial"/>
          <w:bCs/>
          <w:szCs w:val="24"/>
        </w:rPr>
        <w:footnoteReference w:id="3"/>
      </w:r>
      <w:r w:rsidR="00CC1EF8">
        <w:rPr>
          <w:rFonts w:ascii="Tw Cen MT" w:eastAsia="Times New Roman" w:hAnsi="Tw Cen MT" w:cs="Arial"/>
          <w:bCs/>
          <w:szCs w:val="24"/>
        </w:rPr>
        <w:t xml:space="preserve"> </w:t>
      </w:r>
      <w:r w:rsidR="00EC4E3A" w:rsidRPr="00EC4E3A">
        <w:rPr>
          <w:rFonts w:ascii="Tw Cen MT" w:eastAsia="Times New Roman" w:hAnsi="Tw Cen MT" w:cs="Arial"/>
          <w:bCs/>
          <w:szCs w:val="24"/>
        </w:rPr>
        <w:t>Sex work is the consensual provision of sexual services between adults, which takes many</w:t>
      </w:r>
      <w:r w:rsidR="00EC4E3A">
        <w:rPr>
          <w:rFonts w:ascii="Tw Cen MT" w:eastAsia="Times New Roman" w:hAnsi="Tw Cen MT" w:cs="Arial"/>
          <w:bCs/>
          <w:szCs w:val="24"/>
        </w:rPr>
        <w:t xml:space="preserve"> </w:t>
      </w:r>
      <w:r w:rsidR="00EC4E3A" w:rsidRPr="00EC4E3A">
        <w:rPr>
          <w:rFonts w:ascii="Tw Cen MT" w:eastAsia="Times New Roman" w:hAnsi="Tw Cen MT" w:cs="Arial"/>
          <w:bCs/>
          <w:szCs w:val="24"/>
        </w:rPr>
        <w:t>forms, and varies between and within countries</w:t>
      </w:r>
      <w:r w:rsidR="00EC4E3A">
        <w:rPr>
          <w:rFonts w:ascii="Tw Cen MT" w:eastAsia="Times New Roman" w:hAnsi="Tw Cen MT" w:cs="Arial"/>
          <w:bCs/>
          <w:szCs w:val="24"/>
        </w:rPr>
        <w:t xml:space="preserve"> </w:t>
      </w:r>
      <w:r w:rsidR="00EC4E3A" w:rsidRPr="00EC4E3A">
        <w:rPr>
          <w:rFonts w:ascii="Tw Cen MT" w:eastAsia="Times New Roman" w:hAnsi="Tw Cen MT" w:cs="Arial"/>
          <w:bCs/>
          <w:szCs w:val="24"/>
        </w:rPr>
        <w:t>and communities. Sex work is work, providing a</w:t>
      </w:r>
      <w:r w:rsidR="00EC4E3A">
        <w:rPr>
          <w:rFonts w:ascii="Tw Cen MT" w:eastAsia="Times New Roman" w:hAnsi="Tw Cen MT" w:cs="Arial"/>
          <w:bCs/>
          <w:szCs w:val="24"/>
        </w:rPr>
        <w:t xml:space="preserve"> </w:t>
      </w:r>
      <w:r w:rsidR="00EC4E3A" w:rsidRPr="00EC4E3A">
        <w:rPr>
          <w:rFonts w:ascii="Tw Cen MT" w:eastAsia="Times New Roman" w:hAnsi="Tw Cen MT" w:cs="Arial"/>
          <w:bCs/>
          <w:szCs w:val="24"/>
        </w:rPr>
        <w:t>livelihood for millions around the world</w:t>
      </w:r>
      <w:r w:rsidR="00EC339C">
        <w:rPr>
          <w:rFonts w:ascii="Tw Cen MT" w:eastAsia="Times New Roman" w:hAnsi="Tw Cen MT" w:cs="Arial"/>
          <w:bCs/>
          <w:szCs w:val="24"/>
        </w:rPr>
        <w:t xml:space="preserve"> and </w:t>
      </w:r>
      <w:r w:rsidR="00EC4E3A" w:rsidRPr="00EC4E3A">
        <w:rPr>
          <w:rFonts w:ascii="Tw Cen MT" w:eastAsia="Times New Roman" w:hAnsi="Tw Cen MT" w:cs="Arial"/>
          <w:bCs/>
          <w:szCs w:val="24"/>
        </w:rPr>
        <w:t>includes the exchange</w:t>
      </w:r>
      <w:r w:rsidR="00EC4E3A">
        <w:rPr>
          <w:rFonts w:ascii="Tw Cen MT" w:eastAsia="Times New Roman" w:hAnsi="Tw Cen MT" w:cs="Arial"/>
          <w:bCs/>
          <w:szCs w:val="24"/>
        </w:rPr>
        <w:t xml:space="preserve"> </w:t>
      </w:r>
      <w:r w:rsidR="006A707A">
        <w:rPr>
          <w:rFonts w:ascii="Tw Cen MT" w:eastAsia="Times New Roman" w:hAnsi="Tw Cen MT" w:cs="Arial"/>
          <w:bCs/>
          <w:szCs w:val="24"/>
        </w:rPr>
        <w:t>of</w:t>
      </w:r>
      <w:r w:rsidR="00EC4E3A" w:rsidRPr="00EC4E3A">
        <w:rPr>
          <w:rFonts w:ascii="Tw Cen MT" w:eastAsia="Times New Roman" w:hAnsi="Tw Cen MT" w:cs="Arial"/>
          <w:bCs/>
          <w:szCs w:val="24"/>
        </w:rPr>
        <w:t xml:space="preserve"> </w:t>
      </w:r>
      <w:r w:rsidR="00EC4E3A" w:rsidRPr="00EC4E3A">
        <w:rPr>
          <w:rFonts w:ascii="Tw Cen MT" w:eastAsia="Times New Roman" w:hAnsi="Tw Cen MT" w:cs="Arial"/>
          <w:bCs/>
          <w:szCs w:val="24"/>
        </w:rPr>
        <w:lastRenderedPageBreak/>
        <w:t>sexual services for money, goods, or reward,</w:t>
      </w:r>
      <w:r w:rsidR="00EC4E3A">
        <w:rPr>
          <w:rFonts w:ascii="Tw Cen MT" w:eastAsia="Times New Roman" w:hAnsi="Tw Cen MT" w:cs="Arial"/>
          <w:bCs/>
          <w:szCs w:val="24"/>
        </w:rPr>
        <w:t xml:space="preserve"> </w:t>
      </w:r>
      <w:r w:rsidR="00EC4E3A" w:rsidRPr="00EC4E3A">
        <w:rPr>
          <w:rFonts w:ascii="Tw Cen MT" w:eastAsia="Times New Roman" w:hAnsi="Tw Cen MT" w:cs="Arial"/>
          <w:bCs/>
          <w:szCs w:val="24"/>
        </w:rPr>
        <w:t>either regularly or occasionally.</w:t>
      </w:r>
      <w:r w:rsidR="00EC4E3A">
        <w:rPr>
          <w:rStyle w:val="FootnoteReference"/>
          <w:rFonts w:ascii="Tw Cen MT" w:eastAsia="Times New Roman" w:hAnsi="Tw Cen MT" w:cs="Arial"/>
          <w:bCs/>
          <w:szCs w:val="24"/>
        </w:rPr>
        <w:footnoteReference w:id="4"/>
      </w:r>
      <w:r w:rsidR="00EC4E3A">
        <w:rPr>
          <w:rFonts w:ascii="Tw Cen MT" w:eastAsia="Times New Roman" w:hAnsi="Tw Cen MT" w:cs="Arial"/>
          <w:bCs/>
          <w:szCs w:val="24"/>
        </w:rPr>
        <w:t xml:space="preserve"> </w:t>
      </w:r>
      <w:r w:rsidR="00962FD6" w:rsidRPr="00962FD6">
        <w:rPr>
          <w:rFonts w:ascii="Tw Cen MT" w:eastAsia="Times New Roman" w:hAnsi="Tw Cen MT" w:cs="Arial"/>
          <w:bCs/>
          <w:szCs w:val="24"/>
        </w:rPr>
        <w:t>The term ‘sexual exploitation’ is regularly and harmfully used to describe all sex work</w:t>
      </w:r>
      <w:r w:rsidR="00962FD6">
        <w:rPr>
          <w:rFonts w:ascii="Tw Cen MT" w:eastAsia="Times New Roman" w:hAnsi="Tw Cen MT" w:cs="Arial"/>
          <w:bCs/>
          <w:szCs w:val="24"/>
        </w:rPr>
        <w:t>, increasing the stigma and discrimination faced by sex workers.</w:t>
      </w:r>
      <w:r w:rsidR="00091543">
        <w:rPr>
          <w:rFonts w:ascii="Tw Cen MT" w:eastAsia="Times New Roman" w:hAnsi="Tw Cen MT" w:cs="Arial"/>
          <w:bCs/>
          <w:szCs w:val="24"/>
        </w:rPr>
        <w:t xml:space="preserve"> </w:t>
      </w:r>
      <w:r w:rsidR="00CC1EF8" w:rsidRPr="00CC1EF8">
        <w:rPr>
          <w:rFonts w:ascii="Tw Cen MT" w:eastAsia="Times New Roman" w:hAnsi="Tw Cen MT" w:cs="Arial"/>
          <w:bCs/>
          <w:szCs w:val="24"/>
        </w:rPr>
        <w:t>The conflation of sex work with</w:t>
      </w:r>
      <w:r w:rsidR="00CC1EF8">
        <w:rPr>
          <w:rFonts w:ascii="Tw Cen MT" w:eastAsia="Times New Roman" w:hAnsi="Tw Cen MT" w:cs="Arial"/>
          <w:bCs/>
          <w:szCs w:val="24"/>
        </w:rPr>
        <w:t xml:space="preserve"> </w:t>
      </w:r>
      <w:r w:rsidR="00CC1EF8" w:rsidRPr="00CC1EF8">
        <w:rPr>
          <w:rFonts w:ascii="Tw Cen MT" w:eastAsia="Times New Roman" w:hAnsi="Tw Cen MT" w:cs="Arial"/>
          <w:bCs/>
          <w:szCs w:val="24"/>
        </w:rPr>
        <w:t>exploitation, and the conflation of exploitative</w:t>
      </w:r>
      <w:r w:rsidR="00CC1EF8">
        <w:rPr>
          <w:rFonts w:ascii="Tw Cen MT" w:eastAsia="Times New Roman" w:hAnsi="Tw Cen MT" w:cs="Arial"/>
          <w:bCs/>
          <w:szCs w:val="24"/>
        </w:rPr>
        <w:t xml:space="preserve"> </w:t>
      </w:r>
      <w:r w:rsidR="00CC1EF8" w:rsidRPr="00CC1EF8">
        <w:rPr>
          <w:rFonts w:ascii="Tw Cen MT" w:eastAsia="Times New Roman" w:hAnsi="Tw Cen MT" w:cs="Arial"/>
          <w:bCs/>
          <w:szCs w:val="24"/>
        </w:rPr>
        <w:t>work conditions in the sex industry with trafficking, leads to harmful</w:t>
      </w:r>
      <w:r w:rsidR="00CC1EF8">
        <w:rPr>
          <w:rFonts w:ascii="Tw Cen MT" w:eastAsia="Times New Roman" w:hAnsi="Tw Cen MT" w:cs="Arial"/>
          <w:bCs/>
          <w:szCs w:val="24"/>
        </w:rPr>
        <w:t xml:space="preserve"> </w:t>
      </w:r>
      <w:r w:rsidR="00CC1EF8" w:rsidRPr="00CC1EF8">
        <w:rPr>
          <w:rFonts w:ascii="Tw Cen MT" w:eastAsia="Times New Roman" w:hAnsi="Tw Cen MT" w:cs="Arial"/>
          <w:bCs/>
          <w:szCs w:val="24"/>
        </w:rPr>
        <w:t xml:space="preserve">legislation that </w:t>
      </w:r>
      <w:r w:rsidR="00D43F01">
        <w:rPr>
          <w:rFonts w:ascii="Tw Cen MT" w:eastAsia="Times New Roman" w:hAnsi="Tw Cen MT" w:cs="Arial"/>
          <w:bCs/>
          <w:szCs w:val="24"/>
        </w:rPr>
        <w:t>create impediments to</w:t>
      </w:r>
      <w:r w:rsidR="00CC1EF8" w:rsidRPr="00CC1EF8">
        <w:rPr>
          <w:rFonts w:ascii="Tw Cen MT" w:eastAsia="Times New Roman" w:hAnsi="Tw Cen MT" w:cs="Arial"/>
          <w:bCs/>
          <w:szCs w:val="24"/>
        </w:rPr>
        <w:t xml:space="preserve"> sex workers </w:t>
      </w:r>
      <w:r w:rsidR="00D43F01">
        <w:rPr>
          <w:rFonts w:ascii="Tw Cen MT" w:eastAsia="Times New Roman" w:hAnsi="Tw Cen MT" w:cs="Arial"/>
          <w:bCs/>
          <w:szCs w:val="24"/>
        </w:rPr>
        <w:t xml:space="preserve">access to </w:t>
      </w:r>
      <w:r w:rsidR="00CC1EF8" w:rsidRPr="00CC1EF8">
        <w:rPr>
          <w:rFonts w:ascii="Tw Cen MT" w:eastAsia="Times New Roman" w:hAnsi="Tw Cen MT" w:cs="Arial"/>
          <w:bCs/>
          <w:szCs w:val="24"/>
        </w:rPr>
        <w:t>resources</w:t>
      </w:r>
      <w:r w:rsidR="00D43F01">
        <w:rPr>
          <w:rFonts w:ascii="Tw Cen MT" w:eastAsia="Times New Roman" w:hAnsi="Tw Cen MT" w:cs="Arial"/>
          <w:bCs/>
          <w:szCs w:val="24"/>
        </w:rPr>
        <w:t>, support and services</w:t>
      </w:r>
      <w:r w:rsidR="00CC1EF8" w:rsidRPr="00CC1EF8">
        <w:rPr>
          <w:rFonts w:ascii="Tw Cen MT" w:eastAsia="Times New Roman" w:hAnsi="Tw Cen MT" w:cs="Arial"/>
          <w:bCs/>
          <w:szCs w:val="24"/>
        </w:rPr>
        <w:t xml:space="preserve"> and</w:t>
      </w:r>
      <w:r w:rsidR="00CC1EF8">
        <w:rPr>
          <w:rFonts w:ascii="Tw Cen MT" w:eastAsia="Times New Roman" w:hAnsi="Tw Cen MT" w:cs="Arial"/>
          <w:bCs/>
          <w:szCs w:val="24"/>
        </w:rPr>
        <w:t xml:space="preserve"> </w:t>
      </w:r>
      <w:r w:rsidR="00CC1EF8" w:rsidRPr="00CC1EF8">
        <w:rPr>
          <w:rFonts w:ascii="Tw Cen MT" w:eastAsia="Times New Roman" w:hAnsi="Tw Cen MT" w:cs="Arial"/>
          <w:bCs/>
          <w:szCs w:val="24"/>
        </w:rPr>
        <w:t>prevents them from organising for better work conditions.</w:t>
      </w:r>
      <w:r w:rsidR="00BF6C0C">
        <w:rPr>
          <w:rStyle w:val="FootnoteReference"/>
          <w:rFonts w:ascii="Tw Cen MT" w:eastAsia="Times New Roman" w:hAnsi="Tw Cen MT" w:cs="Arial"/>
          <w:bCs/>
          <w:szCs w:val="24"/>
        </w:rPr>
        <w:footnoteReference w:id="5"/>
      </w:r>
      <w:r w:rsidR="00DF2E33">
        <w:rPr>
          <w:rFonts w:ascii="Tw Cen MT" w:eastAsia="Times New Roman" w:hAnsi="Tw Cen MT" w:cs="Arial"/>
          <w:bCs/>
          <w:szCs w:val="24"/>
        </w:rPr>
        <w:t xml:space="preserve"> </w:t>
      </w:r>
      <w:r w:rsidR="00962FD6" w:rsidRPr="00962FD6">
        <w:rPr>
          <w:rFonts w:ascii="Tw Cen MT" w:eastAsia="Times New Roman" w:hAnsi="Tw Cen MT" w:cs="Arial"/>
          <w:bCs/>
          <w:szCs w:val="24"/>
        </w:rPr>
        <w:t xml:space="preserve">Exploitation, unsafe and unhealthy working conditions exist in many labour sectors. Work does not become something other than work in the presence of these conditions. </w:t>
      </w:r>
      <w:r w:rsidR="00962FD6">
        <w:rPr>
          <w:rFonts w:ascii="Tw Cen MT" w:eastAsia="Times New Roman" w:hAnsi="Tw Cen MT" w:cs="Arial"/>
          <w:bCs/>
          <w:szCs w:val="24"/>
        </w:rPr>
        <w:t>Instead</w:t>
      </w:r>
      <w:r w:rsidR="00962FD6" w:rsidRPr="00962FD6">
        <w:rPr>
          <w:rFonts w:ascii="Tw Cen MT" w:eastAsia="Times New Roman" w:hAnsi="Tw Cen MT" w:cs="Arial"/>
          <w:bCs/>
          <w:szCs w:val="24"/>
        </w:rPr>
        <w:t>, criminalisation creates the conditions in which violations of sex workers’ rights</w:t>
      </w:r>
      <w:r w:rsidR="00B809C0">
        <w:rPr>
          <w:rFonts w:ascii="Tw Cen MT" w:eastAsia="Times New Roman" w:hAnsi="Tw Cen MT" w:cs="Arial"/>
          <w:bCs/>
          <w:szCs w:val="24"/>
        </w:rPr>
        <w:t xml:space="preserve"> </w:t>
      </w:r>
      <w:r w:rsidR="00962FD6" w:rsidRPr="00962FD6">
        <w:rPr>
          <w:rFonts w:ascii="Tw Cen MT" w:eastAsia="Times New Roman" w:hAnsi="Tw Cen MT" w:cs="Arial"/>
          <w:bCs/>
          <w:szCs w:val="24"/>
        </w:rPr>
        <w:t>continue with impunity.</w:t>
      </w:r>
      <w:r w:rsidR="00B37817">
        <w:rPr>
          <w:rStyle w:val="FootnoteReference"/>
          <w:rFonts w:ascii="Tw Cen MT" w:eastAsia="Times New Roman" w:hAnsi="Tw Cen MT" w:cs="Arial"/>
          <w:bCs/>
          <w:szCs w:val="24"/>
        </w:rPr>
        <w:footnoteReference w:id="6"/>
      </w:r>
    </w:p>
    <w:p w14:paraId="7FABB8CA" w14:textId="77777777" w:rsidR="002C1E43" w:rsidRPr="007F5974" w:rsidRDefault="002C1E43" w:rsidP="00EC4E3A">
      <w:pPr>
        <w:shd w:val="clear" w:color="auto" w:fill="FFFFFF"/>
        <w:spacing w:after="225"/>
        <w:jc w:val="both"/>
        <w:rPr>
          <w:rFonts w:ascii="Tw Cen MT" w:eastAsia="Times New Roman" w:hAnsi="Tw Cen MT" w:cs="Arial"/>
          <w:bCs/>
          <w:szCs w:val="24"/>
        </w:rPr>
      </w:pPr>
    </w:p>
    <w:p w14:paraId="609B087F" w14:textId="3B9E300F" w:rsidR="000D01A4" w:rsidRDefault="004E11FA" w:rsidP="001B534E">
      <w:pPr>
        <w:pStyle w:val="Default"/>
        <w:rPr>
          <w:rFonts w:ascii="Tw Cen MT" w:hAnsi="Tw Cen MT"/>
          <w:b/>
          <w:bCs/>
        </w:rPr>
      </w:pPr>
      <w:r>
        <w:rPr>
          <w:rFonts w:ascii="Tw Cen MT" w:hAnsi="Tw Cen MT"/>
          <w:b/>
          <w:bCs/>
        </w:rPr>
        <w:t>Factors perpetuating violence against sex workers</w:t>
      </w:r>
    </w:p>
    <w:p w14:paraId="1424A21F" w14:textId="77777777" w:rsidR="001D7351" w:rsidRDefault="001D7351" w:rsidP="001B534E">
      <w:pPr>
        <w:pStyle w:val="Default"/>
        <w:rPr>
          <w:rFonts w:ascii="Tw Cen MT" w:hAnsi="Tw Cen MT"/>
          <w:b/>
          <w:bCs/>
        </w:rPr>
      </w:pPr>
    </w:p>
    <w:p w14:paraId="3E47E9CE" w14:textId="77777777" w:rsidR="001D7351" w:rsidRPr="007F5974" w:rsidRDefault="001D7351" w:rsidP="001B534E">
      <w:pPr>
        <w:pStyle w:val="Default"/>
        <w:rPr>
          <w:rFonts w:ascii="Tw Cen MT" w:hAnsi="Tw Cen MT"/>
          <w:b/>
          <w:bCs/>
        </w:rPr>
      </w:pPr>
    </w:p>
    <w:p w14:paraId="1C0CD3A0" w14:textId="40F9ECA9" w:rsidR="000D01A4" w:rsidRDefault="007F5974" w:rsidP="00F040AC">
      <w:pPr>
        <w:pStyle w:val="Default"/>
        <w:jc w:val="both"/>
        <w:rPr>
          <w:rFonts w:ascii="Tw Cen MT" w:hAnsi="Tw Cen MT"/>
        </w:rPr>
      </w:pPr>
      <w:r>
        <w:rPr>
          <w:rFonts w:ascii="Tw Cen MT" w:hAnsi="Tw Cen MT"/>
        </w:rPr>
        <w:t>C</w:t>
      </w:r>
      <w:r w:rsidRPr="00695A2D">
        <w:rPr>
          <w:rFonts w:ascii="Tw Cen MT" w:hAnsi="Tw Cen MT"/>
        </w:rPr>
        <w:t>riminalisation</w:t>
      </w:r>
      <w:r w:rsidR="00210ECC">
        <w:rPr>
          <w:rFonts w:ascii="Tw Cen MT" w:hAnsi="Tw Cen MT"/>
        </w:rPr>
        <w:t xml:space="preserve">, stigma and discrimination </w:t>
      </w:r>
      <w:r>
        <w:rPr>
          <w:rFonts w:ascii="Tw Cen MT" w:hAnsi="Tw Cen MT"/>
        </w:rPr>
        <w:t xml:space="preserve">are underlying conditions that </w:t>
      </w:r>
      <w:r w:rsidR="00210ECC">
        <w:rPr>
          <w:rFonts w:ascii="Tw Cen MT" w:hAnsi="Tw Cen MT"/>
        </w:rPr>
        <w:t>foster</w:t>
      </w:r>
      <w:r>
        <w:rPr>
          <w:rFonts w:ascii="Tw Cen MT" w:hAnsi="Tw Cen MT"/>
        </w:rPr>
        <w:t xml:space="preserve"> all types of violence against sex workers</w:t>
      </w:r>
      <w:r w:rsidR="00B222D4">
        <w:rPr>
          <w:rFonts w:ascii="Tw Cen MT" w:hAnsi="Tw Cen MT"/>
        </w:rPr>
        <w:t>, including extortion, threats, humiliation, detention, isolation</w:t>
      </w:r>
      <w:r w:rsidR="004140DA">
        <w:rPr>
          <w:rFonts w:ascii="Tw Cen MT" w:hAnsi="Tw Cen MT"/>
        </w:rPr>
        <w:t>,</w:t>
      </w:r>
      <w:r w:rsidR="00B222D4">
        <w:rPr>
          <w:rFonts w:ascii="Tw Cen MT" w:hAnsi="Tw Cen MT"/>
        </w:rPr>
        <w:t xml:space="preserve"> deprivation of basic human rights and access to services</w:t>
      </w:r>
      <w:r w:rsidRPr="00695A2D">
        <w:rPr>
          <w:rFonts w:ascii="Tw Cen MT" w:hAnsi="Tw Cen MT"/>
        </w:rPr>
        <w:t>.</w:t>
      </w:r>
      <w:r>
        <w:rPr>
          <w:rFonts w:ascii="Tw Cen MT" w:hAnsi="Tw Cen MT"/>
        </w:rPr>
        <w:t xml:space="preserve"> </w:t>
      </w:r>
      <w:r w:rsidR="00F040AC" w:rsidRPr="00EE376D">
        <w:rPr>
          <w:rFonts w:ascii="Tw Cen MT" w:hAnsi="Tw Cen MT"/>
        </w:rPr>
        <w:t>The stigma and social rejection accompanied by criminalis</w:t>
      </w:r>
      <w:r w:rsidR="005419BD">
        <w:rPr>
          <w:rFonts w:ascii="Tw Cen MT" w:hAnsi="Tw Cen MT"/>
        </w:rPr>
        <w:t>ation</w:t>
      </w:r>
      <w:r w:rsidR="00F040AC" w:rsidRPr="00EE376D">
        <w:rPr>
          <w:rFonts w:ascii="Tw Cen MT" w:hAnsi="Tw Cen MT"/>
        </w:rPr>
        <w:t xml:space="preserve"> fuel human rights abuses, including from healthcare providers. Violence perpetrated by health service providers can take many forms, including refusal of services</w:t>
      </w:r>
      <w:r w:rsidR="00A022AD">
        <w:rPr>
          <w:rFonts w:ascii="Tw Cen MT" w:hAnsi="Tw Cen MT"/>
        </w:rPr>
        <w:t>, medication and prevention commodities</w:t>
      </w:r>
      <w:r w:rsidR="00F040AC" w:rsidRPr="00EE376D">
        <w:rPr>
          <w:rFonts w:ascii="Tw Cen MT" w:hAnsi="Tw Cen MT"/>
        </w:rPr>
        <w:t xml:space="preserve">, stigmatising and shaming </w:t>
      </w:r>
      <w:r w:rsidR="00FC5C5E">
        <w:rPr>
          <w:rFonts w:ascii="Tw Cen MT" w:hAnsi="Tw Cen MT"/>
        </w:rPr>
        <w:t>remarks</w:t>
      </w:r>
      <w:r w:rsidR="00F040AC" w:rsidRPr="00EE376D">
        <w:rPr>
          <w:rFonts w:ascii="Tw Cen MT" w:hAnsi="Tw Cen MT"/>
        </w:rPr>
        <w:t xml:space="preserve">, and requiring sex workers to undergo testing or procedures unconnected to their medical condition. </w:t>
      </w:r>
      <w:r w:rsidRPr="00695A2D">
        <w:rPr>
          <w:rFonts w:ascii="Tw Cen MT" w:hAnsi="Tw Cen MT"/>
        </w:rPr>
        <w:t xml:space="preserve">Sex workers </w:t>
      </w:r>
      <w:r w:rsidR="00F040AC">
        <w:rPr>
          <w:rFonts w:ascii="Tw Cen MT" w:hAnsi="Tw Cen MT"/>
        </w:rPr>
        <w:t xml:space="preserve">also </w:t>
      </w:r>
      <w:r w:rsidRPr="00695A2D">
        <w:rPr>
          <w:rFonts w:ascii="Tw Cen MT" w:hAnsi="Tw Cen MT"/>
        </w:rPr>
        <w:t>experience violence from clients, family, intimate partners,</w:t>
      </w:r>
      <w:r>
        <w:rPr>
          <w:rFonts w:ascii="Tw Cen MT" w:hAnsi="Tw Cen MT"/>
        </w:rPr>
        <w:t xml:space="preserve"> </w:t>
      </w:r>
      <w:r w:rsidRPr="00695A2D">
        <w:rPr>
          <w:rFonts w:ascii="Tw Cen MT" w:hAnsi="Tw Cen MT"/>
        </w:rPr>
        <w:t>acquaintances, strangers, and from managemen</w:t>
      </w:r>
      <w:r>
        <w:rPr>
          <w:rFonts w:ascii="Tw Cen MT" w:hAnsi="Tw Cen MT"/>
        </w:rPr>
        <w:t xml:space="preserve">t </w:t>
      </w:r>
      <w:r w:rsidRPr="00695A2D">
        <w:rPr>
          <w:rFonts w:ascii="Tw Cen MT" w:hAnsi="Tw Cen MT"/>
        </w:rPr>
        <w:t>and colleagues</w:t>
      </w:r>
      <w:r>
        <w:rPr>
          <w:rFonts w:ascii="Tw Cen MT" w:hAnsi="Tw Cen MT"/>
        </w:rPr>
        <w:t xml:space="preserve"> </w:t>
      </w:r>
      <w:r w:rsidR="00CE78F6">
        <w:rPr>
          <w:rFonts w:ascii="Tw Cen MT" w:hAnsi="Tw Cen MT"/>
        </w:rPr>
        <w:t>due to</w:t>
      </w:r>
      <w:r>
        <w:rPr>
          <w:rFonts w:ascii="Tw Cen MT" w:hAnsi="Tw Cen MT"/>
        </w:rPr>
        <w:t xml:space="preserve"> stigmatisation</w:t>
      </w:r>
      <w:r w:rsidRPr="00695A2D">
        <w:rPr>
          <w:rFonts w:ascii="Tw Cen MT" w:hAnsi="Tw Cen MT"/>
        </w:rPr>
        <w:t>. This violence occurs in many contexts: i</w:t>
      </w:r>
      <w:r>
        <w:rPr>
          <w:rFonts w:ascii="Tw Cen MT" w:hAnsi="Tw Cen MT"/>
        </w:rPr>
        <w:t xml:space="preserve">n </w:t>
      </w:r>
      <w:r w:rsidRPr="00695A2D">
        <w:rPr>
          <w:rFonts w:ascii="Tw Cen MT" w:hAnsi="Tw Cen MT"/>
        </w:rPr>
        <w:t>workplaces, at health and social service agencies,</w:t>
      </w:r>
      <w:r>
        <w:rPr>
          <w:rFonts w:ascii="Tw Cen MT" w:hAnsi="Tw Cen MT"/>
        </w:rPr>
        <w:t xml:space="preserve"> </w:t>
      </w:r>
      <w:r w:rsidRPr="00695A2D">
        <w:rPr>
          <w:rFonts w:ascii="Tw Cen MT" w:hAnsi="Tw Cen MT"/>
        </w:rPr>
        <w:t>in detention centres, public spaces, and at home.</w:t>
      </w:r>
      <w:r w:rsidR="00CA66ED" w:rsidRPr="00CA66ED">
        <w:rPr>
          <w:rStyle w:val="FootnoteReference"/>
          <w:rFonts w:ascii="Tw Cen MT" w:hAnsi="Tw Cen MT"/>
        </w:rPr>
        <w:t xml:space="preserve"> </w:t>
      </w:r>
      <w:r w:rsidR="00CA66ED">
        <w:rPr>
          <w:rStyle w:val="FootnoteReference"/>
          <w:rFonts w:ascii="Tw Cen MT" w:hAnsi="Tw Cen MT"/>
        </w:rPr>
        <w:footnoteReference w:id="7"/>
      </w:r>
      <w:r w:rsidR="000F5F94">
        <w:rPr>
          <w:rFonts w:ascii="Tw Cen MT" w:hAnsi="Tw Cen MT"/>
        </w:rPr>
        <w:t xml:space="preserve"> </w:t>
      </w:r>
    </w:p>
    <w:p w14:paraId="5328B330" w14:textId="77777777" w:rsidR="000D01A4" w:rsidRDefault="000D01A4" w:rsidP="00F040AC">
      <w:pPr>
        <w:pStyle w:val="Default"/>
        <w:jc w:val="both"/>
        <w:rPr>
          <w:rFonts w:ascii="Tw Cen MT" w:hAnsi="Tw Cen MT"/>
        </w:rPr>
      </w:pPr>
    </w:p>
    <w:p w14:paraId="5C08081D" w14:textId="6A06B2CA" w:rsidR="00B937E0" w:rsidRDefault="000D01A4" w:rsidP="00F040AC">
      <w:pPr>
        <w:pStyle w:val="Default"/>
        <w:jc w:val="both"/>
        <w:rPr>
          <w:rFonts w:ascii="Tw Cen MT" w:hAnsi="Tw Cen MT"/>
        </w:rPr>
      </w:pPr>
      <w:r w:rsidRPr="00EE376D">
        <w:rPr>
          <w:rFonts w:ascii="Tw Cen MT" w:hAnsi="Tw Cen MT"/>
        </w:rPr>
        <w:t>When sex workers are forced to operate in a criminalised context, they are denied basic rights, such as the right to health, labour and social protections, economic services, and justice because they are seen and treated as criminals. Criminalisation of sex work is one of several interrelated structural factors that create vulnerability and barriers to sex workers’ right to health.</w:t>
      </w:r>
      <w:r w:rsidR="002150C0" w:rsidRPr="002150C0">
        <w:rPr>
          <w:rStyle w:val="FootnoteReference"/>
          <w:rFonts w:ascii="Tw Cen MT" w:hAnsi="Tw Cen MT"/>
        </w:rPr>
        <w:t xml:space="preserve"> </w:t>
      </w:r>
      <w:r w:rsidR="002150C0">
        <w:rPr>
          <w:rStyle w:val="FootnoteReference"/>
          <w:rFonts w:ascii="Tw Cen MT" w:hAnsi="Tw Cen MT"/>
        </w:rPr>
        <w:footnoteReference w:id="8"/>
      </w:r>
      <w:r w:rsidR="002150C0">
        <w:rPr>
          <w:rFonts w:ascii="Tw Cen MT" w:hAnsi="Tw Cen MT"/>
        </w:rPr>
        <w:t>,</w:t>
      </w:r>
      <w:r w:rsidR="002150C0">
        <w:rPr>
          <w:rStyle w:val="FootnoteReference"/>
          <w:rFonts w:ascii="Tw Cen MT" w:hAnsi="Tw Cen MT"/>
        </w:rPr>
        <w:footnoteReference w:id="9"/>
      </w:r>
      <w:r w:rsidR="00DF4578">
        <w:rPr>
          <w:rFonts w:ascii="Tw Cen MT" w:hAnsi="Tw Cen MT"/>
        </w:rPr>
        <w:t xml:space="preserve"> </w:t>
      </w:r>
      <w:r w:rsidR="00DF4578" w:rsidRPr="00EE376D">
        <w:rPr>
          <w:rFonts w:ascii="Tw Cen MT" w:hAnsi="Tw Cen MT"/>
        </w:rPr>
        <w:t>In almost every country, sex work is in some way criminalised, compromising the health and wellbeing of sex workers worldwide.</w:t>
      </w:r>
      <w:r w:rsidRPr="00EE376D">
        <w:rPr>
          <w:rFonts w:ascii="Tw Cen MT" w:hAnsi="Tw Cen MT"/>
        </w:rPr>
        <w:t xml:space="preserve"> </w:t>
      </w:r>
      <w:r w:rsidR="007F5974" w:rsidRPr="00695A2D">
        <w:rPr>
          <w:rFonts w:ascii="Tw Cen MT" w:hAnsi="Tw Cen MT"/>
        </w:rPr>
        <w:t>Criminalisation</w:t>
      </w:r>
      <w:r w:rsidR="007F5974">
        <w:rPr>
          <w:rFonts w:ascii="Tw Cen MT" w:hAnsi="Tw Cen MT"/>
        </w:rPr>
        <w:t xml:space="preserve"> </w:t>
      </w:r>
      <w:r w:rsidR="007F5974" w:rsidRPr="00695A2D">
        <w:rPr>
          <w:rFonts w:ascii="Tw Cen MT" w:hAnsi="Tw Cen MT"/>
        </w:rPr>
        <w:t xml:space="preserve">of sex work </w:t>
      </w:r>
      <w:r w:rsidR="00BD36BE">
        <w:rPr>
          <w:rFonts w:ascii="Tw Cen MT" w:hAnsi="Tw Cen MT"/>
        </w:rPr>
        <w:t>creates a culture of impunity</w:t>
      </w:r>
      <w:r w:rsidR="007F5974" w:rsidRPr="00695A2D">
        <w:rPr>
          <w:rFonts w:ascii="Tw Cen MT" w:hAnsi="Tw Cen MT"/>
        </w:rPr>
        <w:t xml:space="preserve">, </w:t>
      </w:r>
      <w:r w:rsidR="008D5661">
        <w:rPr>
          <w:rFonts w:ascii="Tw Cen MT" w:hAnsi="Tw Cen MT"/>
        </w:rPr>
        <w:t xml:space="preserve">hindering sex workers from reporting </w:t>
      </w:r>
      <w:r w:rsidR="007F5974" w:rsidRPr="00695A2D">
        <w:rPr>
          <w:rFonts w:ascii="Tw Cen MT" w:hAnsi="Tw Cen MT"/>
        </w:rPr>
        <w:t>violence.</w:t>
      </w:r>
      <w:r w:rsidR="007F5974">
        <w:rPr>
          <w:rFonts w:ascii="Tw Cen MT" w:hAnsi="Tw Cen MT"/>
        </w:rPr>
        <w:t xml:space="preserve"> </w:t>
      </w:r>
      <w:r w:rsidR="00CB2E36" w:rsidRPr="00EE376D">
        <w:rPr>
          <w:rFonts w:ascii="Tw Cen MT" w:hAnsi="Tw Cen MT"/>
        </w:rPr>
        <w:t xml:space="preserve">When sex workers are viewed as ‘criminals’ under the law, violence against them is encouraged, even when they are reporting violence. </w:t>
      </w:r>
      <w:r w:rsidR="007F5974" w:rsidRPr="007329CB">
        <w:rPr>
          <w:rFonts w:ascii="Tw Cen MT" w:hAnsi="Tw Cen MT"/>
        </w:rPr>
        <w:t>As criminalisation puts sex workers under a constant</w:t>
      </w:r>
      <w:r w:rsidR="007F5974">
        <w:rPr>
          <w:rFonts w:ascii="Tw Cen MT" w:hAnsi="Tw Cen MT"/>
        </w:rPr>
        <w:t xml:space="preserve"> </w:t>
      </w:r>
      <w:r w:rsidR="007F5974" w:rsidRPr="007329CB">
        <w:rPr>
          <w:rFonts w:ascii="Tw Cen MT" w:hAnsi="Tw Cen MT"/>
        </w:rPr>
        <w:t>threat of arrest, law enforcement may</w:t>
      </w:r>
      <w:r w:rsidR="0026242A">
        <w:rPr>
          <w:rFonts w:ascii="Tw Cen MT" w:hAnsi="Tw Cen MT"/>
        </w:rPr>
        <w:t xml:space="preserve"> even</w:t>
      </w:r>
      <w:r w:rsidR="007F5974" w:rsidRPr="007329CB">
        <w:rPr>
          <w:rFonts w:ascii="Tw Cen MT" w:hAnsi="Tw Cen MT"/>
        </w:rPr>
        <w:t xml:space="preserve"> extort</w:t>
      </w:r>
      <w:r w:rsidR="007F5974">
        <w:rPr>
          <w:rFonts w:ascii="Tw Cen MT" w:hAnsi="Tw Cen MT"/>
        </w:rPr>
        <w:t xml:space="preserve"> </w:t>
      </w:r>
      <w:r w:rsidR="007F5974" w:rsidRPr="007329CB">
        <w:rPr>
          <w:rFonts w:ascii="Tw Cen MT" w:hAnsi="Tw Cen MT"/>
        </w:rPr>
        <w:t>money, information and sex in exchange for</w:t>
      </w:r>
      <w:r w:rsidR="007F5974">
        <w:rPr>
          <w:rFonts w:ascii="Tw Cen MT" w:hAnsi="Tw Cen MT"/>
        </w:rPr>
        <w:t xml:space="preserve"> </w:t>
      </w:r>
      <w:r w:rsidR="007F5974" w:rsidRPr="007329CB">
        <w:rPr>
          <w:rFonts w:ascii="Tw Cen MT" w:hAnsi="Tw Cen MT"/>
        </w:rPr>
        <w:t>avoiding arrest.</w:t>
      </w:r>
      <w:r w:rsidR="00DF4C09">
        <w:rPr>
          <w:rStyle w:val="FootnoteReference"/>
          <w:rFonts w:ascii="Tw Cen MT" w:hAnsi="Tw Cen MT"/>
        </w:rPr>
        <w:footnoteReference w:id="10"/>
      </w:r>
      <w:r w:rsidR="00BD36BE">
        <w:rPr>
          <w:rFonts w:ascii="Tw Cen MT" w:hAnsi="Tw Cen MT"/>
        </w:rPr>
        <w:t xml:space="preserve"> </w:t>
      </w:r>
      <w:r w:rsidR="00112D68" w:rsidRPr="009D3C06">
        <w:rPr>
          <w:rFonts w:ascii="Tw Cen MT" w:hAnsi="Tw Cen MT"/>
        </w:rPr>
        <w:t xml:space="preserve">Regional studies </w:t>
      </w:r>
      <w:r w:rsidR="00112D68" w:rsidRPr="009D3C06">
        <w:rPr>
          <w:rFonts w:ascii="Tw Cen MT" w:hAnsi="Tw Cen MT"/>
        </w:rPr>
        <w:lastRenderedPageBreak/>
        <w:t>conducted by and with sex</w:t>
      </w:r>
      <w:r w:rsidR="00112D68">
        <w:rPr>
          <w:rFonts w:ascii="Tw Cen MT" w:hAnsi="Tw Cen MT"/>
        </w:rPr>
        <w:t xml:space="preserve"> </w:t>
      </w:r>
      <w:r w:rsidR="00112D68" w:rsidRPr="009D3C06">
        <w:rPr>
          <w:rFonts w:ascii="Tw Cen MT" w:hAnsi="Tw Cen MT"/>
        </w:rPr>
        <w:t>worker networks in the Asia-Pacific</w:t>
      </w:r>
      <w:r w:rsidR="00112D68">
        <w:rPr>
          <w:rStyle w:val="FootnoteReference"/>
          <w:rFonts w:ascii="Tw Cen MT" w:hAnsi="Tw Cen MT"/>
        </w:rPr>
        <w:footnoteReference w:id="11"/>
      </w:r>
      <w:r w:rsidR="00112D68" w:rsidRPr="009D3C06">
        <w:rPr>
          <w:rFonts w:ascii="Tw Cen MT" w:hAnsi="Tw Cen MT"/>
        </w:rPr>
        <w:t>, Latin America</w:t>
      </w:r>
      <w:r w:rsidR="00112D68">
        <w:rPr>
          <w:rStyle w:val="FootnoteReference"/>
          <w:rFonts w:ascii="Tw Cen MT" w:hAnsi="Tw Cen MT"/>
        </w:rPr>
        <w:footnoteReference w:id="12"/>
      </w:r>
      <w:r w:rsidR="00112D68" w:rsidRPr="009D3C06">
        <w:rPr>
          <w:rFonts w:ascii="Tw Cen MT" w:hAnsi="Tw Cen MT"/>
        </w:rPr>
        <w:t>, Africa</w:t>
      </w:r>
      <w:r w:rsidR="00112D68">
        <w:rPr>
          <w:rStyle w:val="FootnoteReference"/>
          <w:rFonts w:ascii="Tw Cen MT" w:hAnsi="Tw Cen MT"/>
        </w:rPr>
        <w:footnoteReference w:id="13"/>
      </w:r>
      <w:r w:rsidR="00112D68" w:rsidRPr="009D3C06">
        <w:rPr>
          <w:rFonts w:ascii="Tw Cen MT" w:hAnsi="Tw Cen MT"/>
        </w:rPr>
        <w:t>, and Eastern</w:t>
      </w:r>
      <w:r w:rsidR="00112D68">
        <w:rPr>
          <w:rFonts w:ascii="Tw Cen MT" w:hAnsi="Tw Cen MT"/>
        </w:rPr>
        <w:t xml:space="preserve"> </w:t>
      </w:r>
      <w:r w:rsidR="00112D68" w:rsidRPr="009D3C06">
        <w:rPr>
          <w:rFonts w:ascii="Tw Cen MT" w:hAnsi="Tw Cen MT"/>
        </w:rPr>
        <w:t>Europe and Central Asia</w:t>
      </w:r>
      <w:r w:rsidR="00112D68">
        <w:rPr>
          <w:rStyle w:val="FootnoteReference"/>
          <w:rFonts w:ascii="Tw Cen MT" w:hAnsi="Tw Cen MT"/>
        </w:rPr>
        <w:footnoteReference w:id="14"/>
      </w:r>
      <w:r w:rsidR="00112D68" w:rsidRPr="009D3C06">
        <w:rPr>
          <w:rFonts w:ascii="Tw Cen MT" w:hAnsi="Tw Cen MT"/>
        </w:rPr>
        <w:t xml:space="preserve"> </w:t>
      </w:r>
      <w:r w:rsidR="00112D68">
        <w:rPr>
          <w:rFonts w:ascii="Tw Cen MT" w:hAnsi="Tw Cen MT"/>
        </w:rPr>
        <w:t xml:space="preserve">regions </w:t>
      </w:r>
      <w:r w:rsidR="009C5282" w:rsidRPr="00EE376D">
        <w:rPr>
          <w:rFonts w:ascii="Tw Cen MT" w:hAnsi="Tw Cen MT"/>
        </w:rPr>
        <w:t>document that police are among the main perpetrators of sexual, physical and emotional violence against sex workers.</w:t>
      </w:r>
    </w:p>
    <w:p w14:paraId="4C47A112" w14:textId="25653203" w:rsidR="00DE6E8C" w:rsidRPr="00DE6E8C" w:rsidRDefault="00DE6E8C" w:rsidP="00DE6E8C">
      <w:pPr>
        <w:spacing w:before="100" w:beforeAutospacing="1" w:after="100" w:afterAutospacing="1"/>
        <w:jc w:val="both"/>
        <w:rPr>
          <w:rFonts w:ascii="Tw Cen MT" w:eastAsia="Times New Roman" w:hAnsi="Tw Cen MT"/>
          <w:szCs w:val="24"/>
        </w:rPr>
      </w:pPr>
      <w:r>
        <w:rPr>
          <w:rFonts w:ascii="Tw Cen MT" w:eastAsia="Times New Roman" w:hAnsi="Tw Cen MT"/>
          <w:szCs w:val="24"/>
        </w:rPr>
        <w:t xml:space="preserve">Under </w:t>
      </w:r>
      <w:r w:rsidRPr="00F82EA5">
        <w:rPr>
          <w:rFonts w:ascii="Tw Cen MT" w:eastAsia="Times New Roman" w:hAnsi="Tw Cen MT"/>
          <w:szCs w:val="24"/>
        </w:rPr>
        <w:t>the ‘Nordic</w:t>
      </w:r>
      <w:r>
        <w:rPr>
          <w:rFonts w:ascii="Tw Cen MT" w:eastAsia="Times New Roman" w:hAnsi="Tw Cen MT"/>
          <w:szCs w:val="24"/>
        </w:rPr>
        <w:t xml:space="preserve"> </w:t>
      </w:r>
      <w:r w:rsidRPr="00F82EA5">
        <w:rPr>
          <w:rFonts w:ascii="Tw Cen MT" w:eastAsia="Times New Roman" w:hAnsi="Tw Cen MT"/>
          <w:szCs w:val="24"/>
        </w:rPr>
        <w:t>model’, which purports to ‘only’ criminalise</w:t>
      </w:r>
      <w:r>
        <w:rPr>
          <w:rFonts w:ascii="Tw Cen MT" w:eastAsia="Times New Roman" w:hAnsi="Tw Cen MT"/>
          <w:szCs w:val="24"/>
        </w:rPr>
        <w:t xml:space="preserve"> </w:t>
      </w:r>
      <w:r w:rsidRPr="00F82EA5">
        <w:rPr>
          <w:rFonts w:ascii="Tw Cen MT" w:eastAsia="Times New Roman" w:hAnsi="Tw Cen MT"/>
          <w:szCs w:val="24"/>
        </w:rPr>
        <w:t>clients or third parties, the criminalisation of</w:t>
      </w:r>
      <w:r>
        <w:rPr>
          <w:rFonts w:ascii="Tw Cen MT" w:eastAsia="Times New Roman" w:hAnsi="Tw Cen MT"/>
          <w:szCs w:val="24"/>
        </w:rPr>
        <w:t xml:space="preserve"> </w:t>
      </w:r>
      <w:r w:rsidRPr="00F82EA5">
        <w:rPr>
          <w:rFonts w:ascii="Tw Cen MT" w:eastAsia="Times New Roman" w:hAnsi="Tw Cen MT"/>
          <w:szCs w:val="24"/>
        </w:rPr>
        <w:t>the purchase of sex leads to sex workers being</w:t>
      </w:r>
      <w:r>
        <w:rPr>
          <w:rFonts w:ascii="Tw Cen MT" w:eastAsia="Times New Roman" w:hAnsi="Tw Cen MT"/>
          <w:szCs w:val="24"/>
        </w:rPr>
        <w:t xml:space="preserve"> </w:t>
      </w:r>
      <w:r w:rsidRPr="00F82EA5">
        <w:rPr>
          <w:rFonts w:ascii="Tw Cen MT" w:eastAsia="Times New Roman" w:hAnsi="Tw Cen MT"/>
          <w:szCs w:val="24"/>
        </w:rPr>
        <w:t>subject to increased violence, stigma, exploitation,</w:t>
      </w:r>
      <w:r>
        <w:rPr>
          <w:rFonts w:ascii="Tw Cen MT" w:eastAsia="Times New Roman" w:hAnsi="Tw Cen MT"/>
          <w:szCs w:val="24"/>
        </w:rPr>
        <w:t xml:space="preserve"> </w:t>
      </w:r>
      <w:r w:rsidRPr="00F82EA5">
        <w:rPr>
          <w:rFonts w:ascii="Tw Cen MT" w:eastAsia="Times New Roman" w:hAnsi="Tw Cen MT"/>
          <w:szCs w:val="24"/>
        </w:rPr>
        <w:t>police repression, and reduced access to justice</w:t>
      </w:r>
      <w:r>
        <w:rPr>
          <w:rFonts w:ascii="Tw Cen MT" w:eastAsia="Times New Roman" w:hAnsi="Tw Cen MT"/>
          <w:szCs w:val="24"/>
        </w:rPr>
        <w:t xml:space="preserve"> </w:t>
      </w:r>
      <w:r w:rsidRPr="00F82EA5">
        <w:rPr>
          <w:rFonts w:ascii="Tw Cen MT" w:eastAsia="Times New Roman" w:hAnsi="Tw Cen MT"/>
          <w:szCs w:val="24"/>
        </w:rPr>
        <w:t>and services.</w:t>
      </w:r>
      <w:r>
        <w:rPr>
          <w:rFonts w:ascii="Tw Cen MT" w:eastAsia="Times New Roman" w:hAnsi="Tw Cen MT"/>
          <w:szCs w:val="24"/>
        </w:rPr>
        <w:t xml:space="preserve"> A study from researchers at the London School of Hygiene and Tropical Medicine found that </w:t>
      </w:r>
      <w:r w:rsidRPr="007D4D3D">
        <w:rPr>
          <w:rFonts w:ascii="Tw Cen MT" w:eastAsia="Times New Roman" w:hAnsi="Tw Cen MT"/>
          <w:szCs w:val="24"/>
        </w:rPr>
        <w:t>criminalisation and repressive policing of sex work, including in countries with the 'Nordic Model', is linked to increased risk of violence, HIV and sexually transmitted infections.</w:t>
      </w:r>
      <w:r>
        <w:rPr>
          <w:rFonts w:ascii="Tw Cen MT" w:eastAsia="Times New Roman" w:hAnsi="Tw Cen MT"/>
          <w:szCs w:val="24"/>
        </w:rPr>
        <w:t xml:space="preserve"> </w:t>
      </w:r>
      <w:r w:rsidRPr="00D931CA">
        <w:rPr>
          <w:rFonts w:ascii="Tw Cen MT" w:eastAsia="Times New Roman" w:hAnsi="Tw Cen MT"/>
          <w:szCs w:val="24"/>
        </w:rPr>
        <w:t>The research showed that criminalisation of the clients in Sweden and Canada</w:t>
      </w:r>
      <w:r>
        <w:rPr>
          <w:rFonts w:ascii="Tw Cen MT" w:eastAsia="Times New Roman" w:hAnsi="Tw Cen MT"/>
          <w:szCs w:val="24"/>
        </w:rPr>
        <w:t xml:space="preserve"> </w:t>
      </w:r>
      <w:r w:rsidRPr="00D931CA">
        <w:rPr>
          <w:rFonts w:ascii="Tw Cen MT" w:eastAsia="Times New Roman" w:hAnsi="Tw Cen MT"/>
          <w:szCs w:val="24"/>
        </w:rPr>
        <w:t>did not improve sex workers’ safety or access to services.</w:t>
      </w:r>
      <w:r>
        <w:rPr>
          <w:rStyle w:val="FootnoteReference"/>
          <w:rFonts w:ascii="Tw Cen MT" w:eastAsia="Times New Roman" w:hAnsi="Tw Cen MT"/>
          <w:szCs w:val="24"/>
        </w:rPr>
        <w:footnoteReference w:id="15"/>
      </w:r>
      <w:r>
        <w:rPr>
          <w:rFonts w:ascii="Tw Cen MT" w:eastAsia="Times New Roman" w:hAnsi="Tw Cen MT"/>
          <w:szCs w:val="24"/>
        </w:rPr>
        <w:t xml:space="preserve"> In France, where Nordic model policies were introduced in 2016, t</w:t>
      </w:r>
      <w:r w:rsidRPr="00383249">
        <w:rPr>
          <w:rFonts w:ascii="Tw Cen MT" w:eastAsia="Times New Roman" w:hAnsi="Tw Cen MT"/>
          <w:szCs w:val="24"/>
        </w:rPr>
        <w:t>he police continue to target</w:t>
      </w:r>
      <w:r>
        <w:rPr>
          <w:rFonts w:ascii="Tw Cen MT" w:eastAsia="Times New Roman" w:hAnsi="Tw Cen MT"/>
          <w:szCs w:val="24"/>
        </w:rPr>
        <w:t xml:space="preserve"> </w:t>
      </w:r>
      <w:r w:rsidRPr="00383249">
        <w:rPr>
          <w:rFonts w:ascii="Tw Cen MT" w:eastAsia="Times New Roman" w:hAnsi="Tw Cen MT"/>
          <w:szCs w:val="24"/>
        </w:rPr>
        <w:t>sex workers for arrest and there are regular</w:t>
      </w:r>
      <w:r>
        <w:rPr>
          <w:rFonts w:ascii="Tw Cen MT" w:eastAsia="Times New Roman" w:hAnsi="Tw Cen MT"/>
          <w:szCs w:val="24"/>
        </w:rPr>
        <w:t xml:space="preserve"> </w:t>
      </w:r>
      <w:r w:rsidRPr="00383249">
        <w:rPr>
          <w:rFonts w:ascii="Tw Cen MT" w:eastAsia="Times New Roman" w:hAnsi="Tw Cen MT"/>
          <w:szCs w:val="24"/>
        </w:rPr>
        <w:t xml:space="preserve">police </w:t>
      </w:r>
      <w:r>
        <w:rPr>
          <w:rFonts w:ascii="Tw Cen MT" w:eastAsia="Times New Roman" w:hAnsi="Tw Cen MT"/>
          <w:szCs w:val="24"/>
        </w:rPr>
        <w:t>campaigns</w:t>
      </w:r>
      <w:r w:rsidRPr="00383249">
        <w:rPr>
          <w:rFonts w:ascii="Tw Cen MT" w:eastAsia="Times New Roman" w:hAnsi="Tw Cen MT"/>
          <w:szCs w:val="24"/>
        </w:rPr>
        <w:t xml:space="preserve"> designed to ‘clean up’ areas of public sex work in France.</w:t>
      </w:r>
      <w:r>
        <w:rPr>
          <w:rFonts w:ascii="Tw Cen MT" w:eastAsia="Times New Roman" w:hAnsi="Tw Cen MT"/>
          <w:szCs w:val="24"/>
        </w:rPr>
        <w:t xml:space="preserve"> </w:t>
      </w:r>
      <w:r w:rsidRPr="002E7D90">
        <w:rPr>
          <w:rFonts w:ascii="Tw Cen MT" w:eastAsia="Times New Roman" w:hAnsi="Tw Cen MT"/>
          <w:szCs w:val="24"/>
        </w:rPr>
        <w:t>Sex workers are now working in more remote areas to avoid</w:t>
      </w:r>
      <w:r>
        <w:rPr>
          <w:rFonts w:ascii="Tw Cen MT" w:eastAsia="Times New Roman" w:hAnsi="Tw Cen MT"/>
          <w:szCs w:val="24"/>
        </w:rPr>
        <w:t xml:space="preserve"> </w:t>
      </w:r>
      <w:r w:rsidRPr="002E7D90">
        <w:rPr>
          <w:rFonts w:ascii="Tw Cen MT" w:eastAsia="Times New Roman" w:hAnsi="Tw Cen MT"/>
          <w:szCs w:val="24"/>
        </w:rPr>
        <w:t>police attention, which has increased their vulnerability to violence.</w:t>
      </w:r>
      <w:r>
        <w:rPr>
          <w:rFonts w:ascii="Tw Cen MT" w:eastAsia="Times New Roman" w:hAnsi="Tw Cen MT"/>
          <w:szCs w:val="24"/>
        </w:rPr>
        <w:t xml:space="preserve"> </w:t>
      </w:r>
      <w:r>
        <w:rPr>
          <w:rStyle w:val="FootnoteReference"/>
          <w:rFonts w:ascii="Tw Cen MT" w:eastAsia="Times New Roman" w:hAnsi="Tw Cen MT"/>
          <w:szCs w:val="24"/>
        </w:rPr>
        <w:footnoteReference w:id="16"/>
      </w:r>
      <w:r>
        <w:rPr>
          <w:rFonts w:ascii="Tw Cen MT" w:eastAsia="Times New Roman" w:hAnsi="Tw Cen MT"/>
          <w:szCs w:val="24"/>
        </w:rPr>
        <w:t xml:space="preserve"> </w:t>
      </w:r>
      <w:r w:rsidRPr="0076658C">
        <w:t xml:space="preserve"> </w:t>
      </w:r>
      <w:r w:rsidRPr="0076658C">
        <w:rPr>
          <w:rFonts w:ascii="Tw Cen MT" w:eastAsia="Times New Roman" w:hAnsi="Tw Cen MT"/>
          <w:szCs w:val="24"/>
        </w:rPr>
        <w:t>Research has shown that ‘End Demand’ models</w:t>
      </w:r>
      <w:r>
        <w:rPr>
          <w:rFonts w:ascii="Tw Cen MT" w:eastAsia="Times New Roman" w:hAnsi="Tw Cen MT"/>
          <w:szCs w:val="24"/>
        </w:rPr>
        <w:t xml:space="preserve"> </w:t>
      </w:r>
      <w:r w:rsidRPr="0076658C">
        <w:rPr>
          <w:rFonts w:ascii="Tw Cen MT" w:eastAsia="Times New Roman" w:hAnsi="Tw Cen MT"/>
          <w:szCs w:val="24"/>
        </w:rPr>
        <w:t>have not reduced sex work</w:t>
      </w:r>
      <w:r>
        <w:rPr>
          <w:rStyle w:val="FootnoteReference"/>
          <w:rFonts w:ascii="Tw Cen MT" w:eastAsia="Times New Roman" w:hAnsi="Tw Cen MT"/>
          <w:szCs w:val="24"/>
        </w:rPr>
        <w:footnoteReference w:id="17"/>
      </w:r>
      <w:r w:rsidRPr="0076658C">
        <w:rPr>
          <w:rFonts w:ascii="Tw Cen MT" w:eastAsia="Times New Roman" w:hAnsi="Tw Cen MT"/>
          <w:szCs w:val="24"/>
        </w:rPr>
        <w:t xml:space="preserve"> or trafficking.</w:t>
      </w:r>
      <w:r>
        <w:rPr>
          <w:rStyle w:val="FootnoteReference"/>
          <w:rFonts w:ascii="Tw Cen MT" w:eastAsia="Times New Roman" w:hAnsi="Tw Cen MT"/>
          <w:szCs w:val="24"/>
        </w:rPr>
        <w:footnoteReference w:id="18"/>
      </w:r>
      <w:r>
        <w:rPr>
          <w:rFonts w:ascii="Tw Cen MT" w:eastAsia="Times New Roman" w:hAnsi="Tw Cen MT"/>
          <w:szCs w:val="24"/>
        </w:rPr>
        <w:t xml:space="preserve"> </w:t>
      </w:r>
      <w:r w:rsidRPr="0076658C">
        <w:rPr>
          <w:rFonts w:ascii="Tw Cen MT" w:eastAsia="Times New Roman" w:hAnsi="Tw Cen MT"/>
          <w:szCs w:val="24"/>
        </w:rPr>
        <w:t>Instead, sex workers have reported that</w:t>
      </w:r>
      <w:r>
        <w:rPr>
          <w:rFonts w:ascii="Tw Cen MT" w:eastAsia="Times New Roman" w:hAnsi="Tw Cen MT"/>
          <w:szCs w:val="24"/>
        </w:rPr>
        <w:t xml:space="preserve"> </w:t>
      </w:r>
      <w:r w:rsidRPr="0076658C">
        <w:rPr>
          <w:rFonts w:ascii="Tw Cen MT" w:eastAsia="Times New Roman" w:hAnsi="Tw Cen MT"/>
          <w:szCs w:val="24"/>
        </w:rPr>
        <w:t>‘End Demand’ models have increased their</w:t>
      </w:r>
      <w:r>
        <w:rPr>
          <w:rFonts w:ascii="Tw Cen MT" w:eastAsia="Times New Roman" w:hAnsi="Tw Cen MT"/>
          <w:szCs w:val="24"/>
        </w:rPr>
        <w:t xml:space="preserve"> </w:t>
      </w:r>
      <w:r w:rsidRPr="0076658C">
        <w:rPr>
          <w:rFonts w:ascii="Tw Cen MT" w:eastAsia="Times New Roman" w:hAnsi="Tw Cen MT"/>
          <w:szCs w:val="24"/>
        </w:rPr>
        <w:t>vulnerability to violence and police harassment,</w:t>
      </w:r>
      <w:r>
        <w:rPr>
          <w:rFonts w:ascii="Tw Cen MT" w:eastAsia="Times New Roman" w:hAnsi="Tw Cen MT"/>
          <w:szCs w:val="24"/>
        </w:rPr>
        <w:t xml:space="preserve"> </w:t>
      </w:r>
      <w:r w:rsidRPr="0076658C">
        <w:rPr>
          <w:rFonts w:ascii="Tw Cen MT" w:eastAsia="Times New Roman" w:hAnsi="Tw Cen MT"/>
          <w:szCs w:val="24"/>
        </w:rPr>
        <w:t>perpetuated stigma and discrimination, and</w:t>
      </w:r>
      <w:r>
        <w:rPr>
          <w:rFonts w:ascii="Tw Cen MT" w:eastAsia="Times New Roman" w:hAnsi="Tw Cen MT"/>
          <w:szCs w:val="24"/>
        </w:rPr>
        <w:t xml:space="preserve"> </w:t>
      </w:r>
      <w:r w:rsidRPr="0076658C">
        <w:rPr>
          <w:rFonts w:ascii="Tw Cen MT" w:eastAsia="Times New Roman" w:hAnsi="Tw Cen MT"/>
          <w:szCs w:val="24"/>
        </w:rPr>
        <w:t xml:space="preserve">reduced their access to </w:t>
      </w:r>
      <w:r>
        <w:rPr>
          <w:rFonts w:ascii="Tw Cen MT" w:eastAsia="Times New Roman" w:hAnsi="Tw Cen MT"/>
          <w:szCs w:val="24"/>
        </w:rPr>
        <w:t xml:space="preserve">health, </w:t>
      </w:r>
      <w:r w:rsidRPr="0076658C">
        <w:rPr>
          <w:rFonts w:ascii="Tw Cen MT" w:eastAsia="Times New Roman" w:hAnsi="Tw Cen MT"/>
          <w:szCs w:val="24"/>
        </w:rPr>
        <w:t>labour rights, financial</w:t>
      </w:r>
      <w:r>
        <w:rPr>
          <w:rFonts w:ascii="Tw Cen MT" w:eastAsia="Times New Roman" w:hAnsi="Tw Cen MT"/>
          <w:szCs w:val="24"/>
        </w:rPr>
        <w:t xml:space="preserve"> </w:t>
      </w:r>
      <w:r w:rsidRPr="0076658C">
        <w:rPr>
          <w:rFonts w:ascii="Tw Cen MT" w:eastAsia="Times New Roman" w:hAnsi="Tw Cen MT"/>
          <w:szCs w:val="24"/>
        </w:rPr>
        <w:t>services, and housing.</w:t>
      </w:r>
      <w:r>
        <w:rPr>
          <w:rStyle w:val="FootnoteReference"/>
          <w:rFonts w:ascii="Tw Cen MT" w:eastAsia="Times New Roman" w:hAnsi="Tw Cen MT"/>
          <w:szCs w:val="24"/>
        </w:rPr>
        <w:footnoteReference w:id="19"/>
      </w:r>
      <w:r>
        <w:rPr>
          <w:rFonts w:ascii="Tw Cen MT" w:eastAsia="Times New Roman" w:hAnsi="Tw Cen MT"/>
          <w:szCs w:val="24"/>
        </w:rPr>
        <w:t>,</w:t>
      </w:r>
      <w:r>
        <w:rPr>
          <w:rStyle w:val="FootnoteReference"/>
          <w:rFonts w:ascii="Tw Cen MT" w:eastAsia="Times New Roman" w:hAnsi="Tw Cen MT"/>
          <w:szCs w:val="24"/>
        </w:rPr>
        <w:footnoteReference w:id="20"/>
      </w:r>
    </w:p>
    <w:p w14:paraId="759CEA36" w14:textId="77777777" w:rsidR="000D01A4" w:rsidRPr="00FC19F7" w:rsidRDefault="000D01A4" w:rsidP="00F040AC">
      <w:pPr>
        <w:pStyle w:val="Default"/>
        <w:jc w:val="both"/>
        <w:rPr>
          <w:rFonts w:ascii="Tw Cen MT" w:hAnsi="Tw Cen MT"/>
        </w:rPr>
      </w:pPr>
    </w:p>
    <w:p w14:paraId="2AD94E8D" w14:textId="1E8D7763" w:rsidR="00B937E0" w:rsidRDefault="00EF65B8" w:rsidP="00B937E0">
      <w:pPr>
        <w:pStyle w:val="Default"/>
        <w:rPr>
          <w:rFonts w:ascii="Tw Cen MT" w:hAnsi="Tw Cen MT"/>
          <w:b/>
          <w:bCs/>
        </w:rPr>
      </w:pPr>
      <w:r>
        <w:rPr>
          <w:rFonts w:ascii="Tw Cen MT" w:hAnsi="Tw Cen MT"/>
          <w:b/>
          <w:bCs/>
        </w:rPr>
        <w:t>Sex workers’ lack of access to justice</w:t>
      </w:r>
    </w:p>
    <w:p w14:paraId="4458D295" w14:textId="77777777" w:rsidR="001D7351" w:rsidRDefault="001D7351" w:rsidP="00B937E0">
      <w:pPr>
        <w:pStyle w:val="Default"/>
        <w:rPr>
          <w:rFonts w:ascii="Tw Cen MT" w:hAnsi="Tw Cen MT"/>
          <w:b/>
          <w:bCs/>
        </w:rPr>
      </w:pPr>
    </w:p>
    <w:p w14:paraId="184C0F57" w14:textId="77777777" w:rsidR="001D7351" w:rsidRDefault="001D7351" w:rsidP="00B937E0">
      <w:pPr>
        <w:pStyle w:val="Default"/>
        <w:rPr>
          <w:sz w:val="22"/>
          <w:szCs w:val="22"/>
        </w:rPr>
      </w:pPr>
    </w:p>
    <w:p w14:paraId="6FBF0A1E" w14:textId="6A0E0A62" w:rsidR="004C0D41" w:rsidRDefault="004C0D41" w:rsidP="009C5282">
      <w:pPr>
        <w:pStyle w:val="Default"/>
        <w:jc w:val="both"/>
        <w:rPr>
          <w:rFonts w:ascii="Tw Cen MT" w:eastAsia="Times New Roman" w:hAnsi="Tw Cen MT"/>
        </w:rPr>
      </w:pPr>
      <w:r>
        <w:rPr>
          <w:rFonts w:ascii="Tw Cen MT" w:eastAsia="Times New Roman" w:hAnsi="Tw Cen MT"/>
        </w:rPr>
        <w:t xml:space="preserve">Sex workers’ access to justice is directly impacted by the legislative framework under which they operate. </w:t>
      </w:r>
      <w:r w:rsidRPr="002C5CD5">
        <w:rPr>
          <w:rFonts w:ascii="Tw Cen MT" w:eastAsia="Times New Roman" w:hAnsi="Tw Cen MT"/>
        </w:rPr>
        <w:t>Sex workers face a wide range of barriers to accessing</w:t>
      </w:r>
      <w:r>
        <w:rPr>
          <w:rFonts w:ascii="Tw Cen MT" w:eastAsia="Times New Roman" w:hAnsi="Tw Cen MT"/>
        </w:rPr>
        <w:t xml:space="preserve"> </w:t>
      </w:r>
      <w:r w:rsidRPr="002C5CD5">
        <w:rPr>
          <w:rFonts w:ascii="Tw Cen MT" w:eastAsia="Times New Roman" w:hAnsi="Tw Cen MT"/>
        </w:rPr>
        <w:t>justice, both as victims of crime and when charged</w:t>
      </w:r>
      <w:r>
        <w:rPr>
          <w:rFonts w:ascii="Tw Cen MT" w:eastAsia="Times New Roman" w:hAnsi="Tw Cen MT"/>
        </w:rPr>
        <w:t xml:space="preserve"> </w:t>
      </w:r>
      <w:r w:rsidRPr="002C5CD5">
        <w:rPr>
          <w:rFonts w:ascii="Tw Cen MT" w:eastAsia="Times New Roman" w:hAnsi="Tw Cen MT"/>
        </w:rPr>
        <w:t>with crimes. Criminalisation of sex work, stigma and</w:t>
      </w:r>
      <w:r>
        <w:rPr>
          <w:rFonts w:ascii="Tw Cen MT" w:eastAsia="Times New Roman" w:hAnsi="Tw Cen MT"/>
        </w:rPr>
        <w:t xml:space="preserve"> </w:t>
      </w:r>
      <w:r w:rsidRPr="002C5CD5">
        <w:rPr>
          <w:rFonts w:ascii="Tw Cen MT" w:eastAsia="Times New Roman" w:hAnsi="Tw Cen MT"/>
        </w:rPr>
        <w:t>discrimination, and police corruption and violence limit the</w:t>
      </w:r>
      <w:r>
        <w:rPr>
          <w:rFonts w:ascii="Tw Cen MT" w:eastAsia="Times New Roman" w:hAnsi="Tw Cen MT"/>
        </w:rPr>
        <w:t xml:space="preserve"> </w:t>
      </w:r>
      <w:r w:rsidRPr="002C5CD5">
        <w:rPr>
          <w:rFonts w:ascii="Tw Cen MT" w:eastAsia="Times New Roman" w:hAnsi="Tw Cen MT"/>
        </w:rPr>
        <w:t>reporting of crimes, the successful prosecution</w:t>
      </w:r>
      <w:r>
        <w:rPr>
          <w:rFonts w:ascii="Tw Cen MT" w:eastAsia="Times New Roman" w:hAnsi="Tw Cen MT"/>
        </w:rPr>
        <w:t xml:space="preserve"> </w:t>
      </w:r>
      <w:r w:rsidRPr="002C5CD5">
        <w:rPr>
          <w:rFonts w:ascii="Tw Cen MT" w:eastAsia="Times New Roman" w:hAnsi="Tw Cen MT"/>
        </w:rPr>
        <w:t>and conviction of perpetrators, and access to victim</w:t>
      </w:r>
      <w:r>
        <w:rPr>
          <w:rFonts w:ascii="Tw Cen MT" w:eastAsia="Times New Roman" w:hAnsi="Tw Cen MT"/>
        </w:rPr>
        <w:t xml:space="preserve"> </w:t>
      </w:r>
      <w:r w:rsidRPr="002C5CD5">
        <w:rPr>
          <w:rFonts w:ascii="Tw Cen MT" w:eastAsia="Times New Roman" w:hAnsi="Tw Cen MT"/>
        </w:rPr>
        <w:t>compensation and support services. Where sex work is</w:t>
      </w:r>
      <w:r>
        <w:rPr>
          <w:rFonts w:ascii="Tw Cen MT" w:eastAsia="Times New Roman" w:hAnsi="Tw Cen MT"/>
        </w:rPr>
        <w:t xml:space="preserve"> </w:t>
      </w:r>
      <w:r w:rsidRPr="002C5CD5">
        <w:rPr>
          <w:rFonts w:ascii="Tw Cen MT" w:eastAsia="Times New Roman" w:hAnsi="Tw Cen MT"/>
        </w:rPr>
        <w:t>criminalised, sex workers’ rights to protection from the law</w:t>
      </w:r>
      <w:r>
        <w:rPr>
          <w:rFonts w:ascii="Tw Cen MT" w:eastAsia="Times New Roman" w:hAnsi="Tw Cen MT"/>
        </w:rPr>
        <w:t xml:space="preserve"> </w:t>
      </w:r>
      <w:r w:rsidRPr="002C5CD5">
        <w:rPr>
          <w:rFonts w:ascii="Tw Cen MT" w:eastAsia="Times New Roman" w:hAnsi="Tw Cen MT"/>
        </w:rPr>
        <w:t>and freedom from arbitrary detention are systematically</w:t>
      </w:r>
      <w:r>
        <w:rPr>
          <w:rFonts w:ascii="Tw Cen MT" w:eastAsia="Times New Roman" w:hAnsi="Tw Cen MT"/>
        </w:rPr>
        <w:t xml:space="preserve"> </w:t>
      </w:r>
      <w:r w:rsidRPr="002C5CD5">
        <w:rPr>
          <w:rFonts w:ascii="Tw Cen MT" w:eastAsia="Times New Roman" w:hAnsi="Tw Cen MT"/>
        </w:rPr>
        <w:t>violated by police and the judicial system. Sex workers</w:t>
      </w:r>
      <w:r>
        <w:rPr>
          <w:rFonts w:ascii="Tw Cen MT" w:eastAsia="Times New Roman" w:hAnsi="Tw Cen MT"/>
        </w:rPr>
        <w:t xml:space="preserve"> </w:t>
      </w:r>
      <w:r w:rsidRPr="002C5CD5">
        <w:rPr>
          <w:rFonts w:ascii="Tw Cen MT" w:eastAsia="Times New Roman" w:hAnsi="Tw Cen MT"/>
        </w:rPr>
        <w:t>around the world are frequently excluded from protection</w:t>
      </w:r>
      <w:r>
        <w:rPr>
          <w:rFonts w:ascii="Tw Cen MT" w:eastAsia="Times New Roman" w:hAnsi="Tw Cen MT"/>
        </w:rPr>
        <w:t xml:space="preserve"> </w:t>
      </w:r>
      <w:r w:rsidRPr="002C5CD5">
        <w:rPr>
          <w:rFonts w:ascii="Tw Cen MT" w:eastAsia="Times New Roman" w:hAnsi="Tw Cen MT"/>
        </w:rPr>
        <w:t>of employment legislation and labour dispute mechanisms</w:t>
      </w:r>
      <w:r>
        <w:rPr>
          <w:rFonts w:ascii="Tw Cen MT" w:eastAsia="Times New Roman" w:hAnsi="Tw Cen MT"/>
        </w:rPr>
        <w:t xml:space="preserve"> </w:t>
      </w:r>
      <w:r w:rsidRPr="002C5CD5">
        <w:rPr>
          <w:rFonts w:ascii="Tw Cen MT" w:eastAsia="Times New Roman" w:hAnsi="Tw Cen MT"/>
        </w:rPr>
        <w:t>and experience discrimination in civil courts.</w:t>
      </w:r>
      <w:r w:rsidR="00AA7DF4">
        <w:rPr>
          <w:rStyle w:val="FootnoteReference"/>
          <w:rFonts w:ascii="Tw Cen MT" w:eastAsia="Times New Roman" w:hAnsi="Tw Cen MT"/>
        </w:rPr>
        <w:footnoteReference w:id="21"/>
      </w:r>
    </w:p>
    <w:p w14:paraId="5A884289" w14:textId="7369B4ED" w:rsidR="007E3567" w:rsidRDefault="00977B63" w:rsidP="007E3567">
      <w:pPr>
        <w:spacing w:before="100" w:beforeAutospacing="1" w:after="100" w:afterAutospacing="1"/>
        <w:jc w:val="both"/>
        <w:rPr>
          <w:rFonts w:ascii="Tw Cen MT" w:eastAsia="Times New Roman" w:hAnsi="Tw Cen MT"/>
          <w:szCs w:val="24"/>
        </w:rPr>
      </w:pPr>
      <w:r>
        <w:rPr>
          <w:rFonts w:ascii="Tw Cen MT" w:eastAsia="Times New Roman" w:hAnsi="Tw Cen MT"/>
          <w:szCs w:val="24"/>
        </w:rPr>
        <w:lastRenderedPageBreak/>
        <w:t>R</w:t>
      </w:r>
      <w:r w:rsidR="005C4070" w:rsidRPr="000107C3">
        <w:rPr>
          <w:rFonts w:ascii="Tw Cen MT" w:eastAsia="Times New Roman" w:hAnsi="Tw Cen MT"/>
          <w:szCs w:val="24"/>
        </w:rPr>
        <w:t>eports and responses</w:t>
      </w:r>
      <w:r w:rsidR="005C4070">
        <w:rPr>
          <w:rStyle w:val="FootnoteReference"/>
          <w:rFonts w:ascii="Tw Cen MT" w:eastAsia="Times New Roman" w:hAnsi="Tw Cen MT"/>
          <w:szCs w:val="24"/>
        </w:rPr>
        <w:footnoteReference w:id="22"/>
      </w:r>
      <w:r w:rsidR="005C4070">
        <w:rPr>
          <w:rFonts w:ascii="Tw Cen MT" w:eastAsia="Times New Roman" w:hAnsi="Tw Cen MT"/>
          <w:szCs w:val="24"/>
        </w:rPr>
        <w:t xml:space="preserve"> to NSWP consultations with member organisation about violence against their community members </w:t>
      </w:r>
      <w:r w:rsidR="005C4070" w:rsidRPr="000107C3">
        <w:rPr>
          <w:rFonts w:ascii="Tw Cen MT" w:eastAsia="Times New Roman" w:hAnsi="Tw Cen MT"/>
          <w:szCs w:val="24"/>
        </w:rPr>
        <w:t>indicated widespread abuse and violence primarily at the hands</w:t>
      </w:r>
      <w:r w:rsidR="005C4070">
        <w:rPr>
          <w:rFonts w:ascii="Tw Cen MT" w:eastAsia="Times New Roman" w:hAnsi="Tw Cen MT"/>
          <w:szCs w:val="24"/>
        </w:rPr>
        <w:t xml:space="preserve"> </w:t>
      </w:r>
      <w:r w:rsidR="005C4070" w:rsidRPr="000107C3">
        <w:rPr>
          <w:rFonts w:ascii="Tw Cen MT" w:eastAsia="Times New Roman" w:hAnsi="Tw Cen MT"/>
          <w:szCs w:val="24"/>
        </w:rPr>
        <w:t xml:space="preserve">of law enforcement and other state institutions. </w:t>
      </w:r>
      <w:r w:rsidR="007E3567" w:rsidRPr="004119CF">
        <w:rPr>
          <w:rFonts w:ascii="Tw Cen MT" w:eastAsia="Times New Roman" w:hAnsi="Tw Cen MT"/>
          <w:szCs w:val="24"/>
        </w:rPr>
        <w:t>The lack of access to justice that sex workers</w:t>
      </w:r>
      <w:r w:rsidR="007E3567">
        <w:rPr>
          <w:rFonts w:ascii="Tw Cen MT" w:eastAsia="Times New Roman" w:hAnsi="Tw Cen MT"/>
          <w:szCs w:val="24"/>
        </w:rPr>
        <w:t xml:space="preserve"> </w:t>
      </w:r>
      <w:r w:rsidR="007E3567" w:rsidRPr="004119CF">
        <w:rPr>
          <w:rFonts w:ascii="Tw Cen MT" w:eastAsia="Times New Roman" w:hAnsi="Tw Cen MT"/>
          <w:szCs w:val="24"/>
        </w:rPr>
        <w:t>face occurs in a context of inequality caused by</w:t>
      </w:r>
      <w:r w:rsidR="007E3567">
        <w:rPr>
          <w:rFonts w:ascii="Tw Cen MT" w:eastAsia="Times New Roman" w:hAnsi="Tw Cen MT"/>
          <w:szCs w:val="24"/>
        </w:rPr>
        <w:t xml:space="preserve"> </w:t>
      </w:r>
      <w:r w:rsidR="007E3567" w:rsidRPr="004119CF">
        <w:rPr>
          <w:rFonts w:ascii="Tw Cen MT" w:eastAsia="Times New Roman" w:hAnsi="Tw Cen MT"/>
          <w:szCs w:val="24"/>
        </w:rPr>
        <w:t>discriminatory laws, intersecting discrimination,</w:t>
      </w:r>
      <w:r w:rsidR="007E3567">
        <w:rPr>
          <w:rFonts w:ascii="Tw Cen MT" w:eastAsia="Times New Roman" w:hAnsi="Tw Cen MT"/>
          <w:szCs w:val="24"/>
        </w:rPr>
        <w:t xml:space="preserve"> </w:t>
      </w:r>
      <w:r w:rsidR="007E3567" w:rsidRPr="004119CF">
        <w:rPr>
          <w:rFonts w:ascii="Tw Cen MT" w:eastAsia="Times New Roman" w:hAnsi="Tw Cen MT"/>
          <w:szCs w:val="24"/>
        </w:rPr>
        <w:t>and the failure of states to ensure that legal</w:t>
      </w:r>
      <w:r w:rsidR="007E3567">
        <w:rPr>
          <w:rFonts w:ascii="Tw Cen MT" w:eastAsia="Times New Roman" w:hAnsi="Tw Cen MT"/>
          <w:szCs w:val="24"/>
        </w:rPr>
        <w:t xml:space="preserve"> </w:t>
      </w:r>
      <w:r w:rsidR="007E3567" w:rsidRPr="004119CF">
        <w:rPr>
          <w:rFonts w:ascii="Tw Cen MT" w:eastAsia="Times New Roman" w:hAnsi="Tw Cen MT"/>
          <w:szCs w:val="24"/>
        </w:rPr>
        <w:t>systems are accessible and equitable for all.</w:t>
      </w:r>
      <w:r w:rsidR="007E3567">
        <w:rPr>
          <w:rFonts w:ascii="Tw Cen MT" w:eastAsia="Times New Roman" w:hAnsi="Tw Cen MT"/>
          <w:szCs w:val="24"/>
        </w:rPr>
        <w:t xml:space="preserve"> </w:t>
      </w:r>
      <w:r w:rsidR="007E3567" w:rsidRPr="004119CF">
        <w:rPr>
          <w:rFonts w:ascii="Tw Cen MT" w:eastAsia="Times New Roman" w:hAnsi="Tw Cen MT"/>
          <w:szCs w:val="24"/>
        </w:rPr>
        <w:t xml:space="preserve">The miscarriages of justice </w:t>
      </w:r>
      <w:r w:rsidR="007E3567">
        <w:rPr>
          <w:rFonts w:ascii="Tw Cen MT" w:eastAsia="Times New Roman" w:hAnsi="Tw Cen MT"/>
          <w:szCs w:val="24"/>
        </w:rPr>
        <w:t xml:space="preserve">that </w:t>
      </w:r>
      <w:r w:rsidR="007E3567" w:rsidRPr="004119CF">
        <w:rPr>
          <w:rFonts w:ascii="Tw Cen MT" w:eastAsia="Times New Roman" w:hAnsi="Tw Cen MT"/>
          <w:szCs w:val="24"/>
        </w:rPr>
        <w:t>sex workers face are</w:t>
      </w:r>
      <w:r w:rsidR="007E3567">
        <w:rPr>
          <w:rFonts w:ascii="Tw Cen MT" w:eastAsia="Times New Roman" w:hAnsi="Tw Cen MT"/>
          <w:szCs w:val="24"/>
        </w:rPr>
        <w:t xml:space="preserve"> </w:t>
      </w:r>
      <w:r w:rsidR="007E3567" w:rsidRPr="004119CF">
        <w:rPr>
          <w:rFonts w:ascii="Tw Cen MT" w:eastAsia="Times New Roman" w:hAnsi="Tw Cen MT"/>
          <w:szCs w:val="24"/>
        </w:rPr>
        <w:t xml:space="preserve">severe human rights violations that leave </w:t>
      </w:r>
      <w:r w:rsidR="007E3567">
        <w:rPr>
          <w:rFonts w:ascii="Tw Cen MT" w:eastAsia="Times New Roman" w:hAnsi="Tw Cen MT"/>
          <w:szCs w:val="24"/>
        </w:rPr>
        <w:t xml:space="preserve">them </w:t>
      </w:r>
      <w:r w:rsidR="007E3567" w:rsidRPr="004119CF">
        <w:rPr>
          <w:rFonts w:ascii="Tw Cen MT" w:eastAsia="Times New Roman" w:hAnsi="Tw Cen MT"/>
          <w:szCs w:val="24"/>
        </w:rPr>
        <w:t>vulnerable to violence while excluding</w:t>
      </w:r>
      <w:r w:rsidR="007E3567">
        <w:rPr>
          <w:rFonts w:ascii="Tw Cen MT" w:eastAsia="Times New Roman" w:hAnsi="Tw Cen MT"/>
          <w:szCs w:val="24"/>
        </w:rPr>
        <w:t xml:space="preserve"> </w:t>
      </w:r>
      <w:r w:rsidR="007E3567" w:rsidRPr="004119CF">
        <w:rPr>
          <w:rFonts w:ascii="Tw Cen MT" w:eastAsia="Times New Roman" w:hAnsi="Tw Cen MT"/>
          <w:szCs w:val="24"/>
        </w:rPr>
        <w:t>them from equal protection under the law.</w:t>
      </w:r>
    </w:p>
    <w:p w14:paraId="2C518529" w14:textId="77777777" w:rsidR="001D7351" w:rsidRDefault="001D7351" w:rsidP="007E3567">
      <w:pPr>
        <w:pStyle w:val="Default"/>
        <w:jc w:val="both"/>
        <w:rPr>
          <w:rFonts w:ascii="Tw Cen MT" w:hAnsi="Tw Cen MT"/>
          <w:b/>
          <w:bCs/>
        </w:rPr>
      </w:pPr>
    </w:p>
    <w:p w14:paraId="4653381C" w14:textId="2939DFF5" w:rsidR="007E3567" w:rsidRDefault="007E3567" w:rsidP="007E3567">
      <w:pPr>
        <w:pStyle w:val="Default"/>
        <w:jc w:val="both"/>
        <w:rPr>
          <w:rFonts w:ascii="Tw Cen MT" w:hAnsi="Tw Cen MT"/>
          <w:b/>
          <w:bCs/>
        </w:rPr>
      </w:pPr>
      <w:r>
        <w:rPr>
          <w:rFonts w:ascii="Tw Cen MT" w:hAnsi="Tw Cen MT"/>
          <w:b/>
          <w:bCs/>
        </w:rPr>
        <w:t>Impact of anti-trafficking</w:t>
      </w:r>
      <w:r w:rsidR="007A7140">
        <w:rPr>
          <w:rFonts w:ascii="Tw Cen MT" w:hAnsi="Tw Cen MT"/>
          <w:b/>
          <w:bCs/>
        </w:rPr>
        <w:t xml:space="preserve"> </w:t>
      </w:r>
    </w:p>
    <w:p w14:paraId="354505B8" w14:textId="77777777" w:rsidR="001D7351" w:rsidRPr="007E3567" w:rsidRDefault="001D7351" w:rsidP="007E3567">
      <w:pPr>
        <w:pStyle w:val="Default"/>
        <w:jc w:val="both"/>
        <w:rPr>
          <w:rFonts w:ascii="Tw Cen MT" w:hAnsi="Tw Cen MT"/>
          <w:b/>
          <w:bCs/>
        </w:rPr>
      </w:pPr>
    </w:p>
    <w:p w14:paraId="4ECF1602" w14:textId="77777777" w:rsidR="007E3567" w:rsidRPr="009C5282" w:rsidRDefault="007E3567" w:rsidP="009C5282">
      <w:pPr>
        <w:pStyle w:val="Default"/>
        <w:jc w:val="both"/>
        <w:rPr>
          <w:rFonts w:ascii="Tw Cen MT" w:hAnsi="Tw Cen MT"/>
        </w:rPr>
      </w:pPr>
    </w:p>
    <w:p w14:paraId="4374F4DB" w14:textId="15738F40" w:rsidR="00972E61" w:rsidRPr="00972E61" w:rsidRDefault="00972E61" w:rsidP="00972E61">
      <w:pPr>
        <w:shd w:val="clear" w:color="auto" w:fill="FFFFFF"/>
        <w:spacing w:after="225"/>
        <w:jc w:val="both"/>
        <w:rPr>
          <w:rFonts w:ascii="Tw Cen MT" w:eastAsia="Times New Roman" w:hAnsi="Tw Cen MT" w:cs="Arial"/>
          <w:bCs/>
          <w:szCs w:val="24"/>
        </w:rPr>
      </w:pPr>
      <w:r>
        <w:rPr>
          <w:rFonts w:ascii="Tw Cen MT" w:eastAsia="Times New Roman" w:hAnsi="Tw Cen MT" w:cs="Arial"/>
          <w:bCs/>
          <w:szCs w:val="24"/>
        </w:rPr>
        <w:t>We note that t</w:t>
      </w:r>
      <w:r w:rsidRPr="005D61B8">
        <w:rPr>
          <w:rFonts w:ascii="Tw Cen MT" w:eastAsia="Times New Roman" w:hAnsi="Tw Cen MT" w:cs="Arial"/>
          <w:bCs/>
          <w:szCs w:val="24"/>
        </w:rPr>
        <w:t xml:space="preserve">he </w:t>
      </w:r>
      <w:r w:rsidR="00D21B64" w:rsidRPr="00D21B64">
        <w:rPr>
          <w:rFonts w:ascii="Tw Cen MT" w:eastAsia="Times New Roman" w:hAnsi="Tw Cen MT" w:cs="Arial"/>
          <w:bCs/>
          <w:szCs w:val="24"/>
        </w:rPr>
        <w:t>1949 Convention</w:t>
      </w:r>
      <w:r w:rsidR="00D21B64">
        <w:rPr>
          <w:rFonts w:ascii="Tw Cen MT" w:eastAsia="Times New Roman" w:hAnsi="Tw Cen MT" w:cs="Arial"/>
          <w:bCs/>
          <w:szCs w:val="24"/>
        </w:rPr>
        <w:t xml:space="preserve">, </w:t>
      </w:r>
      <w:r>
        <w:rPr>
          <w:rFonts w:ascii="Tw Cen MT" w:eastAsia="Times New Roman" w:hAnsi="Tw Cen MT" w:cs="Arial"/>
          <w:bCs/>
          <w:szCs w:val="24"/>
        </w:rPr>
        <w:t>framing this call</w:t>
      </w:r>
      <w:r w:rsidRPr="005D61B8">
        <w:rPr>
          <w:rFonts w:ascii="Tw Cen MT" w:eastAsia="Times New Roman" w:hAnsi="Tw Cen MT" w:cs="Arial"/>
          <w:bCs/>
          <w:szCs w:val="24"/>
        </w:rPr>
        <w:t xml:space="preserve"> has been rejected by previous mandate holders of the Special Rapporteur on Violence against Women and Girls on the basis that it does not take a human rights approach</w:t>
      </w:r>
      <w:r>
        <w:rPr>
          <w:rFonts w:ascii="Tw Cen MT" w:eastAsia="Times New Roman" w:hAnsi="Tw Cen MT" w:cs="Arial"/>
          <w:bCs/>
          <w:szCs w:val="24"/>
        </w:rPr>
        <w:t xml:space="preserve"> and </w:t>
      </w:r>
      <w:r w:rsidRPr="005D61B8">
        <w:rPr>
          <w:rFonts w:ascii="Tw Cen MT" w:eastAsia="Times New Roman" w:hAnsi="Tw Cen MT" w:cs="Arial"/>
          <w:bCs/>
          <w:szCs w:val="24"/>
        </w:rPr>
        <w:t>does very little to protect women from and provide remedies for human rights violations committed in the course of trafficking</w:t>
      </w:r>
      <w:r>
        <w:rPr>
          <w:rFonts w:ascii="Tw Cen MT" w:eastAsia="Times New Roman" w:hAnsi="Tw Cen MT" w:cs="Arial"/>
          <w:bCs/>
          <w:szCs w:val="24"/>
        </w:rPr>
        <w:t xml:space="preserve">. Furthermore, the </w:t>
      </w:r>
      <w:r w:rsidRPr="000D39BD">
        <w:rPr>
          <w:rFonts w:ascii="Tw Cen MT" w:eastAsia="Times New Roman" w:hAnsi="Tw Cen MT" w:cs="Arial"/>
          <w:bCs/>
          <w:szCs w:val="24"/>
        </w:rPr>
        <w:t>1949 Convention</w:t>
      </w:r>
      <w:r w:rsidR="003A5A1D">
        <w:rPr>
          <w:rFonts w:ascii="Tw Cen MT" w:eastAsia="Times New Roman" w:hAnsi="Tw Cen MT" w:cs="Arial"/>
          <w:bCs/>
          <w:szCs w:val="24"/>
        </w:rPr>
        <w:t xml:space="preserve"> has been </w:t>
      </w:r>
      <w:proofErr w:type="spellStart"/>
      <w:r w:rsidR="003A5A1D">
        <w:rPr>
          <w:rFonts w:ascii="Tw Cen MT" w:eastAsia="Times New Roman" w:hAnsi="Tw Cen MT" w:cs="Arial"/>
          <w:bCs/>
          <w:szCs w:val="24"/>
        </w:rPr>
        <w:t>superceded</w:t>
      </w:r>
      <w:proofErr w:type="spellEnd"/>
      <w:r w:rsidR="003A5A1D">
        <w:rPr>
          <w:rFonts w:ascii="Tw Cen MT" w:eastAsia="Times New Roman" w:hAnsi="Tw Cen MT" w:cs="Arial"/>
          <w:bCs/>
          <w:szCs w:val="24"/>
        </w:rPr>
        <w:t xml:space="preserve"> by </w:t>
      </w:r>
      <w:r w:rsidRPr="000D39BD">
        <w:rPr>
          <w:rFonts w:ascii="Tw Cen MT" w:eastAsia="Times New Roman" w:hAnsi="Tw Cen MT" w:cs="Arial"/>
          <w:bCs/>
          <w:szCs w:val="24"/>
        </w:rPr>
        <w:t xml:space="preserve">the 2000 Trafficking Protocol </w:t>
      </w:r>
      <w:r w:rsidR="005D07D0">
        <w:rPr>
          <w:rFonts w:ascii="Tw Cen MT" w:eastAsia="Times New Roman" w:hAnsi="Tw Cen MT" w:cs="Arial"/>
          <w:bCs/>
          <w:szCs w:val="24"/>
        </w:rPr>
        <w:t xml:space="preserve">due to their </w:t>
      </w:r>
      <w:r w:rsidR="00F0561F">
        <w:rPr>
          <w:rFonts w:ascii="Tw Cen MT" w:eastAsia="Times New Roman" w:hAnsi="Tw Cen MT" w:cs="Arial"/>
          <w:bCs/>
          <w:szCs w:val="24"/>
        </w:rPr>
        <w:t>incompatibility.</w:t>
      </w:r>
      <w:r w:rsidR="005D07D0">
        <w:rPr>
          <w:rFonts w:ascii="Tw Cen MT" w:eastAsia="Times New Roman" w:hAnsi="Tw Cen MT" w:cs="Arial"/>
          <w:bCs/>
          <w:szCs w:val="24"/>
        </w:rPr>
        <w:t xml:space="preserve"> </w:t>
      </w:r>
      <w:r w:rsidR="00F0561F">
        <w:rPr>
          <w:rFonts w:ascii="Tw Cen MT" w:eastAsia="Times New Roman" w:hAnsi="Tw Cen MT" w:cs="Arial"/>
          <w:bCs/>
          <w:szCs w:val="24"/>
        </w:rPr>
        <w:t xml:space="preserve">The 1949 Convention </w:t>
      </w:r>
      <w:r w:rsidRPr="000D39BD">
        <w:rPr>
          <w:rFonts w:ascii="Tw Cen MT" w:eastAsia="Times New Roman" w:hAnsi="Tw Cen MT" w:cs="Arial"/>
          <w:bCs/>
          <w:szCs w:val="24"/>
        </w:rPr>
        <w:t xml:space="preserve">deems all </w:t>
      </w:r>
      <w:r>
        <w:rPr>
          <w:rFonts w:ascii="Tw Cen MT" w:eastAsia="Times New Roman" w:hAnsi="Tw Cen MT" w:cs="Arial"/>
          <w:bCs/>
          <w:szCs w:val="24"/>
        </w:rPr>
        <w:t>sex work</w:t>
      </w:r>
      <w:r w:rsidRPr="000D39BD">
        <w:rPr>
          <w:rFonts w:ascii="Tw Cen MT" w:eastAsia="Times New Roman" w:hAnsi="Tw Cen MT" w:cs="Arial"/>
          <w:bCs/>
          <w:szCs w:val="24"/>
        </w:rPr>
        <w:t xml:space="preserve"> to be a form of trafficking, whereas the </w:t>
      </w:r>
      <w:r w:rsidR="00F0561F">
        <w:rPr>
          <w:rFonts w:ascii="Tw Cen MT" w:eastAsia="Times New Roman" w:hAnsi="Tw Cen MT" w:cs="Arial"/>
          <w:bCs/>
          <w:szCs w:val="24"/>
        </w:rPr>
        <w:t>later</w:t>
      </w:r>
      <w:r w:rsidRPr="000D39BD">
        <w:rPr>
          <w:rFonts w:ascii="Tw Cen MT" w:eastAsia="Times New Roman" w:hAnsi="Tw Cen MT" w:cs="Arial"/>
          <w:bCs/>
          <w:szCs w:val="24"/>
        </w:rPr>
        <w:t xml:space="preserve"> Protocol makes clear that trafficking can be in all labo</w:t>
      </w:r>
      <w:r>
        <w:rPr>
          <w:rFonts w:ascii="Tw Cen MT" w:eastAsia="Times New Roman" w:hAnsi="Tw Cen MT" w:cs="Arial"/>
          <w:bCs/>
          <w:szCs w:val="24"/>
        </w:rPr>
        <w:t>u</w:t>
      </w:r>
      <w:r w:rsidRPr="000D39BD">
        <w:rPr>
          <w:rFonts w:ascii="Tw Cen MT" w:eastAsia="Times New Roman" w:hAnsi="Tw Cen MT" w:cs="Arial"/>
          <w:bCs/>
          <w:szCs w:val="24"/>
        </w:rPr>
        <w:t xml:space="preserve">r sectors and that only </w:t>
      </w:r>
      <w:r w:rsidR="002C3783">
        <w:rPr>
          <w:rFonts w:ascii="Tw Cen MT" w:eastAsia="Times New Roman" w:hAnsi="Tw Cen MT" w:cs="Arial"/>
          <w:bCs/>
          <w:szCs w:val="24"/>
        </w:rPr>
        <w:t>‘</w:t>
      </w:r>
      <w:r w:rsidRPr="000D39BD">
        <w:rPr>
          <w:rFonts w:ascii="Tw Cen MT" w:eastAsia="Times New Roman" w:hAnsi="Tw Cen MT" w:cs="Arial"/>
          <w:bCs/>
          <w:szCs w:val="24"/>
        </w:rPr>
        <w:t>forced prostitution</w:t>
      </w:r>
      <w:r w:rsidR="002C3783">
        <w:rPr>
          <w:rFonts w:ascii="Tw Cen MT" w:eastAsia="Times New Roman" w:hAnsi="Tw Cen MT" w:cs="Arial"/>
          <w:bCs/>
          <w:szCs w:val="24"/>
        </w:rPr>
        <w:t>’</w:t>
      </w:r>
      <w:r w:rsidRPr="000D39BD">
        <w:rPr>
          <w:rFonts w:ascii="Tw Cen MT" w:eastAsia="Times New Roman" w:hAnsi="Tw Cen MT" w:cs="Arial"/>
          <w:bCs/>
          <w:szCs w:val="24"/>
        </w:rPr>
        <w:t xml:space="preserve"> amounts to a form of trafficking under the Protocol.</w:t>
      </w:r>
    </w:p>
    <w:p w14:paraId="109FC3FA" w14:textId="5A2C2CB7" w:rsidR="00244219" w:rsidRDefault="004C0D41" w:rsidP="00244219">
      <w:pPr>
        <w:pStyle w:val="Default"/>
        <w:jc w:val="both"/>
        <w:rPr>
          <w:rFonts w:ascii="Tw Cen MT" w:eastAsia="Times New Roman" w:hAnsi="Tw Cen MT"/>
        </w:rPr>
      </w:pPr>
      <w:r w:rsidRPr="002D1022">
        <w:rPr>
          <w:rFonts w:ascii="Tw Cen MT" w:eastAsia="Times New Roman" w:hAnsi="Tw Cen MT"/>
        </w:rPr>
        <w:t>Anti-trafficking laws and practices that seek to ‘rescue’ or rehabilitate</w:t>
      </w:r>
      <w:r>
        <w:rPr>
          <w:rFonts w:ascii="Tw Cen MT" w:eastAsia="Times New Roman" w:hAnsi="Tw Cen MT"/>
        </w:rPr>
        <w:t xml:space="preserve"> </w:t>
      </w:r>
      <w:r w:rsidRPr="002D1022">
        <w:rPr>
          <w:rFonts w:ascii="Tw Cen MT" w:eastAsia="Times New Roman" w:hAnsi="Tw Cen MT"/>
        </w:rPr>
        <w:t xml:space="preserve">sex workers </w:t>
      </w:r>
      <w:r w:rsidR="00E81E0B">
        <w:rPr>
          <w:rFonts w:ascii="Tw Cen MT" w:eastAsia="Times New Roman" w:hAnsi="Tw Cen MT"/>
        </w:rPr>
        <w:t>are also</w:t>
      </w:r>
      <w:r w:rsidRPr="002D1022">
        <w:rPr>
          <w:rFonts w:ascii="Tw Cen MT" w:eastAsia="Times New Roman" w:hAnsi="Tw Cen MT"/>
        </w:rPr>
        <w:t xml:space="preserve"> a barrier to justice, especially for migrant sex</w:t>
      </w:r>
      <w:r>
        <w:rPr>
          <w:rFonts w:ascii="Tw Cen MT" w:eastAsia="Times New Roman" w:hAnsi="Tw Cen MT"/>
        </w:rPr>
        <w:t xml:space="preserve"> </w:t>
      </w:r>
      <w:r w:rsidRPr="002D1022">
        <w:rPr>
          <w:rFonts w:ascii="Tw Cen MT" w:eastAsia="Times New Roman" w:hAnsi="Tw Cen MT"/>
        </w:rPr>
        <w:t>workers</w:t>
      </w:r>
      <w:r>
        <w:rPr>
          <w:rFonts w:ascii="Tw Cen MT" w:eastAsia="Times New Roman" w:hAnsi="Tw Cen MT"/>
        </w:rPr>
        <w:t>.</w:t>
      </w:r>
      <w:r>
        <w:rPr>
          <w:rStyle w:val="FootnoteReference"/>
          <w:rFonts w:ascii="Tw Cen MT" w:eastAsia="Times New Roman" w:hAnsi="Tw Cen MT"/>
        </w:rPr>
        <w:footnoteReference w:id="23"/>
      </w:r>
      <w:r w:rsidRPr="002D1022">
        <w:rPr>
          <w:rFonts w:ascii="Tw Cen MT" w:eastAsia="Times New Roman" w:hAnsi="Tw Cen MT"/>
        </w:rPr>
        <w:t xml:space="preserve"> </w:t>
      </w:r>
      <w:r w:rsidR="00244219" w:rsidRPr="00244219">
        <w:rPr>
          <w:rFonts w:ascii="Tw Cen MT" w:eastAsia="Times New Roman" w:hAnsi="Tw Cen MT"/>
        </w:rPr>
        <w:t>Anti-trafficking measures that conflate sex work and trafficking</w:t>
      </w:r>
      <w:r w:rsidR="00244219">
        <w:rPr>
          <w:rFonts w:ascii="Tw Cen MT" w:eastAsia="Times New Roman" w:hAnsi="Tw Cen MT"/>
        </w:rPr>
        <w:t xml:space="preserve"> </w:t>
      </w:r>
      <w:r w:rsidR="00244219" w:rsidRPr="00244219">
        <w:rPr>
          <w:rFonts w:ascii="Tw Cen MT" w:eastAsia="Times New Roman" w:hAnsi="Tw Cen MT"/>
        </w:rPr>
        <w:t>have proliferated at regional and national levels, resulting in a</w:t>
      </w:r>
      <w:r w:rsidR="00244219">
        <w:rPr>
          <w:rFonts w:ascii="Tw Cen MT" w:eastAsia="Times New Roman" w:hAnsi="Tw Cen MT"/>
        </w:rPr>
        <w:t xml:space="preserve"> </w:t>
      </w:r>
      <w:r w:rsidR="00244219" w:rsidRPr="00244219">
        <w:rPr>
          <w:rFonts w:ascii="Tw Cen MT" w:eastAsia="Times New Roman" w:hAnsi="Tw Cen MT"/>
        </w:rPr>
        <w:t>disproportionate focus on sex work. Consent is frequently described as</w:t>
      </w:r>
      <w:r w:rsidR="00244219">
        <w:rPr>
          <w:rFonts w:ascii="Tw Cen MT" w:eastAsia="Times New Roman" w:hAnsi="Tw Cen MT"/>
        </w:rPr>
        <w:t xml:space="preserve"> </w:t>
      </w:r>
      <w:r w:rsidR="00244219" w:rsidRPr="00244219">
        <w:rPr>
          <w:rFonts w:ascii="Tw Cen MT" w:eastAsia="Times New Roman" w:hAnsi="Tw Cen MT"/>
        </w:rPr>
        <w:t>irrelevant within definitions of ‘prostitution’, and trafficking often refers</w:t>
      </w:r>
      <w:r w:rsidR="00244219">
        <w:rPr>
          <w:rFonts w:ascii="Tw Cen MT" w:eastAsia="Times New Roman" w:hAnsi="Tw Cen MT"/>
        </w:rPr>
        <w:t xml:space="preserve"> </w:t>
      </w:r>
      <w:r w:rsidR="00244219" w:rsidRPr="00244219">
        <w:rPr>
          <w:rFonts w:ascii="Tw Cen MT" w:eastAsia="Times New Roman" w:hAnsi="Tw Cen MT"/>
        </w:rPr>
        <w:t>explicitly, if not solely, to trafficking in the sex industry.</w:t>
      </w:r>
      <w:r w:rsidR="003D105B">
        <w:rPr>
          <w:rStyle w:val="FootnoteReference"/>
          <w:rFonts w:ascii="Tw Cen MT" w:eastAsia="Times New Roman" w:hAnsi="Tw Cen MT"/>
        </w:rPr>
        <w:footnoteReference w:id="24"/>
      </w:r>
      <w:r w:rsidR="00244219">
        <w:rPr>
          <w:rFonts w:ascii="Tw Cen MT" w:eastAsia="Times New Roman" w:hAnsi="Tw Cen MT"/>
        </w:rPr>
        <w:t xml:space="preserve"> </w:t>
      </w:r>
      <w:r w:rsidR="00244219" w:rsidRPr="00244219">
        <w:rPr>
          <w:rFonts w:ascii="Tw Cen MT" w:eastAsia="Times New Roman" w:hAnsi="Tw Cen MT"/>
        </w:rPr>
        <w:t>For example, a South Asian convention defines prostitution as “the</w:t>
      </w:r>
      <w:r w:rsidR="00244219">
        <w:rPr>
          <w:rFonts w:ascii="Tw Cen MT" w:eastAsia="Times New Roman" w:hAnsi="Tw Cen MT"/>
        </w:rPr>
        <w:t xml:space="preserve"> </w:t>
      </w:r>
      <w:r w:rsidR="00244219" w:rsidRPr="00244219">
        <w:rPr>
          <w:rFonts w:ascii="Tw Cen MT" w:eastAsia="Times New Roman" w:hAnsi="Tw Cen MT"/>
        </w:rPr>
        <w:t>sexual exploitation or abuse of persons for commercial purposes” and</w:t>
      </w:r>
      <w:r w:rsidR="00244219">
        <w:rPr>
          <w:rFonts w:ascii="Tw Cen MT" w:eastAsia="Times New Roman" w:hAnsi="Tw Cen MT"/>
        </w:rPr>
        <w:t xml:space="preserve"> </w:t>
      </w:r>
      <w:r w:rsidR="00244219" w:rsidRPr="00244219">
        <w:rPr>
          <w:rFonts w:ascii="Tw Cen MT" w:eastAsia="Times New Roman" w:hAnsi="Tw Cen MT"/>
        </w:rPr>
        <w:t>trafficking as “the moving, selling or buying of women and children for</w:t>
      </w:r>
      <w:r w:rsidR="00244219">
        <w:rPr>
          <w:rFonts w:ascii="Tw Cen MT" w:eastAsia="Times New Roman" w:hAnsi="Tw Cen MT"/>
        </w:rPr>
        <w:t xml:space="preserve"> </w:t>
      </w:r>
      <w:r w:rsidR="00244219" w:rsidRPr="00244219">
        <w:rPr>
          <w:rFonts w:ascii="Tw Cen MT" w:eastAsia="Times New Roman" w:hAnsi="Tw Cen MT"/>
        </w:rPr>
        <w:t>prostitution…with or without the consent of the person subjected to</w:t>
      </w:r>
      <w:r w:rsidR="00244219">
        <w:rPr>
          <w:rFonts w:ascii="Tw Cen MT" w:eastAsia="Times New Roman" w:hAnsi="Tw Cen MT"/>
        </w:rPr>
        <w:t xml:space="preserve"> </w:t>
      </w:r>
      <w:r w:rsidR="00244219" w:rsidRPr="00244219">
        <w:rPr>
          <w:rFonts w:ascii="Tw Cen MT" w:eastAsia="Times New Roman" w:hAnsi="Tw Cen MT"/>
        </w:rPr>
        <w:t>trafficking.”</w:t>
      </w:r>
      <w:r w:rsidR="002A5DF5">
        <w:rPr>
          <w:rStyle w:val="FootnoteReference"/>
          <w:rFonts w:ascii="Tw Cen MT" w:eastAsia="Times New Roman" w:hAnsi="Tw Cen MT"/>
        </w:rPr>
        <w:footnoteReference w:id="25"/>
      </w:r>
      <w:r w:rsidR="00244219" w:rsidRPr="00244219">
        <w:rPr>
          <w:rFonts w:ascii="Tw Cen MT" w:eastAsia="Times New Roman" w:hAnsi="Tw Cen MT"/>
        </w:rPr>
        <w:t xml:space="preserve"> </w:t>
      </w:r>
      <w:r w:rsidR="005047A7">
        <w:rPr>
          <w:rFonts w:ascii="Tw Cen MT" w:eastAsia="Times New Roman" w:hAnsi="Tw Cen MT"/>
        </w:rPr>
        <w:t>This</w:t>
      </w:r>
      <w:r w:rsidR="00244219" w:rsidRPr="00244219">
        <w:rPr>
          <w:rFonts w:ascii="Tw Cen MT" w:eastAsia="Times New Roman" w:hAnsi="Tw Cen MT"/>
        </w:rPr>
        <w:t>, and similar legislation and treaties in Asia and the</w:t>
      </w:r>
      <w:r w:rsidR="00244219">
        <w:rPr>
          <w:rFonts w:ascii="Tw Cen MT" w:eastAsia="Times New Roman" w:hAnsi="Tw Cen MT"/>
        </w:rPr>
        <w:t xml:space="preserve"> </w:t>
      </w:r>
      <w:r w:rsidR="00244219" w:rsidRPr="00244219">
        <w:rPr>
          <w:rFonts w:ascii="Tw Cen MT" w:eastAsia="Times New Roman" w:hAnsi="Tw Cen MT"/>
        </w:rPr>
        <w:t>Pacific, are used to justify raids and supress consensual adult sex work.</w:t>
      </w:r>
      <w:r w:rsidR="002E0F32">
        <w:rPr>
          <w:rFonts w:ascii="Tw Cen MT" w:eastAsia="Times New Roman" w:hAnsi="Tw Cen MT"/>
        </w:rPr>
        <w:t xml:space="preserve"> </w:t>
      </w:r>
      <w:r w:rsidR="00244219" w:rsidRPr="00244219">
        <w:rPr>
          <w:rFonts w:ascii="Tw Cen MT" w:eastAsia="Times New Roman" w:hAnsi="Tw Cen MT"/>
        </w:rPr>
        <w:t>This has been shown to “contribute to vulnerability, generate stigma</w:t>
      </w:r>
      <w:r w:rsidR="00244219">
        <w:rPr>
          <w:rFonts w:ascii="Tw Cen MT" w:eastAsia="Times New Roman" w:hAnsi="Tw Cen MT"/>
        </w:rPr>
        <w:t xml:space="preserve"> </w:t>
      </w:r>
      <w:r w:rsidR="00244219" w:rsidRPr="00244219">
        <w:rPr>
          <w:rFonts w:ascii="Tw Cen MT" w:eastAsia="Times New Roman" w:hAnsi="Tw Cen MT"/>
        </w:rPr>
        <w:t>and create barriers to HIV service delivery.”</w:t>
      </w:r>
      <w:r w:rsidR="001A1B6D">
        <w:rPr>
          <w:rStyle w:val="FootnoteReference"/>
          <w:rFonts w:ascii="Tw Cen MT" w:eastAsia="Times New Roman" w:hAnsi="Tw Cen MT"/>
        </w:rPr>
        <w:footnoteReference w:id="26"/>
      </w:r>
      <w:r w:rsidR="005047A7">
        <w:rPr>
          <w:rFonts w:ascii="Tw Cen MT" w:eastAsia="Times New Roman" w:hAnsi="Tw Cen MT"/>
        </w:rPr>
        <w:t xml:space="preserve"> Research done on the impact of New York’s </w:t>
      </w:r>
      <w:r w:rsidR="005047A7" w:rsidRPr="005047A7">
        <w:rPr>
          <w:rFonts w:ascii="Tw Cen MT" w:eastAsia="Times New Roman" w:hAnsi="Tw Cen MT"/>
        </w:rPr>
        <w:t>Human Trafficking Intervention Courts (HTICs)</w:t>
      </w:r>
      <w:r w:rsidR="005047A7">
        <w:rPr>
          <w:rFonts w:ascii="Tw Cen MT" w:eastAsia="Times New Roman" w:hAnsi="Tw Cen MT"/>
        </w:rPr>
        <w:t xml:space="preserve"> in 2013 also revealed that courts </w:t>
      </w:r>
      <w:r w:rsidR="005047A7" w:rsidRPr="005047A7">
        <w:rPr>
          <w:rFonts w:ascii="Tw Cen MT" w:eastAsia="Times New Roman" w:hAnsi="Tw Cen MT"/>
        </w:rPr>
        <w:t xml:space="preserve">do not respect the human rights of the people they process and distort the line between consent and coercion. This makes it more difficult for </w:t>
      </w:r>
      <w:r w:rsidR="00F105CD">
        <w:rPr>
          <w:rFonts w:ascii="Tw Cen MT" w:eastAsia="Times New Roman" w:hAnsi="Tw Cen MT"/>
        </w:rPr>
        <w:t>sex workers</w:t>
      </w:r>
      <w:r w:rsidR="005047A7" w:rsidRPr="005047A7">
        <w:rPr>
          <w:rFonts w:ascii="Tw Cen MT" w:eastAsia="Times New Roman" w:hAnsi="Tw Cen MT"/>
        </w:rPr>
        <w:t xml:space="preserve"> who </w:t>
      </w:r>
      <w:r w:rsidR="006414F5">
        <w:rPr>
          <w:rFonts w:ascii="Tw Cen MT" w:eastAsia="Times New Roman" w:hAnsi="Tw Cen MT"/>
        </w:rPr>
        <w:t>face violence</w:t>
      </w:r>
      <w:r w:rsidR="005047A7" w:rsidRPr="005047A7">
        <w:rPr>
          <w:rFonts w:ascii="Tw Cen MT" w:eastAsia="Times New Roman" w:hAnsi="Tw Cen MT"/>
        </w:rPr>
        <w:t xml:space="preserve"> </w:t>
      </w:r>
      <w:r w:rsidR="006414F5">
        <w:rPr>
          <w:rFonts w:ascii="Tw Cen MT" w:eastAsia="Times New Roman" w:hAnsi="Tw Cen MT"/>
        </w:rPr>
        <w:t>through</w:t>
      </w:r>
      <w:r w:rsidR="005047A7" w:rsidRPr="005047A7">
        <w:rPr>
          <w:rFonts w:ascii="Tw Cen MT" w:eastAsia="Times New Roman" w:hAnsi="Tw Cen MT"/>
        </w:rPr>
        <w:t xml:space="preserve"> clients, </w:t>
      </w:r>
      <w:r w:rsidR="006414F5">
        <w:rPr>
          <w:rFonts w:ascii="Tw Cen MT" w:eastAsia="Times New Roman" w:hAnsi="Tw Cen MT"/>
        </w:rPr>
        <w:t>third parties</w:t>
      </w:r>
      <w:r w:rsidR="005047A7" w:rsidRPr="005047A7">
        <w:rPr>
          <w:rFonts w:ascii="Tw Cen MT" w:eastAsia="Times New Roman" w:hAnsi="Tw Cen MT"/>
        </w:rPr>
        <w:t>, police, and courts to seek justice.</w:t>
      </w:r>
      <w:r w:rsidR="008E12E8">
        <w:rPr>
          <w:rStyle w:val="FootnoteReference"/>
          <w:rFonts w:ascii="Tw Cen MT" w:eastAsia="Times New Roman" w:hAnsi="Tw Cen MT"/>
        </w:rPr>
        <w:footnoteReference w:id="27"/>
      </w:r>
    </w:p>
    <w:p w14:paraId="6C1CD078" w14:textId="77777777" w:rsidR="00244219" w:rsidRDefault="00244219" w:rsidP="007E3567">
      <w:pPr>
        <w:pStyle w:val="Default"/>
        <w:jc w:val="both"/>
        <w:rPr>
          <w:rFonts w:ascii="Tw Cen MT" w:eastAsia="Times New Roman" w:hAnsi="Tw Cen MT"/>
        </w:rPr>
      </w:pPr>
    </w:p>
    <w:p w14:paraId="7742D93C" w14:textId="02F1A7A8" w:rsidR="00555A33" w:rsidRPr="00751CDC" w:rsidRDefault="007E3567" w:rsidP="007E3567">
      <w:pPr>
        <w:pStyle w:val="Default"/>
        <w:jc w:val="both"/>
        <w:rPr>
          <w:rFonts w:ascii="Tw Cen MT" w:eastAsia="Times New Roman" w:hAnsi="Tw Cen MT"/>
        </w:rPr>
      </w:pPr>
      <w:r>
        <w:rPr>
          <w:rFonts w:ascii="Tw Cen MT" w:eastAsia="Times New Roman" w:hAnsi="Tw Cen MT"/>
        </w:rPr>
        <w:t xml:space="preserve">In her </w:t>
      </w:r>
      <w:r w:rsidRPr="00966DB4">
        <w:rPr>
          <w:rFonts w:ascii="Tw Cen MT" w:eastAsia="Times New Roman" w:hAnsi="Tw Cen MT"/>
        </w:rPr>
        <w:t>report</w:t>
      </w:r>
      <w:r>
        <w:rPr>
          <w:rFonts w:ascii="Tw Cen MT" w:eastAsia="Times New Roman" w:hAnsi="Tw Cen MT"/>
        </w:rPr>
        <w:t xml:space="preserve"> following her visit to India in 201</w:t>
      </w:r>
      <w:r w:rsidR="00966DB4">
        <w:rPr>
          <w:rFonts w:ascii="Tw Cen MT" w:eastAsia="Times New Roman" w:hAnsi="Tw Cen MT"/>
        </w:rPr>
        <w:t>3</w:t>
      </w:r>
      <w:r>
        <w:rPr>
          <w:rFonts w:ascii="Tw Cen MT" w:eastAsia="Times New Roman" w:hAnsi="Tw Cen MT"/>
        </w:rPr>
        <w:t xml:space="preserve">, former Special Rapporteur on Violence Against Women, Rashida Manjoo, </w:t>
      </w:r>
      <w:r w:rsidRPr="00750E65">
        <w:rPr>
          <w:rFonts w:ascii="Tw Cen MT" w:eastAsia="Times New Roman" w:hAnsi="Tw Cen MT"/>
        </w:rPr>
        <w:t>underscored the need to address the violence faced within sex work from state and non-state actors and the lack of avenues for legal redress</w:t>
      </w:r>
      <w:r>
        <w:rPr>
          <w:rFonts w:ascii="Tw Cen MT" w:eastAsia="Times New Roman" w:hAnsi="Tw Cen MT"/>
        </w:rPr>
        <w:t>. The report noted “</w:t>
      </w:r>
      <w:r w:rsidRPr="007E3567">
        <w:rPr>
          <w:rFonts w:ascii="Tw Cen MT" w:eastAsia="Times New Roman" w:hAnsi="Tw Cen MT"/>
        </w:rPr>
        <w:t>a tendency to conflate sex work with trafficking in persons and when sex workers are identified as victims of trafficking, the assistance that is provided to them is not targeted to their specific needs</w:t>
      </w:r>
      <w:r w:rsidR="00CE7600">
        <w:rPr>
          <w:rFonts w:ascii="Tw Cen MT" w:eastAsia="Times New Roman" w:hAnsi="Tw Cen MT"/>
        </w:rPr>
        <w:t>” and recommended that the State “</w:t>
      </w:r>
      <w:r w:rsidR="00CE7600" w:rsidRPr="00CE7600">
        <w:rPr>
          <w:rFonts w:ascii="Tw Cen MT" w:eastAsia="Times New Roman" w:hAnsi="Tw Cen MT"/>
        </w:rPr>
        <w:t xml:space="preserve">review the Immoral Traffic (Prevention) Act, 1956 that </w:t>
      </w:r>
      <w:r w:rsidR="00CE7600" w:rsidRPr="00CE7600">
        <w:rPr>
          <w:rFonts w:ascii="Tw Cen MT" w:eastAsia="Times New Roman" w:hAnsi="Tw Cen MT"/>
        </w:rPr>
        <w:lastRenderedPageBreak/>
        <w:t>de facto criminalises sex work and to ensure that measures to address trafficking in persons do not overshadow the need for effective measures to protect the human rights of sex workers.</w:t>
      </w:r>
      <w:r w:rsidR="00CE7600">
        <w:rPr>
          <w:rFonts w:ascii="Tw Cen MT" w:eastAsia="Times New Roman" w:hAnsi="Tw Cen MT"/>
        </w:rPr>
        <w:t>”</w:t>
      </w:r>
      <w:r>
        <w:rPr>
          <w:rFonts w:ascii="Tw Cen MT" w:eastAsia="Times New Roman" w:hAnsi="Tw Cen MT"/>
        </w:rPr>
        <w:t xml:space="preserve"> </w:t>
      </w:r>
      <w:r>
        <w:rPr>
          <w:rStyle w:val="FootnoteReference"/>
          <w:rFonts w:ascii="Tw Cen MT" w:eastAsia="Times New Roman" w:hAnsi="Tw Cen MT"/>
        </w:rPr>
        <w:footnoteReference w:id="28"/>
      </w:r>
    </w:p>
    <w:p w14:paraId="7965F82A" w14:textId="77777777" w:rsidR="00893AE6" w:rsidRDefault="00893AE6" w:rsidP="000033EC">
      <w:pPr>
        <w:rPr>
          <w:rFonts w:ascii="Tw Cen MT" w:eastAsiaTheme="minorHAnsi" w:hAnsi="Tw Cen MT"/>
          <w:b/>
          <w:bCs/>
          <w:color w:val="000000"/>
          <w:szCs w:val="24"/>
          <w:lang w:eastAsia="en-US"/>
        </w:rPr>
      </w:pPr>
    </w:p>
    <w:p w14:paraId="744706E5" w14:textId="77777777" w:rsidR="001D7351" w:rsidRDefault="001D7351" w:rsidP="000033EC">
      <w:pPr>
        <w:rPr>
          <w:rFonts w:ascii="Tw Cen MT" w:eastAsiaTheme="minorHAnsi" w:hAnsi="Tw Cen MT"/>
          <w:b/>
          <w:bCs/>
          <w:color w:val="000000"/>
          <w:szCs w:val="24"/>
          <w:lang w:eastAsia="en-US"/>
        </w:rPr>
      </w:pPr>
    </w:p>
    <w:p w14:paraId="65726328" w14:textId="1421CD60" w:rsidR="006E6266" w:rsidRPr="000033EC" w:rsidRDefault="00FE0BCF" w:rsidP="006E6266">
      <w:pPr>
        <w:rPr>
          <w:rFonts w:ascii="Tw Cen MT" w:eastAsiaTheme="minorHAnsi" w:hAnsi="Tw Cen MT"/>
          <w:b/>
          <w:bCs/>
          <w:color w:val="000000"/>
          <w:szCs w:val="24"/>
          <w:lang w:eastAsia="en-US"/>
        </w:rPr>
      </w:pPr>
      <w:r>
        <w:rPr>
          <w:rFonts w:ascii="Tw Cen MT" w:eastAsiaTheme="minorHAnsi" w:hAnsi="Tw Cen MT"/>
          <w:b/>
          <w:bCs/>
          <w:color w:val="000000"/>
          <w:szCs w:val="24"/>
          <w:lang w:eastAsia="en-US"/>
        </w:rPr>
        <w:t>Recommendation</w:t>
      </w:r>
      <w:r w:rsidR="006E6266">
        <w:rPr>
          <w:rFonts w:ascii="Tw Cen MT" w:eastAsiaTheme="minorHAnsi" w:hAnsi="Tw Cen MT"/>
          <w:b/>
          <w:bCs/>
          <w:color w:val="000000"/>
          <w:szCs w:val="24"/>
          <w:lang w:eastAsia="en-US"/>
        </w:rPr>
        <w:t>s</w:t>
      </w:r>
    </w:p>
    <w:p w14:paraId="28B58918" w14:textId="7052D85C" w:rsidR="00927EF8" w:rsidRPr="000033EC" w:rsidRDefault="00927EF8" w:rsidP="000033EC">
      <w:pPr>
        <w:rPr>
          <w:rFonts w:ascii="Tw Cen MT" w:eastAsiaTheme="minorHAnsi" w:hAnsi="Tw Cen MT"/>
          <w:b/>
          <w:bCs/>
          <w:color w:val="000000"/>
          <w:szCs w:val="24"/>
          <w:lang w:eastAsia="en-US"/>
        </w:rPr>
      </w:pPr>
    </w:p>
    <w:p w14:paraId="4501403F" w14:textId="5ECCE3F2" w:rsidR="00CE255D" w:rsidRPr="00CE255D" w:rsidRDefault="00E77FBC" w:rsidP="00CE255D">
      <w:pPr>
        <w:spacing w:before="100" w:beforeAutospacing="1" w:after="100" w:afterAutospacing="1"/>
        <w:jc w:val="both"/>
        <w:rPr>
          <w:rFonts w:ascii="Tw Cen MT" w:eastAsia="Times New Roman" w:hAnsi="Tw Cen MT"/>
          <w:szCs w:val="24"/>
        </w:rPr>
      </w:pPr>
      <w:r w:rsidRPr="00046A16">
        <w:rPr>
          <w:rFonts w:ascii="Tw Cen MT" w:eastAsia="Times New Roman" w:hAnsi="Tw Cen MT"/>
          <w:szCs w:val="24"/>
        </w:rPr>
        <w:t>International best practice guidelines, supported by a substantial body of evidence,</w:t>
      </w:r>
      <w:r w:rsidRPr="00681D63">
        <w:rPr>
          <w:rStyle w:val="FootnoteReference"/>
          <w:rFonts w:ascii="Tw Cen MT" w:eastAsia="Times New Roman" w:hAnsi="Tw Cen MT"/>
          <w:szCs w:val="24"/>
        </w:rPr>
        <w:t xml:space="preserve"> </w:t>
      </w:r>
      <w:r>
        <w:rPr>
          <w:rStyle w:val="FootnoteReference"/>
          <w:rFonts w:ascii="Tw Cen MT" w:eastAsia="Times New Roman" w:hAnsi="Tw Cen MT"/>
          <w:szCs w:val="24"/>
        </w:rPr>
        <w:footnoteReference w:id="29"/>
      </w:r>
      <w:r>
        <w:rPr>
          <w:rFonts w:ascii="Tw Cen MT" w:eastAsia="Times New Roman" w:hAnsi="Tw Cen MT"/>
          <w:szCs w:val="24"/>
        </w:rPr>
        <w:t>,</w:t>
      </w:r>
      <w:r>
        <w:rPr>
          <w:rStyle w:val="FootnoteReference"/>
          <w:rFonts w:ascii="Tw Cen MT" w:eastAsia="Times New Roman" w:hAnsi="Tw Cen MT"/>
          <w:szCs w:val="24"/>
        </w:rPr>
        <w:footnoteReference w:id="30"/>
      </w:r>
      <w:r>
        <w:rPr>
          <w:rFonts w:ascii="Tw Cen MT" w:eastAsia="Times New Roman" w:hAnsi="Tw Cen MT"/>
          <w:szCs w:val="24"/>
        </w:rPr>
        <w:t>,</w:t>
      </w:r>
      <w:r>
        <w:rPr>
          <w:rStyle w:val="FootnoteReference"/>
          <w:rFonts w:ascii="Tw Cen MT" w:eastAsia="Times New Roman" w:hAnsi="Tw Cen MT"/>
          <w:szCs w:val="24"/>
        </w:rPr>
        <w:footnoteReference w:id="31"/>
      </w:r>
      <w:r>
        <w:rPr>
          <w:rFonts w:ascii="Tw Cen MT" w:eastAsia="Times New Roman" w:hAnsi="Tw Cen MT"/>
          <w:szCs w:val="24"/>
        </w:rPr>
        <w:t>,</w:t>
      </w:r>
      <w:r w:rsidR="00D43F01">
        <w:rPr>
          <w:rFonts w:ascii="Tw Cen MT" w:eastAsia="Times New Roman" w:hAnsi="Tw Cen MT"/>
          <w:szCs w:val="24"/>
        </w:rPr>
        <w:t xml:space="preserve"> </w:t>
      </w:r>
      <w:r>
        <w:rPr>
          <w:rFonts w:ascii="Tw Cen MT" w:eastAsia="Times New Roman" w:hAnsi="Tw Cen MT"/>
          <w:szCs w:val="24"/>
        </w:rPr>
        <w:t>,</w:t>
      </w:r>
      <w:r>
        <w:rPr>
          <w:rStyle w:val="FootnoteReference"/>
          <w:rFonts w:ascii="Tw Cen MT" w:eastAsia="Times New Roman" w:hAnsi="Tw Cen MT"/>
          <w:szCs w:val="24"/>
        </w:rPr>
        <w:footnoteReference w:id="32"/>
      </w:r>
      <w:r>
        <w:rPr>
          <w:rFonts w:ascii="Tw Cen MT" w:eastAsia="Times New Roman" w:hAnsi="Tw Cen MT"/>
          <w:szCs w:val="24"/>
        </w:rPr>
        <w:t>,</w:t>
      </w:r>
      <w:r>
        <w:rPr>
          <w:rStyle w:val="FootnoteReference"/>
          <w:rFonts w:ascii="Tw Cen MT" w:eastAsia="Times New Roman" w:hAnsi="Tw Cen MT"/>
          <w:szCs w:val="24"/>
        </w:rPr>
        <w:footnoteReference w:id="33"/>
      </w:r>
      <w:r>
        <w:rPr>
          <w:rFonts w:ascii="Tw Cen MT" w:eastAsia="Times New Roman" w:hAnsi="Tw Cen MT"/>
          <w:szCs w:val="24"/>
        </w:rPr>
        <w:t>,</w:t>
      </w:r>
      <w:r w:rsidR="00363A05">
        <w:rPr>
          <w:rStyle w:val="FootnoteReference"/>
          <w:rFonts w:ascii="Tw Cen MT" w:eastAsia="Times New Roman" w:hAnsi="Tw Cen MT"/>
          <w:szCs w:val="24"/>
        </w:rPr>
        <w:footnoteReference w:id="34"/>
      </w:r>
      <w:r w:rsidR="00A022AD">
        <w:rPr>
          <w:rFonts w:ascii="Tw Cen MT" w:eastAsia="Times New Roman" w:hAnsi="Tw Cen MT"/>
          <w:szCs w:val="24"/>
        </w:rPr>
        <w:t>,</w:t>
      </w:r>
      <w:r w:rsidR="00A022AD">
        <w:rPr>
          <w:rStyle w:val="FootnoteReference"/>
          <w:rFonts w:ascii="Tw Cen MT" w:eastAsia="Times New Roman" w:hAnsi="Tw Cen MT"/>
          <w:szCs w:val="24"/>
        </w:rPr>
        <w:footnoteReference w:id="35"/>
      </w:r>
      <w:r w:rsidR="001A24D8">
        <w:rPr>
          <w:rFonts w:ascii="Tw Cen MT" w:eastAsia="Times New Roman" w:hAnsi="Tw Cen MT"/>
          <w:szCs w:val="24"/>
        </w:rPr>
        <w:t>,</w:t>
      </w:r>
      <w:r w:rsidR="001A24D8">
        <w:rPr>
          <w:rStyle w:val="FootnoteReference"/>
          <w:rFonts w:ascii="Tw Cen MT" w:eastAsia="Times New Roman" w:hAnsi="Tw Cen MT"/>
          <w:szCs w:val="24"/>
        </w:rPr>
        <w:footnoteReference w:id="36"/>
      </w:r>
      <w:r w:rsidRPr="00046A16">
        <w:rPr>
          <w:rFonts w:ascii="Tw Cen MT" w:eastAsia="Times New Roman" w:hAnsi="Tw Cen MT"/>
          <w:szCs w:val="24"/>
        </w:rPr>
        <w:t xml:space="preserve"> promote the full decriminalisation of sex work as the best means to reduce violence,</w:t>
      </w:r>
      <w:r>
        <w:rPr>
          <w:rFonts w:ascii="Tw Cen MT" w:eastAsia="Times New Roman" w:hAnsi="Tw Cen MT"/>
          <w:szCs w:val="24"/>
        </w:rPr>
        <w:t xml:space="preserve"> address trafficking,</w:t>
      </w:r>
      <w:r w:rsidRPr="00046A16">
        <w:rPr>
          <w:rFonts w:ascii="Tw Cen MT" w:eastAsia="Times New Roman" w:hAnsi="Tw Cen MT"/>
          <w:szCs w:val="24"/>
        </w:rPr>
        <w:t xml:space="preserve"> improve health outcomes, and uphold the human rights of sex</w:t>
      </w:r>
      <w:r>
        <w:rPr>
          <w:rFonts w:ascii="Tw Cen MT" w:eastAsia="Times New Roman" w:hAnsi="Tw Cen MT"/>
          <w:szCs w:val="24"/>
        </w:rPr>
        <w:t xml:space="preserve"> </w:t>
      </w:r>
      <w:r w:rsidRPr="00046A16">
        <w:rPr>
          <w:rFonts w:ascii="Tw Cen MT" w:eastAsia="Times New Roman" w:hAnsi="Tw Cen MT"/>
          <w:szCs w:val="24"/>
        </w:rPr>
        <w:t>workers.</w:t>
      </w:r>
      <w:r w:rsidR="00F86DF8">
        <w:rPr>
          <w:rFonts w:ascii="Tw Cen MT" w:eastAsia="Times New Roman" w:hAnsi="Tw Cen MT"/>
          <w:szCs w:val="24"/>
        </w:rPr>
        <w:t xml:space="preserve"> Under the policy of decriminalisation, all criminal laws that prohibit sex work itself are removed and ideally, should </w:t>
      </w:r>
      <w:r w:rsidR="00F86DF8" w:rsidRPr="00105523">
        <w:rPr>
          <w:rFonts w:ascii="Tw Cen MT" w:eastAsia="Times New Roman" w:hAnsi="Tw Cen MT"/>
          <w:szCs w:val="24"/>
        </w:rPr>
        <w:t>encompass the removal of all legal oppression</w:t>
      </w:r>
      <w:r w:rsidR="00C7296D">
        <w:rPr>
          <w:rFonts w:ascii="Tw Cen MT" w:eastAsia="Times New Roman" w:hAnsi="Tw Cen MT"/>
          <w:szCs w:val="24"/>
        </w:rPr>
        <w:t xml:space="preserve"> </w:t>
      </w:r>
      <w:r w:rsidR="00F86DF8" w:rsidRPr="00105523">
        <w:rPr>
          <w:rFonts w:ascii="Tw Cen MT" w:eastAsia="Times New Roman" w:hAnsi="Tw Cen MT"/>
          <w:szCs w:val="24"/>
        </w:rPr>
        <w:t>that</w:t>
      </w:r>
      <w:r w:rsidR="00F86DF8">
        <w:rPr>
          <w:rFonts w:ascii="Tw Cen MT" w:eastAsia="Times New Roman" w:hAnsi="Tw Cen MT"/>
          <w:szCs w:val="24"/>
        </w:rPr>
        <w:t xml:space="preserve"> </w:t>
      </w:r>
      <w:r w:rsidR="00F86DF8" w:rsidRPr="00105523">
        <w:rPr>
          <w:rFonts w:ascii="Tw Cen MT" w:eastAsia="Times New Roman" w:hAnsi="Tw Cen MT"/>
          <w:szCs w:val="24"/>
        </w:rPr>
        <w:t>disproportionately impact</w:t>
      </w:r>
      <w:r w:rsidR="00C7296D">
        <w:rPr>
          <w:rFonts w:ascii="Tw Cen MT" w:eastAsia="Times New Roman" w:hAnsi="Tw Cen MT"/>
          <w:szCs w:val="24"/>
        </w:rPr>
        <w:t>s</w:t>
      </w:r>
      <w:r w:rsidR="00F86DF8" w:rsidRPr="00105523">
        <w:rPr>
          <w:rFonts w:ascii="Tw Cen MT" w:eastAsia="Times New Roman" w:hAnsi="Tw Cen MT"/>
          <w:szCs w:val="24"/>
        </w:rPr>
        <w:t xml:space="preserve"> sex workers, such as</w:t>
      </w:r>
      <w:r w:rsidR="00F86DF8">
        <w:rPr>
          <w:rFonts w:ascii="Tw Cen MT" w:eastAsia="Times New Roman" w:hAnsi="Tw Cen MT"/>
          <w:szCs w:val="24"/>
        </w:rPr>
        <w:t xml:space="preserve"> </w:t>
      </w:r>
      <w:r w:rsidR="00F86DF8" w:rsidRPr="00105523">
        <w:rPr>
          <w:rFonts w:ascii="Tw Cen MT" w:eastAsia="Times New Roman" w:hAnsi="Tw Cen MT"/>
          <w:szCs w:val="24"/>
        </w:rPr>
        <w:t>laws against vagrancy, public nuisance, obscenity,</w:t>
      </w:r>
      <w:r w:rsidR="00F86DF8">
        <w:rPr>
          <w:rFonts w:ascii="Tw Cen MT" w:eastAsia="Times New Roman" w:hAnsi="Tw Cen MT"/>
          <w:szCs w:val="24"/>
        </w:rPr>
        <w:t xml:space="preserve"> </w:t>
      </w:r>
      <w:r w:rsidR="00F86DF8" w:rsidRPr="00105523">
        <w:rPr>
          <w:rFonts w:ascii="Tw Cen MT" w:eastAsia="Times New Roman" w:hAnsi="Tw Cen MT"/>
          <w:szCs w:val="24"/>
        </w:rPr>
        <w:t>drug use, homosexuality, and crossdressing</w:t>
      </w:r>
      <w:r w:rsidR="00F86DF8">
        <w:rPr>
          <w:rFonts w:ascii="Tw Cen MT" w:eastAsia="Times New Roman" w:hAnsi="Tw Cen MT"/>
          <w:szCs w:val="24"/>
        </w:rPr>
        <w:t xml:space="preserve">. </w:t>
      </w:r>
      <w:r w:rsidR="00F86DF8" w:rsidRPr="009B17CE">
        <w:rPr>
          <w:rFonts w:ascii="Tw Cen MT" w:eastAsia="Times New Roman" w:hAnsi="Tw Cen MT"/>
          <w:szCs w:val="24"/>
        </w:rPr>
        <w:t>Decriminalisation improves the safety of sex</w:t>
      </w:r>
      <w:r w:rsidR="00F86DF8">
        <w:rPr>
          <w:rFonts w:ascii="Tw Cen MT" w:eastAsia="Times New Roman" w:hAnsi="Tw Cen MT"/>
          <w:szCs w:val="24"/>
        </w:rPr>
        <w:t xml:space="preserve"> </w:t>
      </w:r>
      <w:r w:rsidR="00F86DF8" w:rsidRPr="009B17CE">
        <w:rPr>
          <w:rFonts w:ascii="Tw Cen MT" w:eastAsia="Times New Roman" w:hAnsi="Tw Cen MT"/>
          <w:szCs w:val="24"/>
        </w:rPr>
        <w:t>work by reducing</w:t>
      </w:r>
      <w:r w:rsidR="00C7296D">
        <w:rPr>
          <w:rFonts w:ascii="Tw Cen MT" w:eastAsia="Times New Roman" w:hAnsi="Tw Cen MT"/>
          <w:szCs w:val="24"/>
        </w:rPr>
        <w:t xml:space="preserve"> stigma, discrimination,</w:t>
      </w:r>
      <w:r w:rsidR="00F86DF8" w:rsidRPr="009B17CE">
        <w:rPr>
          <w:rFonts w:ascii="Tw Cen MT" w:eastAsia="Times New Roman" w:hAnsi="Tw Cen MT"/>
          <w:szCs w:val="24"/>
        </w:rPr>
        <w:t xml:space="preserve"> work-related violence, police violence, and by increasing access to</w:t>
      </w:r>
      <w:r w:rsidR="00F86DF8">
        <w:rPr>
          <w:rFonts w:ascii="Tw Cen MT" w:eastAsia="Times New Roman" w:hAnsi="Tw Cen MT"/>
          <w:szCs w:val="24"/>
        </w:rPr>
        <w:t xml:space="preserve"> </w:t>
      </w:r>
      <w:r w:rsidR="00F86DF8" w:rsidRPr="009B17CE">
        <w:rPr>
          <w:rFonts w:ascii="Tw Cen MT" w:eastAsia="Times New Roman" w:hAnsi="Tw Cen MT"/>
          <w:szCs w:val="24"/>
        </w:rPr>
        <w:t>justice, support services and health services.</w:t>
      </w:r>
      <w:r w:rsidR="00DC002B" w:rsidRPr="00DC002B">
        <w:rPr>
          <w:rStyle w:val="FootnoteReference"/>
          <w:rFonts w:ascii="Tw Cen MT" w:eastAsia="Times New Roman" w:hAnsi="Tw Cen MT"/>
          <w:szCs w:val="24"/>
        </w:rPr>
        <w:t xml:space="preserve"> </w:t>
      </w:r>
      <w:r w:rsidR="00DC002B">
        <w:rPr>
          <w:rStyle w:val="FootnoteReference"/>
          <w:rFonts w:ascii="Tw Cen MT" w:eastAsia="Times New Roman" w:hAnsi="Tw Cen MT"/>
          <w:szCs w:val="24"/>
        </w:rPr>
        <w:footnoteReference w:id="37"/>
      </w:r>
      <w:r w:rsidR="00A022AD">
        <w:rPr>
          <w:rStyle w:val="FootnoteReference"/>
          <w:rFonts w:ascii="Tw Cen MT" w:eastAsia="Times New Roman" w:hAnsi="Tw Cen MT"/>
          <w:szCs w:val="24"/>
        </w:rPr>
        <w:t>,</w:t>
      </w:r>
      <w:r w:rsidR="00363A05">
        <w:rPr>
          <w:rStyle w:val="FootnoteReference"/>
          <w:rFonts w:ascii="Tw Cen MT" w:eastAsia="Times New Roman" w:hAnsi="Tw Cen MT"/>
          <w:szCs w:val="24"/>
        </w:rPr>
        <w:footnoteReference w:id="38"/>
      </w:r>
      <w:r w:rsidR="00F86DF8" w:rsidRPr="009B17CE">
        <w:rPr>
          <w:rFonts w:ascii="Tw Cen MT" w:eastAsia="Times New Roman" w:hAnsi="Tw Cen MT"/>
          <w:szCs w:val="24"/>
        </w:rPr>
        <w:t xml:space="preserve"> It also affords sex workers the same rights</w:t>
      </w:r>
      <w:r w:rsidR="00F86DF8">
        <w:rPr>
          <w:rFonts w:ascii="Tw Cen MT" w:eastAsia="Times New Roman" w:hAnsi="Tw Cen MT"/>
          <w:szCs w:val="24"/>
        </w:rPr>
        <w:t xml:space="preserve"> </w:t>
      </w:r>
      <w:r w:rsidR="00F86DF8" w:rsidRPr="009B17CE">
        <w:rPr>
          <w:rFonts w:ascii="Tw Cen MT" w:eastAsia="Times New Roman" w:hAnsi="Tw Cen MT"/>
          <w:szCs w:val="24"/>
        </w:rPr>
        <w:t>and social protections as other workers, improving</w:t>
      </w:r>
      <w:r w:rsidR="00F86DF8">
        <w:rPr>
          <w:rFonts w:ascii="Tw Cen MT" w:eastAsia="Times New Roman" w:hAnsi="Tw Cen MT"/>
          <w:szCs w:val="24"/>
        </w:rPr>
        <w:t xml:space="preserve"> </w:t>
      </w:r>
      <w:r w:rsidR="00F86DF8" w:rsidRPr="009B17CE">
        <w:rPr>
          <w:rFonts w:ascii="Tw Cen MT" w:eastAsia="Times New Roman" w:hAnsi="Tw Cen MT"/>
          <w:szCs w:val="24"/>
        </w:rPr>
        <w:t>their opportunities and economic empowerment.</w:t>
      </w:r>
      <w:r w:rsidR="00F86DF8">
        <w:rPr>
          <w:rFonts w:ascii="Tw Cen MT" w:eastAsia="Times New Roman" w:hAnsi="Tw Cen MT"/>
          <w:szCs w:val="24"/>
        </w:rPr>
        <w:t xml:space="preserve"> </w:t>
      </w:r>
      <w:r w:rsidR="00F86DF8" w:rsidRPr="009B17CE">
        <w:rPr>
          <w:rFonts w:ascii="Tw Cen MT" w:eastAsia="Times New Roman" w:hAnsi="Tw Cen MT"/>
          <w:szCs w:val="24"/>
        </w:rPr>
        <w:t>Under decriminalisation, sex workers no longer</w:t>
      </w:r>
      <w:r w:rsidR="00F86DF8">
        <w:rPr>
          <w:rFonts w:ascii="Tw Cen MT" w:eastAsia="Times New Roman" w:hAnsi="Tw Cen MT"/>
          <w:szCs w:val="24"/>
        </w:rPr>
        <w:t xml:space="preserve"> </w:t>
      </w:r>
      <w:r w:rsidR="00F86DF8" w:rsidRPr="009B17CE">
        <w:rPr>
          <w:rFonts w:ascii="Tw Cen MT" w:eastAsia="Times New Roman" w:hAnsi="Tw Cen MT"/>
          <w:szCs w:val="24"/>
        </w:rPr>
        <w:t>fear arrest, imprisonment, deportation, or having</w:t>
      </w:r>
      <w:r w:rsidR="00F86DF8">
        <w:rPr>
          <w:rFonts w:ascii="Tw Cen MT" w:eastAsia="Times New Roman" w:hAnsi="Tw Cen MT"/>
          <w:szCs w:val="24"/>
        </w:rPr>
        <w:t xml:space="preserve"> </w:t>
      </w:r>
      <w:r w:rsidR="00F86DF8" w:rsidRPr="009B17CE">
        <w:rPr>
          <w:rFonts w:ascii="Tw Cen MT" w:eastAsia="Times New Roman" w:hAnsi="Tw Cen MT"/>
          <w:szCs w:val="24"/>
        </w:rPr>
        <w:t>a criminal record because of their work.</w:t>
      </w:r>
      <w:r w:rsidR="00E82E8D">
        <w:rPr>
          <w:rFonts w:ascii="Tw Cen MT" w:eastAsia="Times New Roman" w:hAnsi="Tw Cen MT"/>
          <w:szCs w:val="24"/>
        </w:rPr>
        <w:t xml:space="preserve"> </w:t>
      </w:r>
      <w:r w:rsidR="00E82E8D" w:rsidRPr="0074022A">
        <w:rPr>
          <w:rFonts w:ascii="Tw Cen MT" w:eastAsia="Times New Roman" w:hAnsi="Tw Cen MT"/>
          <w:szCs w:val="24"/>
        </w:rPr>
        <w:t>A 2008 report</w:t>
      </w:r>
      <w:r w:rsidR="00E82E8D">
        <w:rPr>
          <w:rStyle w:val="FootnoteReference"/>
          <w:rFonts w:ascii="Tw Cen MT" w:eastAsia="Times New Roman" w:hAnsi="Tw Cen MT"/>
          <w:szCs w:val="24"/>
        </w:rPr>
        <w:footnoteReference w:id="39"/>
      </w:r>
      <w:r w:rsidR="00E82E8D" w:rsidRPr="0074022A">
        <w:rPr>
          <w:rFonts w:ascii="Tw Cen MT" w:eastAsia="Times New Roman" w:hAnsi="Tw Cen MT"/>
          <w:szCs w:val="24"/>
        </w:rPr>
        <w:t xml:space="preserve"> by the Prostitution Law Review</w:t>
      </w:r>
      <w:r w:rsidR="00E82E8D">
        <w:rPr>
          <w:rFonts w:ascii="Tw Cen MT" w:eastAsia="Times New Roman" w:hAnsi="Tw Cen MT"/>
          <w:szCs w:val="24"/>
        </w:rPr>
        <w:t xml:space="preserve"> </w:t>
      </w:r>
      <w:r w:rsidR="00E82E8D" w:rsidRPr="0074022A">
        <w:rPr>
          <w:rFonts w:ascii="Tw Cen MT" w:eastAsia="Times New Roman" w:hAnsi="Tw Cen MT"/>
          <w:szCs w:val="24"/>
        </w:rPr>
        <w:t>Committee found that sex workers are more</w:t>
      </w:r>
      <w:r w:rsidR="00E82E8D">
        <w:rPr>
          <w:rFonts w:ascii="Tw Cen MT" w:eastAsia="Times New Roman" w:hAnsi="Tw Cen MT"/>
          <w:szCs w:val="24"/>
        </w:rPr>
        <w:t xml:space="preserve"> </w:t>
      </w:r>
      <w:r w:rsidR="00E82E8D" w:rsidRPr="0074022A">
        <w:rPr>
          <w:rFonts w:ascii="Tw Cen MT" w:eastAsia="Times New Roman" w:hAnsi="Tw Cen MT"/>
          <w:szCs w:val="24"/>
        </w:rPr>
        <w:t>willing to report crime, the sex industry has not</w:t>
      </w:r>
      <w:r w:rsidR="00E82E8D">
        <w:rPr>
          <w:rFonts w:ascii="Tw Cen MT" w:eastAsia="Times New Roman" w:hAnsi="Tw Cen MT"/>
          <w:szCs w:val="24"/>
        </w:rPr>
        <w:t xml:space="preserve"> </w:t>
      </w:r>
      <w:r w:rsidR="00E82E8D" w:rsidRPr="0074022A">
        <w:rPr>
          <w:rFonts w:ascii="Tw Cen MT" w:eastAsia="Times New Roman" w:hAnsi="Tw Cen MT"/>
          <w:szCs w:val="24"/>
        </w:rPr>
        <w:t>increased in size, and the health and safety of</w:t>
      </w:r>
      <w:r w:rsidR="00E82E8D">
        <w:rPr>
          <w:rFonts w:ascii="Tw Cen MT" w:eastAsia="Times New Roman" w:hAnsi="Tw Cen MT"/>
          <w:szCs w:val="24"/>
        </w:rPr>
        <w:t xml:space="preserve"> </w:t>
      </w:r>
      <w:r w:rsidR="00E82E8D" w:rsidRPr="0074022A">
        <w:rPr>
          <w:rFonts w:ascii="Tw Cen MT" w:eastAsia="Times New Roman" w:hAnsi="Tw Cen MT"/>
          <w:szCs w:val="24"/>
        </w:rPr>
        <w:t>the majority of sex workers has improved due</w:t>
      </w:r>
      <w:r w:rsidR="00E82E8D">
        <w:rPr>
          <w:rFonts w:ascii="Tw Cen MT" w:eastAsia="Times New Roman" w:hAnsi="Tw Cen MT"/>
          <w:szCs w:val="24"/>
        </w:rPr>
        <w:t xml:space="preserve"> </w:t>
      </w:r>
      <w:r w:rsidR="00E82E8D" w:rsidRPr="0074022A">
        <w:rPr>
          <w:rFonts w:ascii="Tw Cen MT" w:eastAsia="Times New Roman" w:hAnsi="Tw Cen MT"/>
          <w:szCs w:val="24"/>
        </w:rPr>
        <w:t>to the P</w:t>
      </w:r>
      <w:r w:rsidR="00E82E8D">
        <w:rPr>
          <w:rFonts w:ascii="Tw Cen MT" w:eastAsia="Times New Roman" w:hAnsi="Tw Cen MT"/>
          <w:szCs w:val="24"/>
        </w:rPr>
        <w:t xml:space="preserve">rostitution Reform </w:t>
      </w:r>
      <w:r w:rsidR="00E82E8D" w:rsidRPr="0074022A">
        <w:rPr>
          <w:rFonts w:ascii="Tw Cen MT" w:eastAsia="Times New Roman" w:hAnsi="Tw Cen MT"/>
          <w:szCs w:val="24"/>
        </w:rPr>
        <w:t>A</w:t>
      </w:r>
      <w:r w:rsidR="00E82E8D">
        <w:rPr>
          <w:rFonts w:ascii="Tw Cen MT" w:eastAsia="Times New Roman" w:hAnsi="Tw Cen MT"/>
          <w:szCs w:val="24"/>
        </w:rPr>
        <w:t>ct</w:t>
      </w:r>
      <w:r w:rsidR="00E82E8D" w:rsidRPr="0074022A">
        <w:rPr>
          <w:rFonts w:ascii="Tw Cen MT" w:eastAsia="Times New Roman" w:hAnsi="Tw Cen MT"/>
          <w:szCs w:val="24"/>
        </w:rPr>
        <w:t>.</w:t>
      </w:r>
      <w:r w:rsidR="00CE255D">
        <w:rPr>
          <w:rFonts w:ascii="Tw Cen MT" w:eastAsia="Times New Roman" w:hAnsi="Tw Cen MT"/>
          <w:szCs w:val="24"/>
        </w:rPr>
        <w:t xml:space="preserve"> </w:t>
      </w:r>
      <w:r w:rsidR="00F86DF8">
        <w:rPr>
          <w:rFonts w:ascii="Tw Cen MT" w:hAnsi="Tw Cen MT"/>
          <w:color w:val="000000"/>
          <w:szCs w:val="24"/>
        </w:rPr>
        <w:t>T</w:t>
      </w:r>
      <w:r w:rsidRPr="00F67E26">
        <w:rPr>
          <w:rFonts w:ascii="Tw Cen MT" w:hAnsi="Tw Cen MT"/>
          <w:color w:val="000000"/>
          <w:szCs w:val="24"/>
        </w:rPr>
        <w:t xml:space="preserve">he Working Group on Discrimination Against Women and Girls has emphasised in its </w:t>
      </w:r>
      <w:hyperlink r:id="rId8" w:history="1">
        <w:r w:rsidRPr="00785BBD">
          <w:rPr>
            <w:rStyle w:val="Hyperlink"/>
            <w:rFonts w:ascii="Tw Cen MT" w:hAnsi="Tw Cen MT"/>
            <w:sz w:val="24"/>
            <w:szCs w:val="24"/>
          </w:rPr>
          <w:t>paper</w:t>
        </w:r>
      </w:hyperlink>
      <w:r w:rsidRPr="00F67E26">
        <w:rPr>
          <w:rFonts w:ascii="Tw Cen MT" w:hAnsi="Tw Cen MT"/>
          <w:color w:val="000000"/>
          <w:szCs w:val="24"/>
        </w:rPr>
        <w:t xml:space="preserve"> that decriminalisation does not impede states’ efforts to mitigate human trafficking, citing the 2020 </w:t>
      </w:r>
      <w:hyperlink r:id="rId9" w:history="1">
        <w:r w:rsidRPr="00883C33">
          <w:rPr>
            <w:rStyle w:val="Hyperlink"/>
            <w:rFonts w:ascii="Tw Cen MT" w:hAnsi="Tw Cen MT"/>
            <w:sz w:val="24"/>
            <w:szCs w:val="24"/>
          </w:rPr>
          <w:t>report</w:t>
        </w:r>
      </w:hyperlink>
      <w:r w:rsidRPr="00F67E26">
        <w:rPr>
          <w:rFonts w:ascii="Tw Cen MT" w:hAnsi="Tw Cen MT"/>
          <w:color w:val="000000"/>
          <w:szCs w:val="24"/>
        </w:rPr>
        <w:t xml:space="preserve"> of the Special Rapporteur on trafficking in persons. </w:t>
      </w:r>
      <w:r w:rsidR="00492095">
        <w:rPr>
          <w:rFonts w:ascii="Tw Cen MT" w:hAnsi="Tw Cen MT"/>
          <w:color w:val="000000"/>
          <w:szCs w:val="24"/>
        </w:rPr>
        <w:t xml:space="preserve">NSWP contributed to the consultation process for this paper by ensuring that it was </w:t>
      </w:r>
      <w:r w:rsidR="00492095" w:rsidRPr="00492095">
        <w:rPr>
          <w:rFonts w:ascii="Tw Cen MT" w:hAnsi="Tw Cen MT"/>
          <w:color w:val="000000"/>
          <w:szCs w:val="24"/>
        </w:rPr>
        <w:t xml:space="preserve">grounded in evidence-based research and informed by consultations conducted with diverse sex workers across </w:t>
      </w:r>
      <w:r w:rsidR="00751544">
        <w:rPr>
          <w:rFonts w:ascii="Tw Cen MT" w:hAnsi="Tw Cen MT"/>
          <w:color w:val="000000"/>
          <w:szCs w:val="24"/>
        </w:rPr>
        <w:t>all</w:t>
      </w:r>
      <w:r w:rsidR="00492095" w:rsidRPr="00492095">
        <w:rPr>
          <w:rFonts w:ascii="Tw Cen MT" w:hAnsi="Tw Cen MT"/>
          <w:color w:val="000000"/>
          <w:szCs w:val="24"/>
        </w:rPr>
        <w:t xml:space="preserve"> regions, including those living with HIV, those who have experienced violence, exploitation, and abuse first-hand</w:t>
      </w:r>
      <w:r w:rsidR="00492095">
        <w:rPr>
          <w:rFonts w:ascii="Tw Cen MT" w:hAnsi="Tw Cen MT"/>
          <w:color w:val="000000"/>
          <w:szCs w:val="24"/>
        </w:rPr>
        <w:t>.</w:t>
      </w:r>
    </w:p>
    <w:p w14:paraId="7F75D7D7" w14:textId="3BD19941" w:rsidR="000C478C" w:rsidRDefault="00E77FBC" w:rsidP="00953EBD">
      <w:pPr>
        <w:pBdr>
          <w:top w:val="nil"/>
          <w:left w:val="nil"/>
          <w:bottom w:val="nil"/>
          <w:right w:val="nil"/>
          <w:between w:val="nil"/>
        </w:pBdr>
        <w:jc w:val="both"/>
        <w:rPr>
          <w:rFonts w:ascii="Tw Cen MT" w:eastAsia="Times New Roman" w:hAnsi="Tw Cen MT"/>
          <w:szCs w:val="24"/>
        </w:rPr>
      </w:pPr>
      <w:r>
        <w:rPr>
          <w:rFonts w:ascii="Tw Cen MT" w:eastAsia="Times New Roman" w:hAnsi="Tw Cen MT"/>
          <w:szCs w:val="24"/>
        </w:rPr>
        <w:t xml:space="preserve">In addition to decriminalisation, </w:t>
      </w:r>
      <w:r w:rsidR="00793AC0">
        <w:rPr>
          <w:rFonts w:ascii="Tw Cen MT" w:eastAsia="Times New Roman" w:hAnsi="Tw Cen MT"/>
          <w:szCs w:val="24"/>
        </w:rPr>
        <w:t>i</w:t>
      </w:r>
      <w:r w:rsidR="005B1748">
        <w:rPr>
          <w:rFonts w:ascii="Tw Cen MT" w:eastAsia="Times New Roman" w:hAnsi="Tw Cen MT"/>
          <w:szCs w:val="24"/>
        </w:rPr>
        <w:t>ndependent</w:t>
      </w:r>
      <w:r w:rsidRPr="000107C3">
        <w:rPr>
          <w:rFonts w:ascii="Tw Cen MT" w:eastAsia="Times New Roman" w:hAnsi="Tw Cen MT"/>
          <w:szCs w:val="24"/>
        </w:rPr>
        <w:t xml:space="preserve"> monitors and reporting</w:t>
      </w:r>
      <w:r>
        <w:rPr>
          <w:rFonts w:ascii="Tw Cen MT" w:eastAsia="Times New Roman" w:hAnsi="Tw Cen MT"/>
          <w:szCs w:val="24"/>
        </w:rPr>
        <w:t xml:space="preserve"> </w:t>
      </w:r>
      <w:r w:rsidRPr="000107C3">
        <w:rPr>
          <w:rFonts w:ascii="Tw Cen MT" w:eastAsia="Times New Roman" w:hAnsi="Tw Cen MT"/>
          <w:szCs w:val="24"/>
        </w:rPr>
        <w:t>mechanisms</w:t>
      </w:r>
      <w:r w:rsidR="00363A05">
        <w:rPr>
          <w:rFonts w:ascii="Tw Cen MT" w:eastAsia="Times New Roman" w:hAnsi="Tw Cen MT"/>
          <w:szCs w:val="24"/>
        </w:rPr>
        <w:t xml:space="preserve">, developed in consultation </w:t>
      </w:r>
      <w:r w:rsidR="00357D8B">
        <w:rPr>
          <w:rFonts w:ascii="Tw Cen MT" w:eastAsia="Times New Roman" w:hAnsi="Tw Cen MT"/>
          <w:szCs w:val="24"/>
        </w:rPr>
        <w:t>with</w:t>
      </w:r>
      <w:r w:rsidR="00363A05">
        <w:rPr>
          <w:rFonts w:ascii="Tw Cen MT" w:eastAsia="Times New Roman" w:hAnsi="Tw Cen MT"/>
          <w:szCs w:val="24"/>
        </w:rPr>
        <w:t xml:space="preserve"> sex workers,</w:t>
      </w:r>
      <w:r w:rsidRPr="000107C3">
        <w:rPr>
          <w:rFonts w:ascii="Tw Cen MT" w:eastAsia="Times New Roman" w:hAnsi="Tw Cen MT"/>
          <w:szCs w:val="24"/>
        </w:rPr>
        <w:t xml:space="preserve"> must be made available to sex worker</w:t>
      </w:r>
      <w:r w:rsidR="00575933">
        <w:rPr>
          <w:rFonts w:ascii="Tw Cen MT" w:eastAsia="Times New Roman" w:hAnsi="Tw Cen MT"/>
          <w:szCs w:val="24"/>
        </w:rPr>
        <w:t xml:space="preserve">s </w:t>
      </w:r>
      <w:r w:rsidRPr="000107C3">
        <w:rPr>
          <w:rFonts w:ascii="Tw Cen MT" w:eastAsia="Times New Roman" w:hAnsi="Tw Cen MT"/>
          <w:szCs w:val="24"/>
        </w:rPr>
        <w:t>to</w:t>
      </w:r>
      <w:r>
        <w:rPr>
          <w:rFonts w:ascii="Tw Cen MT" w:eastAsia="Times New Roman" w:hAnsi="Tw Cen MT"/>
          <w:szCs w:val="24"/>
        </w:rPr>
        <w:t xml:space="preserve"> </w:t>
      </w:r>
      <w:r w:rsidRPr="000107C3">
        <w:rPr>
          <w:rFonts w:ascii="Tw Cen MT" w:eastAsia="Times New Roman" w:hAnsi="Tw Cen MT"/>
          <w:szCs w:val="24"/>
        </w:rPr>
        <w:t xml:space="preserve">report </w:t>
      </w:r>
      <w:r>
        <w:rPr>
          <w:rFonts w:ascii="Tw Cen MT" w:eastAsia="Times New Roman" w:hAnsi="Tw Cen MT"/>
          <w:szCs w:val="24"/>
        </w:rPr>
        <w:t>violence and</w:t>
      </w:r>
      <w:r w:rsidRPr="000107C3">
        <w:rPr>
          <w:rFonts w:ascii="Tw Cen MT" w:eastAsia="Times New Roman" w:hAnsi="Tw Cen MT"/>
          <w:szCs w:val="24"/>
        </w:rPr>
        <w:t xml:space="preserve"> violations</w:t>
      </w:r>
      <w:r>
        <w:rPr>
          <w:rFonts w:ascii="Tw Cen MT" w:eastAsia="Times New Roman" w:hAnsi="Tw Cen MT"/>
          <w:szCs w:val="24"/>
        </w:rPr>
        <w:t xml:space="preserve"> against their rights</w:t>
      </w:r>
      <w:r w:rsidR="00A14FEC">
        <w:rPr>
          <w:rFonts w:ascii="Tw Cen MT" w:eastAsia="Times New Roman" w:hAnsi="Tw Cen MT"/>
          <w:szCs w:val="24"/>
        </w:rPr>
        <w:t>, including trafficking cases</w:t>
      </w:r>
      <w:r>
        <w:rPr>
          <w:rFonts w:ascii="Tw Cen MT" w:eastAsia="Times New Roman" w:hAnsi="Tw Cen MT"/>
          <w:szCs w:val="24"/>
        </w:rPr>
        <w:t>.</w:t>
      </w:r>
      <w:r w:rsidRPr="00180477">
        <w:rPr>
          <w:rFonts w:ascii="Tw Cen MT" w:eastAsia="Times New Roman" w:hAnsi="Tw Cen MT"/>
          <w:szCs w:val="24"/>
        </w:rPr>
        <w:t xml:space="preserve"> </w:t>
      </w:r>
      <w:r w:rsidR="00793AC0">
        <w:rPr>
          <w:rFonts w:ascii="Tw Cen MT" w:eastAsia="Times New Roman" w:hAnsi="Tw Cen MT"/>
          <w:szCs w:val="24"/>
        </w:rPr>
        <w:t>For this purpose, f</w:t>
      </w:r>
      <w:r w:rsidR="00E91DEA">
        <w:rPr>
          <w:rFonts w:ascii="Tw Cen MT" w:eastAsia="Times New Roman" w:hAnsi="Tw Cen MT"/>
          <w:szCs w:val="24"/>
        </w:rPr>
        <w:t xml:space="preserve">rontline organisations </w:t>
      </w:r>
      <w:r w:rsidR="00E91DEA">
        <w:rPr>
          <w:rFonts w:ascii="Tw Cen MT" w:eastAsia="Times New Roman" w:hAnsi="Tw Cen MT"/>
          <w:szCs w:val="24"/>
        </w:rPr>
        <w:lastRenderedPageBreak/>
        <w:t xml:space="preserve">that </w:t>
      </w:r>
      <w:r w:rsidR="00793AC0">
        <w:rPr>
          <w:rFonts w:ascii="Tw Cen MT" w:eastAsia="Times New Roman" w:hAnsi="Tw Cen MT"/>
          <w:szCs w:val="24"/>
        </w:rPr>
        <w:t>are directly in contact with</w:t>
      </w:r>
      <w:r w:rsidR="00E91DEA">
        <w:rPr>
          <w:rFonts w:ascii="Tw Cen MT" w:eastAsia="Times New Roman" w:hAnsi="Tw Cen MT"/>
          <w:szCs w:val="24"/>
        </w:rPr>
        <w:t xml:space="preserve"> sex worker</w:t>
      </w:r>
      <w:r w:rsidR="00793AC0">
        <w:rPr>
          <w:rFonts w:ascii="Tw Cen MT" w:eastAsia="Times New Roman" w:hAnsi="Tw Cen MT"/>
          <w:szCs w:val="24"/>
        </w:rPr>
        <w:t xml:space="preserve"> communities</w:t>
      </w:r>
      <w:r w:rsidR="00E91DEA">
        <w:rPr>
          <w:rFonts w:ascii="Tw Cen MT" w:eastAsia="Times New Roman" w:hAnsi="Tw Cen MT"/>
          <w:szCs w:val="24"/>
        </w:rPr>
        <w:t xml:space="preserve"> </w:t>
      </w:r>
      <w:r w:rsidR="00793AC0">
        <w:rPr>
          <w:rFonts w:ascii="Tw Cen MT" w:eastAsia="Times New Roman" w:hAnsi="Tw Cen MT"/>
          <w:szCs w:val="24"/>
        </w:rPr>
        <w:t>should be better supported and funded.</w:t>
      </w:r>
      <w:r w:rsidR="003C2513">
        <w:rPr>
          <w:rFonts w:ascii="Tw Cen MT" w:eastAsia="Times New Roman" w:hAnsi="Tw Cen MT"/>
          <w:szCs w:val="24"/>
        </w:rPr>
        <w:t xml:space="preserve"> </w:t>
      </w:r>
      <w:r w:rsidR="004B449E" w:rsidRPr="004B449E">
        <w:rPr>
          <w:rFonts w:ascii="Tw Cen MT" w:eastAsia="Times New Roman" w:hAnsi="Tw Cen MT"/>
          <w:szCs w:val="24"/>
        </w:rPr>
        <w:t xml:space="preserve">Durbar Mahila </w:t>
      </w:r>
      <w:proofErr w:type="spellStart"/>
      <w:r w:rsidR="004B449E" w:rsidRPr="004B449E">
        <w:rPr>
          <w:rFonts w:ascii="Tw Cen MT" w:eastAsia="Times New Roman" w:hAnsi="Tw Cen MT"/>
          <w:szCs w:val="24"/>
        </w:rPr>
        <w:t>Samanwaya</w:t>
      </w:r>
      <w:proofErr w:type="spellEnd"/>
      <w:r w:rsidR="004B449E" w:rsidRPr="004B449E">
        <w:rPr>
          <w:rFonts w:ascii="Tw Cen MT" w:eastAsia="Times New Roman" w:hAnsi="Tw Cen MT"/>
          <w:szCs w:val="24"/>
        </w:rPr>
        <w:t xml:space="preserve"> Committee (DMSC) Self</w:t>
      </w:r>
      <w:r w:rsidR="003C2513">
        <w:rPr>
          <w:rFonts w:ascii="Tw Cen MT" w:eastAsia="Times New Roman" w:hAnsi="Tw Cen MT"/>
          <w:szCs w:val="24"/>
        </w:rPr>
        <w:t>-</w:t>
      </w:r>
      <w:r w:rsidR="004B449E" w:rsidRPr="004B449E">
        <w:rPr>
          <w:rFonts w:ascii="Tw Cen MT" w:eastAsia="Times New Roman" w:hAnsi="Tw Cen MT"/>
          <w:szCs w:val="24"/>
        </w:rPr>
        <w:t>Regulatory</w:t>
      </w:r>
      <w:r w:rsidR="000D0A9E">
        <w:rPr>
          <w:rFonts w:ascii="Tw Cen MT" w:eastAsia="Times New Roman" w:hAnsi="Tw Cen MT"/>
          <w:szCs w:val="24"/>
        </w:rPr>
        <w:t xml:space="preserve"> </w:t>
      </w:r>
      <w:r w:rsidR="004B449E" w:rsidRPr="004B449E">
        <w:rPr>
          <w:rFonts w:ascii="Tw Cen MT" w:eastAsia="Times New Roman" w:hAnsi="Tw Cen MT"/>
          <w:szCs w:val="24"/>
        </w:rPr>
        <w:t>Board (SRB) model is an example of a successful community</w:t>
      </w:r>
      <w:r w:rsidR="004B449E">
        <w:rPr>
          <w:rFonts w:ascii="Tw Cen MT" w:eastAsia="Times New Roman" w:hAnsi="Tw Cen MT"/>
          <w:szCs w:val="24"/>
        </w:rPr>
        <w:t>-</w:t>
      </w:r>
      <w:r w:rsidR="004B449E" w:rsidRPr="004B449E">
        <w:rPr>
          <w:rFonts w:ascii="Tw Cen MT" w:eastAsia="Times New Roman" w:hAnsi="Tw Cen MT"/>
          <w:szCs w:val="24"/>
        </w:rPr>
        <w:t xml:space="preserve">led intervention to </w:t>
      </w:r>
      <w:r w:rsidR="004B449E">
        <w:rPr>
          <w:rFonts w:ascii="Tw Cen MT" w:eastAsia="Times New Roman" w:hAnsi="Tw Cen MT"/>
          <w:szCs w:val="24"/>
        </w:rPr>
        <w:t>combat</w:t>
      </w:r>
      <w:r w:rsidR="004B449E" w:rsidRPr="004B449E">
        <w:rPr>
          <w:rFonts w:ascii="Tw Cen MT" w:eastAsia="Times New Roman" w:hAnsi="Tw Cen MT"/>
          <w:szCs w:val="24"/>
        </w:rPr>
        <w:t xml:space="preserve"> trafficking</w:t>
      </w:r>
      <w:r w:rsidR="00557C76">
        <w:rPr>
          <w:rFonts w:ascii="Tw Cen MT" w:eastAsia="Times New Roman" w:hAnsi="Tw Cen MT"/>
          <w:szCs w:val="24"/>
        </w:rPr>
        <w:t xml:space="preserve">, helping to identify </w:t>
      </w:r>
      <w:r w:rsidR="00557C76" w:rsidRPr="009C554E">
        <w:rPr>
          <w:rFonts w:ascii="Tw Cen MT" w:eastAsia="Times New Roman" w:hAnsi="Tw Cen MT"/>
          <w:szCs w:val="24"/>
        </w:rPr>
        <w:t xml:space="preserve">whether </w:t>
      </w:r>
      <w:r w:rsidR="00557C76">
        <w:rPr>
          <w:rFonts w:ascii="Tw Cen MT" w:eastAsia="Times New Roman" w:hAnsi="Tw Cen MT"/>
          <w:szCs w:val="24"/>
        </w:rPr>
        <w:t xml:space="preserve">someone </w:t>
      </w:r>
      <w:r w:rsidR="00557C76" w:rsidRPr="009C554E">
        <w:rPr>
          <w:rFonts w:ascii="Tw Cen MT" w:eastAsia="Times New Roman" w:hAnsi="Tw Cen MT"/>
          <w:szCs w:val="24"/>
        </w:rPr>
        <w:t xml:space="preserve">is </w:t>
      </w:r>
      <w:r w:rsidR="00557C76">
        <w:rPr>
          <w:rFonts w:ascii="Tw Cen MT" w:eastAsia="Times New Roman" w:hAnsi="Tw Cen MT"/>
          <w:szCs w:val="24"/>
        </w:rPr>
        <w:t>involved in sex work</w:t>
      </w:r>
      <w:r w:rsidR="00557C76" w:rsidRPr="009C554E">
        <w:rPr>
          <w:rFonts w:ascii="Tw Cen MT" w:eastAsia="Times New Roman" w:hAnsi="Tw Cen MT"/>
          <w:szCs w:val="24"/>
        </w:rPr>
        <w:t xml:space="preserve"> by choice or coercion</w:t>
      </w:r>
      <w:r w:rsidR="004B449E" w:rsidRPr="004B449E">
        <w:rPr>
          <w:rFonts w:ascii="Tw Cen MT" w:eastAsia="Times New Roman" w:hAnsi="Tw Cen MT"/>
          <w:szCs w:val="24"/>
        </w:rPr>
        <w:t xml:space="preserve">. </w:t>
      </w:r>
      <w:r w:rsidR="009C554E" w:rsidRPr="009C554E">
        <w:rPr>
          <w:rFonts w:ascii="Tw Cen MT" w:eastAsia="Times New Roman" w:hAnsi="Tw Cen MT"/>
          <w:szCs w:val="24"/>
        </w:rPr>
        <w:t xml:space="preserve">The SRB model </w:t>
      </w:r>
      <w:r w:rsidR="00557C76">
        <w:rPr>
          <w:rFonts w:ascii="Tw Cen MT" w:eastAsia="Times New Roman" w:hAnsi="Tw Cen MT"/>
          <w:szCs w:val="24"/>
        </w:rPr>
        <w:t>comprises</w:t>
      </w:r>
      <w:r w:rsidR="009C554E" w:rsidRPr="009C554E">
        <w:rPr>
          <w:rFonts w:ascii="Tw Cen MT" w:eastAsia="Times New Roman" w:hAnsi="Tw Cen MT"/>
          <w:szCs w:val="24"/>
        </w:rPr>
        <w:t xml:space="preserve"> members across </w:t>
      </w:r>
      <w:r w:rsidR="00557C76">
        <w:rPr>
          <w:rFonts w:ascii="Tw Cen MT" w:eastAsia="Times New Roman" w:hAnsi="Tw Cen MT"/>
          <w:szCs w:val="24"/>
        </w:rPr>
        <w:t xml:space="preserve">the </w:t>
      </w:r>
      <w:r w:rsidR="009C554E" w:rsidRPr="009C554E">
        <w:rPr>
          <w:rFonts w:ascii="Tw Cen MT" w:eastAsia="Times New Roman" w:hAnsi="Tw Cen MT"/>
          <w:szCs w:val="24"/>
        </w:rPr>
        <w:t xml:space="preserve">Department of Health, Labour and Social Welfare, medical </w:t>
      </w:r>
      <w:r w:rsidR="003C2513">
        <w:rPr>
          <w:rFonts w:ascii="Tw Cen MT" w:eastAsia="Times New Roman" w:hAnsi="Tw Cen MT"/>
          <w:szCs w:val="24"/>
        </w:rPr>
        <w:t>practitioners</w:t>
      </w:r>
      <w:r w:rsidR="009C554E" w:rsidRPr="009C554E">
        <w:rPr>
          <w:rFonts w:ascii="Tw Cen MT" w:eastAsia="Times New Roman" w:hAnsi="Tw Cen MT"/>
          <w:szCs w:val="24"/>
        </w:rPr>
        <w:t>, lawyers, social workers</w:t>
      </w:r>
      <w:r w:rsidR="00557C76">
        <w:rPr>
          <w:rFonts w:ascii="Tw Cen MT" w:eastAsia="Times New Roman" w:hAnsi="Tw Cen MT"/>
          <w:szCs w:val="24"/>
        </w:rPr>
        <w:t xml:space="preserve"> and </w:t>
      </w:r>
      <w:r w:rsidR="009C554E" w:rsidRPr="009C554E">
        <w:rPr>
          <w:rFonts w:ascii="Tw Cen MT" w:eastAsia="Times New Roman" w:hAnsi="Tw Cen MT"/>
          <w:szCs w:val="24"/>
        </w:rPr>
        <w:t>sex workers.</w:t>
      </w:r>
      <w:r w:rsidR="003C2513">
        <w:rPr>
          <w:rStyle w:val="FootnoteReference"/>
          <w:rFonts w:ascii="Tw Cen MT" w:eastAsia="Times New Roman" w:hAnsi="Tw Cen MT"/>
          <w:szCs w:val="24"/>
        </w:rPr>
        <w:footnoteReference w:id="40"/>
      </w:r>
      <w:r w:rsidR="003C2513">
        <w:rPr>
          <w:rFonts w:ascii="Tw Cen MT" w:eastAsia="Times New Roman" w:hAnsi="Tw Cen MT"/>
          <w:szCs w:val="24"/>
        </w:rPr>
        <w:t xml:space="preserve"> </w:t>
      </w:r>
    </w:p>
    <w:p w14:paraId="2EFF7976" w14:textId="77777777" w:rsidR="000C478C" w:rsidRDefault="000C478C" w:rsidP="00953EBD">
      <w:pPr>
        <w:pBdr>
          <w:top w:val="nil"/>
          <w:left w:val="nil"/>
          <w:bottom w:val="nil"/>
          <w:right w:val="nil"/>
          <w:between w:val="nil"/>
        </w:pBdr>
        <w:jc w:val="both"/>
        <w:rPr>
          <w:rFonts w:ascii="Tw Cen MT" w:eastAsia="Times New Roman" w:hAnsi="Tw Cen MT"/>
          <w:szCs w:val="24"/>
        </w:rPr>
      </w:pPr>
    </w:p>
    <w:p w14:paraId="2560699F" w14:textId="146D1036" w:rsidR="00AB6814" w:rsidRDefault="003C2513" w:rsidP="00953EBD">
      <w:pPr>
        <w:pBdr>
          <w:top w:val="nil"/>
          <w:left w:val="nil"/>
          <w:bottom w:val="nil"/>
          <w:right w:val="nil"/>
          <w:between w:val="nil"/>
        </w:pBdr>
        <w:jc w:val="both"/>
        <w:rPr>
          <w:rFonts w:ascii="Tw Cen MT" w:eastAsia="Times New Roman" w:hAnsi="Tw Cen MT"/>
          <w:szCs w:val="24"/>
        </w:rPr>
      </w:pPr>
      <w:r>
        <w:rPr>
          <w:rFonts w:ascii="Tw Cen MT" w:eastAsia="Times New Roman" w:hAnsi="Tw Cen MT"/>
          <w:szCs w:val="24"/>
        </w:rPr>
        <w:t>Finally,</w:t>
      </w:r>
      <w:r w:rsidR="000C478C">
        <w:rPr>
          <w:rFonts w:ascii="Tw Cen MT" w:eastAsia="Times New Roman" w:hAnsi="Tw Cen MT"/>
          <w:szCs w:val="24"/>
        </w:rPr>
        <w:t xml:space="preserve"> programmes solely focussed</w:t>
      </w:r>
      <w:r w:rsidR="00350891">
        <w:rPr>
          <w:rFonts w:ascii="Tw Cen MT" w:eastAsia="Times New Roman" w:hAnsi="Tw Cen MT"/>
          <w:szCs w:val="24"/>
        </w:rPr>
        <w:t xml:space="preserve"> on rehabilitating or forcing sex workers to exit sex work</w:t>
      </w:r>
      <w:r w:rsidR="00B2577E">
        <w:rPr>
          <w:rFonts w:ascii="Tw Cen MT" w:eastAsia="Times New Roman" w:hAnsi="Tw Cen MT"/>
          <w:szCs w:val="24"/>
        </w:rPr>
        <w:t xml:space="preserve">, without </w:t>
      </w:r>
      <w:r w:rsidR="00B2577E" w:rsidRPr="00350891">
        <w:rPr>
          <w:rFonts w:ascii="Tw Cen MT" w:eastAsia="Times New Roman" w:hAnsi="Tw Cen MT"/>
          <w:szCs w:val="24"/>
        </w:rPr>
        <w:t xml:space="preserve">meaningfully </w:t>
      </w:r>
      <w:r w:rsidR="00B2577E">
        <w:rPr>
          <w:rFonts w:ascii="Tw Cen MT" w:eastAsia="Times New Roman" w:hAnsi="Tw Cen MT"/>
          <w:szCs w:val="24"/>
        </w:rPr>
        <w:t>consulting</w:t>
      </w:r>
      <w:r w:rsidR="00B2577E" w:rsidRPr="00350891">
        <w:rPr>
          <w:rFonts w:ascii="Tw Cen MT" w:eastAsia="Times New Roman" w:hAnsi="Tw Cen MT"/>
          <w:szCs w:val="24"/>
        </w:rPr>
        <w:t xml:space="preserve"> with sex workers</w:t>
      </w:r>
      <w:r w:rsidR="00B2577E">
        <w:rPr>
          <w:rFonts w:ascii="Tw Cen MT" w:eastAsia="Times New Roman" w:hAnsi="Tw Cen MT"/>
          <w:szCs w:val="24"/>
        </w:rPr>
        <w:t xml:space="preserve"> and not</w:t>
      </w:r>
      <w:r w:rsidR="00B2577E" w:rsidRPr="00350891">
        <w:rPr>
          <w:rFonts w:ascii="Tw Cen MT" w:eastAsia="Times New Roman" w:hAnsi="Tw Cen MT"/>
          <w:szCs w:val="24"/>
        </w:rPr>
        <w:t xml:space="preserve"> factor</w:t>
      </w:r>
      <w:r w:rsidR="00B2577E">
        <w:rPr>
          <w:rFonts w:ascii="Tw Cen MT" w:eastAsia="Times New Roman" w:hAnsi="Tw Cen MT"/>
          <w:szCs w:val="24"/>
        </w:rPr>
        <w:t>ing</w:t>
      </w:r>
      <w:r w:rsidR="00B2577E" w:rsidRPr="00350891">
        <w:rPr>
          <w:rFonts w:ascii="Tw Cen MT" w:eastAsia="Times New Roman" w:hAnsi="Tw Cen MT"/>
          <w:szCs w:val="24"/>
        </w:rPr>
        <w:t xml:space="preserve"> in the effects of entrenched stigma and discrimination</w:t>
      </w:r>
      <w:r w:rsidR="00B2577E">
        <w:rPr>
          <w:rFonts w:ascii="Tw Cen MT" w:eastAsia="Times New Roman" w:hAnsi="Tw Cen MT"/>
          <w:szCs w:val="24"/>
        </w:rPr>
        <w:t>,</w:t>
      </w:r>
      <w:r w:rsidR="00350891">
        <w:rPr>
          <w:rFonts w:ascii="Tw Cen MT" w:eastAsia="Times New Roman" w:hAnsi="Tw Cen MT"/>
          <w:szCs w:val="24"/>
        </w:rPr>
        <w:t xml:space="preserve"> have proven to be unsuccessful.</w:t>
      </w:r>
      <w:r w:rsidR="00BC7FF0">
        <w:rPr>
          <w:rStyle w:val="FootnoteReference"/>
          <w:rFonts w:ascii="Tw Cen MT" w:eastAsia="Times New Roman" w:hAnsi="Tw Cen MT"/>
          <w:szCs w:val="24"/>
        </w:rPr>
        <w:footnoteReference w:id="41"/>
      </w:r>
      <w:r w:rsidR="000C478C">
        <w:rPr>
          <w:rFonts w:ascii="Tw Cen MT" w:eastAsia="Times New Roman" w:hAnsi="Tw Cen MT"/>
          <w:szCs w:val="24"/>
        </w:rPr>
        <w:t xml:space="preserve"> Instead,</w:t>
      </w:r>
      <w:r>
        <w:rPr>
          <w:rFonts w:ascii="Tw Cen MT" w:eastAsia="Times New Roman" w:hAnsi="Tw Cen MT"/>
          <w:szCs w:val="24"/>
        </w:rPr>
        <w:t xml:space="preserve"> </w:t>
      </w:r>
      <w:r w:rsidR="00953EBD">
        <w:rPr>
          <w:rFonts w:ascii="Tw Cen MT" w:eastAsia="Times New Roman" w:hAnsi="Tw Cen MT"/>
          <w:szCs w:val="24"/>
        </w:rPr>
        <w:t xml:space="preserve">frontline organisations </w:t>
      </w:r>
      <w:r w:rsidR="00BC1706">
        <w:rPr>
          <w:rFonts w:ascii="Tw Cen MT" w:eastAsia="Times New Roman" w:hAnsi="Tw Cen MT"/>
          <w:szCs w:val="24"/>
        </w:rPr>
        <w:t>must be better funded to</w:t>
      </w:r>
      <w:r w:rsidR="00953EBD">
        <w:rPr>
          <w:rFonts w:ascii="Tw Cen MT" w:eastAsia="Times New Roman" w:hAnsi="Tw Cen MT"/>
          <w:szCs w:val="24"/>
        </w:rPr>
        <w:t xml:space="preserve"> promote economic empowerment programmes </w:t>
      </w:r>
      <w:r w:rsidR="00BC1706">
        <w:rPr>
          <w:rFonts w:ascii="Tw Cen MT" w:eastAsia="Times New Roman" w:hAnsi="Tw Cen MT"/>
          <w:szCs w:val="24"/>
        </w:rPr>
        <w:t>offering</w:t>
      </w:r>
      <w:r w:rsidR="00953EBD">
        <w:rPr>
          <w:rFonts w:ascii="Tw Cen MT" w:eastAsia="Times New Roman" w:hAnsi="Tw Cen MT"/>
          <w:szCs w:val="24"/>
        </w:rPr>
        <w:t xml:space="preserve"> </w:t>
      </w:r>
      <w:r w:rsidR="00953EBD" w:rsidRPr="00953EBD">
        <w:rPr>
          <w:rFonts w:ascii="Tw Cen MT" w:eastAsia="Times New Roman" w:hAnsi="Tw Cen MT"/>
          <w:szCs w:val="24"/>
        </w:rPr>
        <w:t>tools</w:t>
      </w:r>
      <w:r w:rsidR="00BC1706">
        <w:rPr>
          <w:rFonts w:ascii="Tw Cen MT" w:eastAsia="Times New Roman" w:hAnsi="Tw Cen MT"/>
          <w:szCs w:val="24"/>
        </w:rPr>
        <w:t xml:space="preserve"> to sex workers</w:t>
      </w:r>
      <w:r w:rsidR="00953EBD">
        <w:rPr>
          <w:rFonts w:ascii="Tw Cen MT" w:eastAsia="Times New Roman" w:hAnsi="Tw Cen MT"/>
          <w:szCs w:val="24"/>
        </w:rPr>
        <w:t xml:space="preserve"> </w:t>
      </w:r>
      <w:r w:rsidR="00953EBD" w:rsidRPr="00953EBD">
        <w:rPr>
          <w:rFonts w:ascii="Tw Cen MT" w:eastAsia="Times New Roman" w:hAnsi="Tw Cen MT"/>
          <w:szCs w:val="24"/>
        </w:rPr>
        <w:t>relating to social security, savings, economic planning</w:t>
      </w:r>
      <w:r w:rsidR="00212C58">
        <w:rPr>
          <w:rFonts w:ascii="Tw Cen MT" w:eastAsia="Times New Roman" w:hAnsi="Tw Cen MT"/>
          <w:szCs w:val="24"/>
        </w:rPr>
        <w:t xml:space="preserve">, </w:t>
      </w:r>
      <w:r w:rsidR="00953EBD" w:rsidRPr="00953EBD">
        <w:rPr>
          <w:rFonts w:ascii="Tw Cen MT" w:eastAsia="Times New Roman" w:hAnsi="Tw Cen MT"/>
          <w:szCs w:val="24"/>
        </w:rPr>
        <w:t xml:space="preserve">classes for strengthening </w:t>
      </w:r>
      <w:r w:rsidR="00BC1706">
        <w:rPr>
          <w:rFonts w:ascii="Tw Cen MT" w:eastAsia="Times New Roman" w:hAnsi="Tw Cen MT"/>
          <w:szCs w:val="24"/>
        </w:rPr>
        <w:t>skills</w:t>
      </w:r>
      <w:r w:rsidR="00953EBD" w:rsidRPr="00953EBD">
        <w:rPr>
          <w:rFonts w:ascii="Tw Cen MT" w:eastAsia="Times New Roman" w:hAnsi="Tw Cen MT"/>
          <w:szCs w:val="24"/>
        </w:rPr>
        <w:t>, and, if so desired,</w:t>
      </w:r>
      <w:r w:rsidR="00953EBD">
        <w:rPr>
          <w:rFonts w:ascii="Tw Cen MT" w:eastAsia="Times New Roman" w:hAnsi="Tw Cen MT"/>
          <w:szCs w:val="24"/>
        </w:rPr>
        <w:t xml:space="preserve"> </w:t>
      </w:r>
      <w:r w:rsidR="00953EBD" w:rsidRPr="00953EBD">
        <w:rPr>
          <w:rFonts w:ascii="Tw Cen MT" w:eastAsia="Times New Roman" w:hAnsi="Tw Cen MT"/>
          <w:szCs w:val="24"/>
        </w:rPr>
        <w:t>structured plans for exiting the sex industry and moving to different</w:t>
      </w:r>
      <w:r w:rsidR="00953EBD">
        <w:rPr>
          <w:rFonts w:ascii="Tw Cen MT" w:eastAsia="Times New Roman" w:hAnsi="Tw Cen MT"/>
          <w:szCs w:val="24"/>
        </w:rPr>
        <w:t xml:space="preserve"> </w:t>
      </w:r>
      <w:r w:rsidR="00953EBD" w:rsidRPr="00953EBD">
        <w:rPr>
          <w:rFonts w:ascii="Tw Cen MT" w:eastAsia="Times New Roman" w:hAnsi="Tw Cen MT"/>
          <w:szCs w:val="24"/>
        </w:rPr>
        <w:t>sectors. All of these tools can help sex workers</w:t>
      </w:r>
      <w:r w:rsidR="00953EBD">
        <w:rPr>
          <w:rFonts w:ascii="Tw Cen MT" w:eastAsia="Times New Roman" w:hAnsi="Tw Cen MT"/>
          <w:szCs w:val="24"/>
        </w:rPr>
        <w:t xml:space="preserve"> </w:t>
      </w:r>
      <w:r w:rsidR="00953EBD" w:rsidRPr="00953EBD">
        <w:rPr>
          <w:rFonts w:ascii="Tw Cen MT" w:eastAsia="Times New Roman" w:hAnsi="Tw Cen MT"/>
          <w:szCs w:val="24"/>
        </w:rPr>
        <w:t>who want to find alternative or supplementary</w:t>
      </w:r>
      <w:r w:rsidR="00953EBD">
        <w:rPr>
          <w:rFonts w:ascii="Tw Cen MT" w:eastAsia="Times New Roman" w:hAnsi="Tw Cen MT"/>
          <w:szCs w:val="24"/>
        </w:rPr>
        <w:t xml:space="preserve"> </w:t>
      </w:r>
      <w:r w:rsidR="00953EBD" w:rsidRPr="00953EBD">
        <w:rPr>
          <w:rFonts w:ascii="Tw Cen MT" w:eastAsia="Times New Roman" w:hAnsi="Tw Cen MT"/>
          <w:szCs w:val="24"/>
        </w:rPr>
        <w:t>employment and empower those who choose sex</w:t>
      </w:r>
      <w:r w:rsidR="00953EBD">
        <w:rPr>
          <w:rFonts w:ascii="Tw Cen MT" w:eastAsia="Times New Roman" w:hAnsi="Tw Cen MT"/>
          <w:szCs w:val="24"/>
        </w:rPr>
        <w:t xml:space="preserve"> </w:t>
      </w:r>
      <w:r w:rsidR="00953EBD" w:rsidRPr="00953EBD">
        <w:rPr>
          <w:rFonts w:ascii="Tw Cen MT" w:eastAsia="Times New Roman" w:hAnsi="Tw Cen MT"/>
          <w:szCs w:val="24"/>
        </w:rPr>
        <w:t>work with more negotiating power, protecting</w:t>
      </w:r>
      <w:r w:rsidR="00953EBD">
        <w:rPr>
          <w:rFonts w:ascii="Tw Cen MT" w:eastAsia="Times New Roman" w:hAnsi="Tw Cen MT"/>
          <w:szCs w:val="24"/>
        </w:rPr>
        <w:t xml:space="preserve"> </w:t>
      </w:r>
      <w:r w:rsidR="00953EBD" w:rsidRPr="00953EBD">
        <w:rPr>
          <w:rFonts w:ascii="Tw Cen MT" w:eastAsia="Times New Roman" w:hAnsi="Tw Cen MT"/>
          <w:szCs w:val="24"/>
        </w:rPr>
        <w:t xml:space="preserve">them from abuse and </w:t>
      </w:r>
      <w:r w:rsidR="00953EBD">
        <w:rPr>
          <w:rFonts w:ascii="Tw Cen MT" w:eastAsia="Times New Roman" w:hAnsi="Tw Cen MT"/>
          <w:szCs w:val="24"/>
        </w:rPr>
        <w:t>violence.</w:t>
      </w:r>
      <w:r w:rsidR="000C478C">
        <w:rPr>
          <w:rStyle w:val="FootnoteReference"/>
          <w:rFonts w:ascii="Tw Cen MT" w:eastAsia="Times New Roman" w:hAnsi="Tw Cen MT"/>
          <w:szCs w:val="24"/>
        </w:rPr>
        <w:footnoteReference w:id="42"/>
      </w:r>
    </w:p>
    <w:p w14:paraId="61C6F897" w14:textId="08D1AEF1" w:rsidR="001A7B6D" w:rsidRPr="0040594C" w:rsidRDefault="001A7B6D" w:rsidP="00F86DF8">
      <w:pPr>
        <w:pBdr>
          <w:top w:val="nil"/>
          <w:left w:val="nil"/>
          <w:bottom w:val="nil"/>
          <w:right w:val="nil"/>
          <w:between w:val="nil"/>
        </w:pBdr>
        <w:jc w:val="both"/>
        <w:rPr>
          <w:rFonts w:ascii="Tw Cen MT" w:hAnsi="Tw Cen MT"/>
          <w:color w:val="000000"/>
        </w:rPr>
      </w:pPr>
    </w:p>
    <w:sectPr w:rsidR="001A7B6D" w:rsidRPr="0040594C" w:rsidSect="0096784A">
      <w:headerReference w:type="default" r:id="rId10"/>
      <w:footerReference w:type="even" r:id="rId11"/>
      <w:footerReference w:type="default" r:id="rId12"/>
      <w:headerReference w:type="first" r:id="rId13"/>
      <w:footerReference w:type="first" r:id="rId14"/>
      <w:type w:val="continuous"/>
      <w:pgSz w:w="11899" w:h="16838"/>
      <w:pgMar w:top="1440" w:right="1440" w:bottom="1440" w:left="1440" w:header="288"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6955" w14:textId="77777777" w:rsidR="0096784A" w:rsidRDefault="0096784A">
      <w:r>
        <w:separator/>
      </w:r>
    </w:p>
  </w:endnote>
  <w:endnote w:type="continuationSeparator" w:id="0">
    <w:p w14:paraId="6E47E275" w14:textId="77777777" w:rsidR="0096784A" w:rsidRDefault="009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ecilia LT Roman">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ecilia LT Std Roman">
    <w:altName w:val="Calibri"/>
    <w:panose1 w:val="00000000000000000000"/>
    <w:charset w:val="00"/>
    <w:family w:val="modern"/>
    <w:notTrueType/>
    <w:pitch w:val="variable"/>
    <w:sig w:usb0="800000AF" w:usb1="5000204A" w:usb2="00000000" w:usb3="00000000" w:csb0="00000001" w:csb1="00000000"/>
  </w:font>
  <w:font w:name="Caecilia LT Std Light">
    <w:altName w:val="Caecilia LT Std Light"/>
    <w:panose1 w:val="00000000000000000000"/>
    <w:charset w:val="00"/>
    <w:family w:val="modern"/>
    <w:notTrueType/>
    <w:pitch w:val="variable"/>
    <w:sig w:usb0="800000AF" w:usb1="5000204A" w:usb2="00000000" w:usb3="00000000" w:csb0="00000001" w:csb1="00000000"/>
  </w:font>
  <w:font w:name="MinionPro-Regular">
    <w:altName w:val="HGPMinchoE"/>
    <w:panose1 w:val="00000000000000000000"/>
    <w:charset w:val="4D"/>
    <w:family w:val="auto"/>
    <w:notTrueType/>
    <w:pitch w:val="default"/>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96A6" w14:textId="77777777" w:rsidR="00D125EA" w:rsidRDefault="00D12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D445B" w14:textId="77777777" w:rsidR="00D125EA" w:rsidRDefault="00D125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5F1A" w14:textId="77777777" w:rsidR="00D125EA" w:rsidRPr="00C26FAD" w:rsidRDefault="00000000" w:rsidP="00C26FAD">
    <w:pPr>
      <w:pStyle w:val="Statementbody"/>
      <w:jc w:val="center"/>
      <w:rPr>
        <w:b/>
        <w:color w:val="FF0000"/>
        <w:sz w:val="16"/>
      </w:rPr>
    </w:pPr>
    <w:hyperlink r:id="rId1" w:history="1">
      <w:r w:rsidR="00C26FAD" w:rsidRPr="00472079">
        <w:rPr>
          <w:rStyle w:val="Hyperlink"/>
          <w:b/>
          <w:color w:val="C00000"/>
          <w:szCs w:val="22"/>
        </w:rPr>
        <w:t>www.nswp.org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F821" w14:textId="77777777" w:rsidR="00096026" w:rsidRDefault="00096026" w:rsidP="00C26FAD">
    <w:pPr>
      <w:pStyle w:val="Footer"/>
      <w:tabs>
        <w:tab w:val="clear" w:pos="8640"/>
        <w:tab w:val="right" w:pos="7834"/>
      </w:tabs>
      <w:ind w:left="-1134"/>
      <w:jc w:val="center"/>
      <w:rPr>
        <w:rFonts w:ascii="Caecilia LT Std Roman" w:hAnsi="Caecilia LT Std Roman"/>
        <w:b/>
        <w:sz w:val="22"/>
        <w:szCs w:val="22"/>
      </w:rPr>
    </w:pPr>
  </w:p>
  <w:p w14:paraId="0DEAED0A" w14:textId="66E2EE89" w:rsidR="00C26FAD" w:rsidRPr="00494904" w:rsidRDefault="00C26FAD" w:rsidP="00C26FAD">
    <w:pPr>
      <w:pStyle w:val="Footer"/>
      <w:tabs>
        <w:tab w:val="clear" w:pos="8640"/>
        <w:tab w:val="right" w:pos="7834"/>
      </w:tabs>
      <w:ind w:left="-1134"/>
      <w:jc w:val="center"/>
      <w:rPr>
        <w:rFonts w:ascii="Caecilia LT Std Roman" w:hAnsi="Caecilia LT Std Roman"/>
        <w:b/>
        <w:sz w:val="22"/>
        <w:szCs w:val="22"/>
      </w:rPr>
    </w:pPr>
    <w:r>
      <w:rPr>
        <w:rFonts w:ascii="Caecilia LT Std Roman" w:hAnsi="Caecilia LT Std Roman"/>
        <w:b/>
        <w:sz w:val="22"/>
        <w:szCs w:val="22"/>
      </w:rPr>
      <w:t xml:space="preserve">NSWP | </w:t>
    </w:r>
    <w:r w:rsidR="00230866">
      <w:rPr>
        <w:rFonts w:ascii="Caecilia LT Std Roman" w:hAnsi="Caecilia LT Std Roman"/>
        <w:b/>
        <w:sz w:val="22"/>
        <w:szCs w:val="22"/>
      </w:rPr>
      <w:t>Queen Charlotte Lane (1F2)</w:t>
    </w:r>
    <w:r w:rsidRPr="00494904">
      <w:rPr>
        <w:rFonts w:ascii="Caecilia LT Std Roman" w:hAnsi="Caecilia LT Std Roman"/>
        <w:b/>
        <w:sz w:val="22"/>
        <w:szCs w:val="22"/>
      </w:rPr>
      <w:t xml:space="preserve">| Edinburgh </w:t>
    </w:r>
    <w:r>
      <w:rPr>
        <w:rFonts w:ascii="Caecilia LT Std Roman" w:hAnsi="Caecilia LT Std Roman"/>
        <w:b/>
        <w:sz w:val="22"/>
        <w:szCs w:val="22"/>
      </w:rPr>
      <w:t xml:space="preserve">EH6 </w:t>
    </w:r>
    <w:r w:rsidR="00230866">
      <w:rPr>
        <w:rFonts w:ascii="Caecilia LT Std Roman" w:hAnsi="Caecilia LT Std Roman"/>
        <w:b/>
        <w:sz w:val="22"/>
        <w:szCs w:val="22"/>
      </w:rPr>
      <w:t>6AY</w:t>
    </w:r>
    <w:r w:rsidRPr="00494904">
      <w:rPr>
        <w:rFonts w:ascii="Caecilia LT Std Roman" w:hAnsi="Caecilia LT Std Roman"/>
        <w:b/>
        <w:sz w:val="22"/>
        <w:szCs w:val="22"/>
      </w:rPr>
      <w:t xml:space="preserve"> | Scotland UK</w:t>
    </w:r>
  </w:p>
  <w:p w14:paraId="08944DE9" w14:textId="77777777" w:rsidR="00C26FAD" w:rsidRPr="00472079" w:rsidRDefault="00000000" w:rsidP="00C26FAD">
    <w:pPr>
      <w:pStyle w:val="Footer"/>
      <w:tabs>
        <w:tab w:val="clear" w:pos="8640"/>
        <w:tab w:val="right" w:pos="7834"/>
      </w:tabs>
      <w:spacing w:after="120"/>
      <w:ind w:left="-1134" w:right="-6"/>
      <w:jc w:val="center"/>
      <w:rPr>
        <w:rFonts w:ascii="Caecilia LT Std Roman" w:hAnsi="Caecilia LT Std Roman"/>
        <w:b/>
        <w:color w:val="C00000"/>
        <w:sz w:val="22"/>
        <w:szCs w:val="22"/>
      </w:rPr>
    </w:pPr>
    <w:hyperlink r:id="rId1" w:history="1">
      <w:r w:rsidR="00C26FAD" w:rsidRPr="00494904">
        <w:rPr>
          <w:rStyle w:val="Hyperlink"/>
          <w:rFonts w:ascii="Caecilia LT Std Roman" w:hAnsi="Caecilia LT Std Roman"/>
          <w:b/>
          <w:color w:val="C00000"/>
          <w:sz w:val="22"/>
          <w:szCs w:val="22"/>
        </w:rPr>
        <w:t>s</w:t>
      </w:r>
      <w:r w:rsidR="00C26FAD">
        <w:rPr>
          <w:rStyle w:val="Hyperlink"/>
          <w:rFonts w:ascii="Caecilia LT Std Roman" w:hAnsi="Caecilia LT Std Roman"/>
          <w:b/>
          <w:color w:val="C00000"/>
          <w:sz w:val="22"/>
          <w:szCs w:val="22"/>
        </w:rPr>
        <w:t>ecretariat</w:t>
      </w:r>
      <w:r w:rsidR="00C26FAD" w:rsidRPr="00494904">
        <w:rPr>
          <w:rStyle w:val="Hyperlink"/>
          <w:rFonts w:ascii="Caecilia LT Std Roman" w:hAnsi="Caecilia LT Std Roman"/>
          <w:b/>
          <w:color w:val="C00000"/>
          <w:sz w:val="22"/>
          <w:szCs w:val="22"/>
        </w:rPr>
        <w:t>@nswp.org</w:t>
      </w:r>
    </w:hyperlink>
    <w:r w:rsidR="00C26FAD" w:rsidRPr="00472079">
      <w:rPr>
        <w:rFonts w:ascii="Caecilia LT Std Roman" w:hAnsi="Caecilia LT Std Roman"/>
        <w:b/>
        <w:color w:val="C00000"/>
        <w:sz w:val="22"/>
        <w:szCs w:val="22"/>
      </w:rPr>
      <w:t xml:space="preserve">  </w:t>
    </w:r>
    <w:r w:rsidR="00C26FAD" w:rsidRPr="00472079">
      <w:rPr>
        <w:rFonts w:ascii="Caecilia LT Std Roman" w:hAnsi="Caecilia LT Std Roman"/>
        <w:sz w:val="22"/>
        <w:szCs w:val="22"/>
      </w:rPr>
      <w:t>| +44 (0)131 553 2555 |</w:t>
    </w:r>
    <w:r w:rsidR="00C26FAD" w:rsidRPr="00472079">
      <w:rPr>
        <w:rFonts w:ascii="Caecilia LT Std Roman" w:hAnsi="Caecilia LT Std Roman"/>
        <w:b/>
        <w:sz w:val="22"/>
        <w:szCs w:val="22"/>
      </w:rPr>
      <w:t xml:space="preserve">  </w:t>
    </w:r>
    <w:hyperlink r:id="rId2" w:history="1">
      <w:r w:rsidR="00C26FAD" w:rsidRPr="00472079">
        <w:rPr>
          <w:rStyle w:val="Hyperlink"/>
          <w:rFonts w:ascii="Caecilia LT Std Roman" w:hAnsi="Caecilia LT Std Roman"/>
          <w:b/>
          <w:color w:val="C00000"/>
          <w:sz w:val="22"/>
          <w:szCs w:val="22"/>
        </w:rPr>
        <w:t>www.nswp.org</w:t>
      </w:r>
    </w:hyperlink>
  </w:p>
  <w:p w14:paraId="3C7D9CBE" w14:textId="77777777" w:rsidR="00D125EA" w:rsidRPr="00C26FAD" w:rsidRDefault="00C26FAD" w:rsidP="00C26FAD">
    <w:pPr>
      <w:pStyle w:val="Footer"/>
      <w:tabs>
        <w:tab w:val="clear" w:pos="8640"/>
        <w:tab w:val="right" w:pos="7834"/>
      </w:tabs>
      <w:spacing w:after="120"/>
      <w:ind w:left="-1134" w:right="-6"/>
      <w:jc w:val="center"/>
      <w:rPr>
        <w:rFonts w:ascii="Caecilia LT Std Roman" w:hAnsi="Caecilia LT Std Roman"/>
        <w:sz w:val="18"/>
        <w:szCs w:val="18"/>
      </w:rPr>
    </w:pPr>
    <w:r w:rsidRPr="00472079">
      <w:rPr>
        <w:rFonts w:ascii="Caecilia LT Std Roman" w:hAnsi="Caecilia LT Std Roman"/>
        <w:sz w:val="18"/>
        <w:szCs w:val="18"/>
      </w:rPr>
      <w:t>NSWP is a private not-for-profit limited company. Company No. SC349355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12E6" w14:textId="77777777" w:rsidR="0096784A" w:rsidRDefault="0096784A">
      <w:r>
        <w:separator/>
      </w:r>
    </w:p>
  </w:footnote>
  <w:footnote w:type="continuationSeparator" w:id="0">
    <w:p w14:paraId="70D82E4C" w14:textId="77777777" w:rsidR="0096784A" w:rsidRDefault="0096784A">
      <w:r>
        <w:continuationSeparator/>
      </w:r>
    </w:p>
  </w:footnote>
  <w:footnote w:id="1">
    <w:p w14:paraId="1174D66E" w14:textId="4D0E0754" w:rsidR="00043928" w:rsidRDefault="00043928">
      <w:pPr>
        <w:pStyle w:val="FootnoteText"/>
      </w:pPr>
      <w:r>
        <w:rPr>
          <w:rStyle w:val="FootnoteReference"/>
        </w:rPr>
        <w:footnoteRef/>
      </w:r>
      <w:r>
        <w:t xml:space="preserve"> “</w:t>
      </w:r>
      <w:hyperlink r:id="rId1" w:history="1">
        <w:r w:rsidRPr="00043928">
          <w:rPr>
            <w:rStyle w:val="Hyperlink"/>
          </w:rPr>
          <w:t>Sex Workers Speak Out</w:t>
        </w:r>
      </w:hyperlink>
      <w:r>
        <w:t>,” Global Network of Sex Work Projects.</w:t>
      </w:r>
    </w:p>
  </w:footnote>
  <w:footnote w:id="2">
    <w:p w14:paraId="1A29BDDC" w14:textId="39C9DC5A" w:rsidR="007676F6" w:rsidRDefault="007676F6">
      <w:pPr>
        <w:pStyle w:val="FootnoteText"/>
      </w:pPr>
      <w:r>
        <w:rPr>
          <w:rStyle w:val="FootnoteReference"/>
        </w:rPr>
        <w:footnoteRef/>
      </w:r>
      <w:r>
        <w:t xml:space="preserve"> Sarah Kingston et al., “</w:t>
      </w:r>
      <w:hyperlink r:id="rId2" w:history="1">
        <w:r w:rsidRPr="008776AF">
          <w:rPr>
            <w:rStyle w:val="Hyperlink"/>
          </w:rPr>
          <w:t>Transformational sexualities: Motivations of women who pay for sexual services</w:t>
        </w:r>
      </w:hyperlink>
      <w:r>
        <w:t>,” Sexualities</w:t>
      </w:r>
      <w:r w:rsidR="00E96CDB">
        <w:t xml:space="preserve"> 2020</w:t>
      </w:r>
      <w:r>
        <w:t xml:space="preserve"> (24): 527-548.</w:t>
      </w:r>
    </w:p>
  </w:footnote>
  <w:footnote w:id="3">
    <w:p w14:paraId="6F414DD3" w14:textId="78718AF3" w:rsidR="00E96CDB" w:rsidRDefault="00E96CDB">
      <w:pPr>
        <w:pStyle w:val="FootnoteText"/>
      </w:pPr>
      <w:r>
        <w:rPr>
          <w:rStyle w:val="FootnoteReference"/>
        </w:rPr>
        <w:footnoteRef/>
      </w:r>
      <w:r>
        <w:t xml:space="preserve"> Natalie Hammond and Jenny van </w:t>
      </w:r>
      <w:proofErr w:type="spellStart"/>
      <w:r>
        <w:t>Hooff</w:t>
      </w:r>
      <w:proofErr w:type="spellEnd"/>
      <w:r>
        <w:t>, “</w:t>
      </w:r>
      <w:hyperlink r:id="rId3" w:history="1">
        <w:r w:rsidR="00F21B30" w:rsidRPr="00276A9A">
          <w:rPr>
            <w:rStyle w:val="Hyperlink"/>
          </w:rPr>
          <w:t>’</w:t>
        </w:r>
        <w:r w:rsidRPr="00276A9A">
          <w:rPr>
            <w:rStyle w:val="Hyperlink"/>
          </w:rPr>
          <w:t>This Is Me, This Is What I Am, I Am a Man</w:t>
        </w:r>
        <w:r w:rsidR="00F21B30" w:rsidRPr="00276A9A">
          <w:rPr>
            <w:rStyle w:val="Hyperlink"/>
          </w:rPr>
          <w:t>’</w:t>
        </w:r>
        <w:r w:rsidRPr="00276A9A">
          <w:rPr>
            <w:rStyle w:val="Hyperlink"/>
          </w:rPr>
          <w:t>: The Masculinities of Men Who Pay for Sex with Women</w:t>
        </w:r>
      </w:hyperlink>
      <w:r>
        <w:t>,” Journal of Sex Research 2019 (57): 1-14.</w:t>
      </w:r>
    </w:p>
  </w:footnote>
  <w:footnote w:id="4">
    <w:p w14:paraId="201871FC" w14:textId="19871A5E" w:rsidR="00EC4E3A" w:rsidRDefault="00EC4E3A" w:rsidP="00EC4E3A">
      <w:pPr>
        <w:pStyle w:val="FootnoteText"/>
      </w:pPr>
      <w:r>
        <w:rPr>
          <w:rStyle w:val="FootnoteReference"/>
        </w:rPr>
        <w:footnoteRef/>
      </w:r>
      <w:r>
        <w:t xml:space="preserve"> NSWP, 2024, “</w:t>
      </w:r>
      <w:hyperlink r:id="rId4" w:history="1">
        <w:r w:rsidRPr="00EC4E3A">
          <w:rPr>
            <w:rStyle w:val="Hyperlink"/>
          </w:rPr>
          <w:t>’Let’s talk about sex work’ – a terminology statement and guide</w:t>
        </w:r>
      </w:hyperlink>
      <w:r>
        <w:t xml:space="preserve">.” </w:t>
      </w:r>
    </w:p>
  </w:footnote>
  <w:footnote w:id="5">
    <w:p w14:paraId="1E2AEDB8" w14:textId="33DAC719" w:rsidR="00BF6C0C" w:rsidRDefault="00BF6C0C" w:rsidP="00BF6C0C">
      <w:pPr>
        <w:pStyle w:val="FootnoteText"/>
      </w:pPr>
      <w:r>
        <w:rPr>
          <w:rStyle w:val="FootnoteReference"/>
        </w:rPr>
        <w:footnoteRef/>
      </w:r>
      <w:r>
        <w:t xml:space="preserve"> NSWP, 2019, “</w:t>
      </w:r>
      <w:hyperlink r:id="rId5" w:history="1">
        <w:r w:rsidRPr="00BF6C0C">
          <w:rPr>
            <w:rStyle w:val="Hyperlink"/>
          </w:rPr>
          <w:t>Policy Brief: The Impact of Anti-trafficking Legislation and Initiatives on Sex Workers</w:t>
        </w:r>
      </w:hyperlink>
      <w:r>
        <w:t>.”</w:t>
      </w:r>
    </w:p>
  </w:footnote>
  <w:footnote w:id="6">
    <w:p w14:paraId="0CA90472" w14:textId="128EFEE1" w:rsidR="00B37817" w:rsidRDefault="00B37817">
      <w:pPr>
        <w:pStyle w:val="FootnoteText"/>
      </w:pPr>
      <w:r>
        <w:rPr>
          <w:rStyle w:val="FootnoteReference"/>
        </w:rPr>
        <w:footnoteRef/>
      </w:r>
      <w:r>
        <w:t xml:space="preserve"> NSWP, 2019, “</w:t>
      </w:r>
      <w:hyperlink r:id="rId6" w:history="1">
        <w:r w:rsidRPr="00B37817">
          <w:rPr>
            <w:rStyle w:val="Hyperlink"/>
          </w:rPr>
          <w:t>Briefing Note: Sex Work is not Sexual Exploitation</w:t>
        </w:r>
      </w:hyperlink>
      <w:r>
        <w:t>.”</w:t>
      </w:r>
    </w:p>
  </w:footnote>
  <w:footnote w:id="7">
    <w:p w14:paraId="76DD5B88" w14:textId="77777777" w:rsidR="00CA66ED" w:rsidRDefault="00CA66ED" w:rsidP="00CA66ED">
      <w:pPr>
        <w:pStyle w:val="FootnoteText"/>
      </w:pPr>
      <w:r>
        <w:rPr>
          <w:rStyle w:val="FootnoteReference"/>
        </w:rPr>
        <w:footnoteRef/>
      </w:r>
      <w:r>
        <w:t xml:space="preserve"> </w:t>
      </w:r>
      <w:proofErr w:type="spellStart"/>
      <w:r>
        <w:t>Wolffers</w:t>
      </w:r>
      <w:proofErr w:type="spellEnd"/>
      <w:r>
        <w:t xml:space="preserve">, I., van Beelen, N., </w:t>
      </w:r>
      <w:proofErr w:type="spellStart"/>
      <w:r>
        <w:t>Brussa</w:t>
      </w:r>
      <w:proofErr w:type="spellEnd"/>
      <w:r>
        <w:t>, L., 2001, “</w:t>
      </w:r>
      <w:hyperlink r:id="rId7" w:history="1">
        <w:r w:rsidRPr="00B437E5">
          <w:rPr>
            <w:rStyle w:val="Hyperlink"/>
          </w:rPr>
          <w:t>Research for Sex Work: Violence, Repression and Other Health Threats</w:t>
        </w:r>
      </w:hyperlink>
      <w:r>
        <w:t>.”</w:t>
      </w:r>
    </w:p>
  </w:footnote>
  <w:footnote w:id="8">
    <w:p w14:paraId="47349433" w14:textId="77777777" w:rsidR="002150C0" w:rsidRDefault="002150C0" w:rsidP="002150C0">
      <w:pPr>
        <w:pStyle w:val="FootnoteText"/>
      </w:pPr>
      <w:r>
        <w:rPr>
          <w:rStyle w:val="FootnoteReference"/>
        </w:rPr>
        <w:footnoteRef/>
      </w:r>
      <w:r>
        <w:t xml:space="preserve"> World Health Organisation, 2022, “</w:t>
      </w:r>
      <w:hyperlink r:id="rId8" w:history="1">
        <w:r w:rsidRPr="00D43F01">
          <w:rPr>
            <w:rStyle w:val="Hyperlink"/>
          </w:rPr>
          <w:t>Consolidated guidelines on HIV, viral hepatitis and STI prevention, diagnosis, treatment and care for key populations.”</w:t>
        </w:r>
      </w:hyperlink>
    </w:p>
  </w:footnote>
  <w:footnote w:id="9">
    <w:p w14:paraId="47264E5B" w14:textId="77777777" w:rsidR="002150C0" w:rsidRDefault="002150C0" w:rsidP="002150C0">
      <w:pPr>
        <w:pStyle w:val="FootnoteText"/>
      </w:pPr>
      <w:r>
        <w:rPr>
          <w:rStyle w:val="FootnoteReference"/>
        </w:rPr>
        <w:footnoteRef/>
      </w:r>
      <w:r>
        <w:t xml:space="preserve"> </w:t>
      </w:r>
      <w:r w:rsidRPr="00363A05">
        <w:t>UNAIDS</w:t>
      </w:r>
      <w:r>
        <w:t>, 2020</w:t>
      </w:r>
      <w:r w:rsidRPr="00363A05">
        <w:t xml:space="preserve">. </w:t>
      </w:r>
      <w:r>
        <w:t>“</w:t>
      </w:r>
      <w:hyperlink r:id="rId9" w:history="1">
        <w:r w:rsidRPr="00A022AD">
          <w:rPr>
            <w:rStyle w:val="Hyperlink"/>
          </w:rPr>
          <w:t>Global AIDS Update, Seizing the moment: tackling entrenched inequalities to end epidemics</w:t>
        </w:r>
      </w:hyperlink>
      <w:r>
        <w:t>”</w:t>
      </w:r>
      <w:r w:rsidRPr="00363A05">
        <w:t xml:space="preserve"> </w:t>
      </w:r>
    </w:p>
  </w:footnote>
  <w:footnote w:id="10">
    <w:p w14:paraId="63355F0B" w14:textId="4BFA13E6" w:rsidR="00DF4C09" w:rsidRDefault="00DF4C09">
      <w:pPr>
        <w:pStyle w:val="FootnoteText"/>
      </w:pPr>
      <w:r>
        <w:rPr>
          <w:rStyle w:val="FootnoteReference"/>
        </w:rPr>
        <w:footnoteRef/>
      </w:r>
      <w:r>
        <w:t xml:space="preserve"> Open Society Foundations, 2008, “</w:t>
      </w:r>
      <w:hyperlink r:id="rId10" w:history="1">
        <w:r w:rsidRPr="00D61534">
          <w:rPr>
            <w:rStyle w:val="Hyperlink"/>
          </w:rPr>
          <w:t>Rights Not Rescue: A Report on Female, Trans, and Male Sex Workers' Human Rights in Botswana, Namibia, and South Africa</w:t>
        </w:r>
      </w:hyperlink>
      <w:r>
        <w:t>.”</w:t>
      </w:r>
    </w:p>
  </w:footnote>
  <w:footnote w:id="11">
    <w:p w14:paraId="003367F4" w14:textId="77777777" w:rsidR="00112D68" w:rsidRDefault="00112D68" w:rsidP="00112D68">
      <w:pPr>
        <w:pStyle w:val="FootnoteText"/>
      </w:pPr>
      <w:r>
        <w:rPr>
          <w:rStyle w:val="FootnoteReference"/>
        </w:rPr>
        <w:footnoteRef/>
      </w:r>
      <w:r>
        <w:t xml:space="preserve"> UNDP, UNFPA, APNSW, &amp; SANGRAM, 2015, “</w:t>
      </w:r>
      <w:hyperlink r:id="rId11" w:history="1">
        <w:r w:rsidRPr="00540533">
          <w:rPr>
            <w:rStyle w:val="Hyperlink"/>
          </w:rPr>
          <w:t>The Right(s) Evidence – Sex work, violence and HIV in Asia</w:t>
        </w:r>
      </w:hyperlink>
      <w:r>
        <w:t>.”</w:t>
      </w:r>
    </w:p>
  </w:footnote>
  <w:footnote w:id="12">
    <w:p w14:paraId="4F2799C3" w14:textId="77777777" w:rsidR="00112D68" w:rsidRPr="00540533" w:rsidRDefault="00112D68" w:rsidP="00112D68">
      <w:pPr>
        <w:pStyle w:val="FootnoteText"/>
        <w:rPr>
          <w:lang w:val="es-ES"/>
        </w:rPr>
      </w:pPr>
      <w:r>
        <w:rPr>
          <w:rStyle w:val="FootnoteReference"/>
        </w:rPr>
        <w:footnoteRef/>
      </w:r>
      <w:r w:rsidRPr="00540533">
        <w:rPr>
          <w:lang w:val="es-ES"/>
        </w:rPr>
        <w:t xml:space="preserve"> </w:t>
      </w:r>
      <w:proofErr w:type="spellStart"/>
      <w:r w:rsidRPr="00540533">
        <w:rPr>
          <w:lang w:val="es-ES"/>
        </w:rPr>
        <w:t>RedTraSex</w:t>
      </w:r>
      <w:proofErr w:type="spellEnd"/>
      <w:r w:rsidRPr="00540533">
        <w:rPr>
          <w:lang w:val="es-ES"/>
        </w:rPr>
        <w:t>, 201</w:t>
      </w:r>
      <w:r>
        <w:rPr>
          <w:lang w:val="es-ES"/>
        </w:rPr>
        <w:t>6</w:t>
      </w:r>
      <w:r w:rsidRPr="00540533">
        <w:rPr>
          <w:lang w:val="es-ES"/>
        </w:rPr>
        <w:t>, “</w:t>
      </w:r>
      <w:r w:rsidR="00000000">
        <w:fldChar w:fldCharType="begin"/>
      </w:r>
      <w:r w:rsidR="00000000" w:rsidRPr="00562694">
        <w:rPr>
          <w:lang w:val="es-ES"/>
        </w:rPr>
        <w:instrText>HYPERLINK "https://redtrasex.org/trabajo-sexual-y-violencia-institucional-vulneracion-de-derechos-y-abuso-de-poder-hacia-mujeres-trabajadoras-sexuales/"</w:instrText>
      </w:r>
      <w:r w:rsidR="00000000">
        <w:fldChar w:fldCharType="separate"/>
      </w:r>
      <w:r w:rsidRPr="00540533">
        <w:rPr>
          <w:rStyle w:val="Hyperlink"/>
          <w:lang w:val="es-ES"/>
        </w:rPr>
        <w:t>Trabajo sexual y violencia Institucional: Vulneración de derechos y abuso de poder hacia mujeres trabajadoras sexuales</w:t>
      </w:r>
      <w:r w:rsidR="00000000">
        <w:rPr>
          <w:rStyle w:val="Hyperlink"/>
          <w:lang w:val="es-ES"/>
        </w:rPr>
        <w:fldChar w:fldCharType="end"/>
      </w:r>
      <w:r w:rsidRPr="00540533">
        <w:rPr>
          <w:lang w:val="es-ES"/>
        </w:rPr>
        <w:t>.”</w:t>
      </w:r>
    </w:p>
  </w:footnote>
  <w:footnote w:id="13">
    <w:p w14:paraId="3D42A86E" w14:textId="77777777" w:rsidR="00112D68" w:rsidRDefault="00112D68" w:rsidP="00112D68">
      <w:pPr>
        <w:pStyle w:val="FootnoteText"/>
      </w:pPr>
      <w:r>
        <w:rPr>
          <w:rStyle w:val="FootnoteReference"/>
        </w:rPr>
        <w:footnoteRef/>
      </w:r>
      <w:r>
        <w:t xml:space="preserve"> Africa Sex Worker Alliance, 2011, “</w:t>
      </w:r>
      <w:hyperlink r:id="rId12" w:history="1">
        <w:r w:rsidRPr="0035398E">
          <w:rPr>
            <w:rStyle w:val="Hyperlink"/>
          </w:rPr>
          <w:t>I expect to be abused and I have fear: sex workers’ experiences of human rights violations and barriers to accessing healthcare in four African countries</w:t>
        </w:r>
      </w:hyperlink>
      <w:r>
        <w:t>.”</w:t>
      </w:r>
    </w:p>
  </w:footnote>
  <w:footnote w:id="14">
    <w:p w14:paraId="41445CFA" w14:textId="77777777" w:rsidR="00112D68" w:rsidRDefault="00112D68" w:rsidP="00112D68">
      <w:pPr>
        <w:pStyle w:val="FootnoteText"/>
      </w:pPr>
      <w:r>
        <w:rPr>
          <w:rStyle w:val="FootnoteReference"/>
        </w:rPr>
        <w:footnoteRef/>
      </w:r>
      <w:r>
        <w:t xml:space="preserve"> </w:t>
      </w:r>
      <w:r w:rsidRPr="00B07319">
        <w:t>SWAN, 2008, “</w:t>
      </w:r>
      <w:hyperlink r:id="rId13" w:history="1">
        <w:r w:rsidRPr="0035398E">
          <w:rPr>
            <w:rStyle w:val="Hyperlink"/>
          </w:rPr>
          <w:t>Arrest the Violence</w:t>
        </w:r>
      </w:hyperlink>
      <w:r w:rsidRPr="00B07319">
        <w:t>.”</w:t>
      </w:r>
    </w:p>
  </w:footnote>
  <w:footnote w:id="15">
    <w:p w14:paraId="270A98BA" w14:textId="77777777" w:rsidR="00DE6E8C" w:rsidRDefault="00DE6E8C" w:rsidP="00DE6E8C">
      <w:pPr>
        <w:pStyle w:val="FootnoteText"/>
      </w:pPr>
      <w:r>
        <w:rPr>
          <w:rStyle w:val="FootnoteReference"/>
        </w:rPr>
        <w:footnoteRef/>
      </w:r>
      <w:r>
        <w:t xml:space="preserve"> Lucy Platt et al., “</w:t>
      </w:r>
      <w:hyperlink r:id="rId14" w:history="1">
        <w:r w:rsidRPr="001346A4">
          <w:rPr>
            <w:rStyle w:val="Hyperlink"/>
          </w:rPr>
          <w:t>Associations between sex work laws and sex workers’ health: A systematic review and meta-analysis of quantitative and qualitative studies</w:t>
        </w:r>
      </w:hyperlink>
      <w:r>
        <w:t>,” PLOS Medicine 15 (2018).</w:t>
      </w:r>
    </w:p>
  </w:footnote>
  <w:footnote w:id="16">
    <w:p w14:paraId="5C91DBFA" w14:textId="77777777" w:rsidR="00DE6E8C" w:rsidRPr="00AE5918" w:rsidRDefault="00DE6E8C" w:rsidP="00DE6E8C">
      <w:pPr>
        <w:pStyle w:val="FootnoteText"/>
        <w:rPr>
          <w:lang w:val="fr-FR"/>
        </w:rPr>
      </w:pPr>
      <w:r>
        <w:rPr>
          <w:rStyle w:val="FootnoteReference"/>
        </w:rPr>
        <w:footnoteRef/>
      </w:r>
      <w:r w:rsidRPr="00AE5918">
        <w:rPr>
          <w:lang w:val="fr-FR"/>
        </w:rPr>
        <w:t xml:space="preserve"> Médecins du Monde, 2020, “</w:t>
      </w:r>
      <w:r w:rsidR="00000000">
        <w:fldChar w:fldCharType="begin"/>
      </w:r>
      <w:r w:rsidR="00000000" w:rsidRPr="00562694">
        <w:rPr>
          <w:lang w:val="es-ES"/>
        </w:rPr>
        <w:instrText>HYPERLINK "https://www.medecinsdumonde.org/publication/travail-du-sexe-rapport-devaluation-de-la-loi-de-2016/"</w:instrText>
      </w:r>
      <w:r w:rsidR="00000000">
        <w:fldChar w:fldCharType="separate"/>
      </w:r>
      <w:r w:rsidRPr="00C823D1">
        <w:rPr>
          <w:rStyle w:val="Hyperlink"/>
          <w:lang w:val="fr-FR"/>
        </w:rPr>
        <w:t>Travail du sexe : rapport d'évaluation de la loi de 2016</w:t>
      </w:r>
      <w:r w:rsidR="00000000">
        <w:rPr>
          <w:rStyle w:val="Hyperlink"/>
          <w:lang w:val="fr-FR"/>
        </w:rPr>
        <w:fldChar w:fldCharType="end"/>
      </w:r>
      <w:r>
        <w:rPr>
          <w:lang w:val="fr-FR"/>
        </w:rPr>
        <w:t>. »</w:t>
      </w:r>
    </w:p>
  </w:footnote>
  <w:footnote w:id="17">
    <w:p w14:paraId="62B0FFCD" w14:textId="77777777" w:rsidR="00DE6E8C" w:rsidRDefault="00DE6E8C" w:rsidP="00DE6E8C">
      <w:pPr>
        <w:pStyle w:val="FootnoteText"/>
      </w:pPr>
      <w:r>
        <w:rPr>
          <w:rStyle w:val="FootnoteReference"/>
        </w:rPr>
        <w:footnoteRef/>
      </w:r>
      <w:r>
        <w:t xml:space="preserve"> Jay Levy and Pia Jakobsson, “</w:t>
      </w:r>
      <w:hyperlink r:id="rId15" w:history="1">
        <w:r w:rsidRPr="00E0246C">
          <w:rPr>
            <w:rStyle w:val="Hyperlink"/>
          </w:rPr>
          <w:t>Sweden’s abolitionist discourse and law: Effects on the dynamics of Swedish sex work and on the lives of Sweden’s sex workers</w:t>
        </w:r>
      </w:hyperlink>
      <w:r>
        <w:t>.”</w:t>
      </w:r>
    </w:p>
  </w:footnote>
  <w:footnote w:id="18">
    <w:p w14:paraId="3B525096" w14:textId="77777777" w:rsidR="00DE6E8C" w:rsidRDefault="00DE6E8C" w:rsidP="00DE6E8C">
      <w:pPr>
        <w:pStyle w:val="FootnoteText"/>
      </w:pPr>
      <w:r>
        <w:rPr>
          <w:rStyle w:val="FootnoteReference"/>
        </w:rPr>
        <w:footnoteRef/>
      </w:r>
      <w:r>
        <w:t xml:space="preserve"> Susanne </w:t>
      </w:r>
      <w:proofErr w:type="spellStart"/>
      <w:r>
        <w:t>Dodillet</w:t>
      </w:r>
      <w:proofErr w:type="spellEnd"/>
      <w:r>
        <w:t xml:space="preserve"> and Petra Östergren, 2011, “</w:t>
      </w:r>
      <w:hyperlink r:id="rId16" w:history="1">
        <w:r w:rsidRPr="00E0246C">
          <w:rPr>
            <w:rStyle w:val="Hyperlink"/>
          </w:rPr>
          <w:t>The Swedish Sex</w:t>
        </w:r>
        <w:r>
          <w:rPr>
            <w:rStyle w:val="Hyperlink"/>
          </w:rPr>
          <w:t xml:space="preserve"> </w:t>
        </w:r>
        <w:r w:rsidRPr="00E0246C">
          <w:rPr>
            <w:rStyle w:val="Hyperlink"/>
          </w:rPr>
          <w:t>Purchase Act: Claimed success and documented effects</w:t>
        </w:r>
      </w:hyperlink>
      <w:r>
        <w:t>.”</w:t>
      </w:r>
    </w:p>
  </w:footnote>
  <w:footnote w:id="19">
    <w:p w14:paraId="5FEA60A8" w14:textId="77777777" w:rsidR="00DE6E8C" w:rsidRDefault="00DE6E8C" w:rsidP="00DE6E8C">
      <w:pPr>
        <w:pStyle w:val="FootnoteText"/>
      </w:pPr>
      <w:r>
        <w:rPr>
          <w:rStyle w:val="FootnoteReference"/>
        </w:rPr>
        <w:footnoteRef/>
      </w:r>
      <w:r>
        <w:t xml:space="preserve"> NSWP, 2018, “</w:t>
      </w:r>
      <w:hyperlink r:id="rId17" w:history="1">
        <w:r w:rsidRPr="00526643">
          <w:rPr>
            <w:rStyle w:val="Hyperlink"/>
          </w:rPr>
          <w:t>The Impact of ‘End Demand’ Legislation on Women Sex Workers</w:t>
        </w:r>
      </w:hyperlink>
      <w:r>
        <w:t>.”</w:t>
      </w:r>
    </w:p>
  </w:footnote>
  <w:footnote w:id="20">
    <w:p w14:paraId="3D8B08E3" w14:textId="77777777" w:rsidR="00DE6E8C" w:rsidRDefault="00DE6E8C" w:rsidP="00DE6E8C">
      <w:pPr>
        <w:pStyle w:val="FootnoteText"/>
      </w:pPr>
      <w:r>
        <w:rPr>
          <w:rStyle w:val="FootnoteReference"/>
        </w:rPr>
        <w:footnoteRef/>
      </w:r>
      <w:r>
        <w:t xml:space="preserve"> </w:t>
      </w:r>
      <w:r w:rsidRPr="001F0D72">
        <w:t xml:space="preserve">The Global Commission on HIV and the Law, </w:t>
      </w:r>
      <w:r>
        <w:t>“</w:t>
      </w:r>
      <w:hyperlink r:id="rId18" w:history="1">
        <w:r w:rsidRPr="001F0D72">
          <w:rPr>
            <w:rStyle w:val="Hyperlink"/>
          </w:rPr>
          <w:t>Rights, Risk and Health: Final Report</w:t>
        </w:r>
      </w:hyperlink>
      <w:r w:rsidRPr="001F0D72">
        <w:t>,</w:t>
      </w:r>
      <w:r>
        <w:t>”</w:t>
      </w:r>
      <w:r w:rsidRPr="001F0D72">
        <w:t xml:space="preserve"> 2012, supplemented 201</w:t>
      </w:r>
      <w:r>
        <w:t>8</w:t>
      </w:r>
      <w:r w:rsidRPr="001F0D72">
        <w:t>.</w:t>
      </w:r>
    </w:p>
  </w:footnote>
  <w:footnote w:id="21">
    <w:p w14:paraId="5742C9D5" w14:textId="195FA3AB" w:rsidR="00AA7DF4" w:rsidRDefault="00AA7DF4">
      <w:pPr>
        <w:pStyle w:val="FootnoteText"/>
      </w:pPr>
      <w:r>
        <w:rPr>
          <w:rStyle w:val="FootnoteReference"/>
        </w:rPr>
        <w:footnoteRef/>
      </w:r>
      <w:r>
        <w:t xml:space="preserve"> NSWP, 2020, “</w:t>
      </w:r>
      <w:hyperlink r:id="rId19" w:history="1">
        <w:r w:rsidRPr="00E30969">
          <w:rPr>
            <w:rStyle w:val="Hyperlink"/>
          </w:rPr>
          <w:t>Briefing Paper: Lack of Access to Justice</w:t>
        </w:r>
      </w:hyperlink>
      <w:r>
        <w:t>.”</w:t>
      </w:r>
    </w:p>
  </w:footnote>
  <w:footnote w:id="22">
    <w:p w14:paraId="239D7CD5" w14:textId="77777777" w:rsidR="005C4070" w:rsidRDefault="005C4070" w:rsidP="005C4070">
      <w:pPr>
        <w:pStyle w:val="FootnoteText"/>
      </w:pPr>
      <w:r>
        <w:rPr>
          <w:rStyle w:val="FootnoteReference"/>
        </w:rPr>
        <w:footnoteRef/>
      </w:r>
      <w:r>
        <w:t xml:space="preserve"> NSWP, 2017, “</w:t>
      </w:r>
      <w:hyperlink r:id="rId20" w:history="1">
        <w:r w:rsidRPr="00046A16">
          <w:rPr>
            <w:rStyle w:val="Hyperlink"/>
          </w:rPr>
          <w:t>The Impact of Criminalisation on Sex Workers’ Vulnerability to HIV and Violence</w:t>
        </w:r>
      </w:hyperlink>
      <w:r>
        <w:t>.”</w:t>
      </w:r>
    </w:p>
  </w:footnote>
  <w:footnote w:id="23">
    <w:p w14:paraId="2A925810" w14:textId="77777777" w:rsidR="004C0D41" w:rsidRDefault="004C0D41" w:rsidP="004C0D41">
      <w:pPr>
        <w:pStyle w:val="FootnoteText"/>
      </w:pPr>
      <w:r>
        <w:rPr>
          <w:rStyle w:val="FootnoteReference"/>
        </w:rPr>
        <w:footnoteRef/>
      </w:r>
      <w:r>
        <w:t xml:space="preserve"> NSWP, 2018, “</w:t>
      </w:r>
      <w:hyperlink r:id="rId21" w:history="1">
        <w:r w:rsidRPr="00DE06B5">
          <w:rPr>
            <w:rStyle w:val="Hyperlink"/>
          </w:rPr>
          <w:t>Briefing Paper: Migrant Sex Workers</w:t>
        </w:r>
      </w:hyperlink>
      <w:r>
        <w:t>,” 7-8.</w:t>
      </w:r>
    </w:p>
  </w:footnote>
  <w:footnote w:id="24">
    <w:p w14:paraId="6A80C925" w14:textId="2ED3A21D" w:rsidR="003D105B" w:rsidRDefault="003D105B">
      <w:pPr>
        <w:pStyle w:val="FootnoteText"/>
      </w:pPr>
      <w:r>
        <w:rPr>
          <w:rStyle w:val="FootnoteReference"/>
        </w:rPr>
        <w:footnoteRef/>
      </w:r>
      <w:r>
        <w:t xml:space="preserve"> NSWP, 2019, “</w:t>
      </w:r>
      <w:hyperlink r:id="rId22" w:history="1">
        <w:r w:rsidRPr="0007559A">
          <w:rPr>
            <w:rStyle w:val="Hyperlink"/>
          </w:rPr>
          <w:t>Policy Brief: The Impact of Anti-trafficking Legislation and Initiatives on Sex Workers</w:t>
        </w:r>
      </w:hyperlink>
      <w:r>
        <w:t>.”</w:t>
      </w:r>
    </w:p>
  </w:footnote>
  <w:footnote w:id="25">
    <w:p w14:paraId="1AA27CBC" w14:textId="4429D4B1" w:rsidR="002A5DF5" w:rsidRDefault="002A5DF5" w:rsidP="002A5DF5">
      <w:pPr>
        <w:pStyle w:val="FootnoteText"/>
      </w:pPr>
      <w:r>
        <w:rPr>
          <w:rStyle w:val="FootnoteReference"/>
        </w:rPr>
        <w:footnoteRef/>
      </w:r>
      <w:r>
        <w:t xml:space="preserve"> South Asian Association for Regional Cooperation, 2002, “</w:t>
      </w:r>
      <w:hyperlink r:id="rId23" w:history="1">
        <w:r w:rsidRPr="00DC5F31">
          <w:rPr>
            <w:rStyle w:val="Hyperlink"/>
          </w:rPr>
          <w:t>SAARC Convention on Preventing and Combating Trafficking in Women and Children for Prostitution,” Article 1</w:t>
        </w:r>
      </w:hyperlink>
      <w:r>
        <w:t>.</w:t>
      </w:r>
    </w:p>
  </w:footnote>
  <w:footnote w:id="26">
    <w:p w14:paraId="44960961" w14:textId="4789FD13" w:rsidR="001A1B6D" w:rsidRDefault="001A1B6D" w:rsidP="001A1B6D">
      <w:pPr>
        <w:pStyle w:val="FootnoteText"/>
      </w:pPr>
      <w:r>
        <w:rPr>
          <w:rStyle w:val="FootnoteReference"/>
        </w:rPr>
        <w:footnoteRef/>
      </w:r>
      <w:r>
        <w:t xml:space="preserve"> United Nations Development Program, 2012, “</w:t>
      </w:r>
      <w:hyperlink r:id="rId24" w:history="1">
        <w:r w:rsidRPr="009C03AF">
          <w:rPr>
            <w:rStyle w:val="Hyperlink"/>
          </w:rPr>
          <w:t>Sex work and the law in Asia and the Pacific: Laws, HIV and human rights in the context of sex work,</w:t>
        </w:r>
      </w:hyperlink>
      <w:r>
        <w:t>” 24–25.</w:t>
      </w:r>
    </w:p>
  </w:footnote>
  <w:footnote w:id="27">
    <w:p w14:paraId="2E598172" w14:textId="117122A6" w:rsidR="008E12E8" w:rsidRDefault="008E12E8">
      <w:pPr>
        <w:pStyle w:val="FootnoteText"/>
      </w:pPr>
      <w:r>
        <w:rPr>
          <w:rStyle w:val="FootnoteReference"/>
        </w:rPr>
        <w:footnoteRef/>
      </w:r>
      <w:r>
        <w:t xml:space="preserve"> </w:t>
      </w:r>
      <w:proofErr w:type="spellStart"/>
      <w:r>
        <w:t>Audacia</w:t>
      </w:r>
      <w:proofErr w:type="spellEnd"/>
      <w:r>
        <w:t xml:space="preserve"> Ray and Emma Caterine, “</w:t>
      </w:r>
      <w:hyperlink r:id="rId25" w:tgtFrame="_blank" w:history="1">
        <w:r>
          <w:rPr>
            <w:rStyle w:val="Hyperlink"/>
          </w:rPr>
          <w:t>Criminal, Victim, or Worker: The Impact of New York’s Human Trafficking Intervention Courts on Sex Workers</w:t>
        </w:r>
      </w:hyperlink>
      <w:r>
        <w:t>,” Research for Sex Work 14 (2015)</w:t>
      </w:r>
      <w:r w:rsidR="00D936D4">
        <w:t>.</w:t>
      </w:r>
    </w:p>
  </w:footnote>
  <w:footnote w:id="28">
    <w:p w14:paraId="2F918E28" w14:textId="5DB5E925" w:rsidR="007E3567" w:rsidRDefault="007E3567" w:rsidP="00CE7600">
      <w:pPr>
        <w:pStyle w:val="FootnoteText"/>
      </w:pPr>
      <w:r>
        <w:rPr>
          <w:rStyle w:val="FootnoteReference"/>
        </w:rPr>
        <w:footnoteRef/>
      </w:r>
      <w:r>
        <w:t xml:space="preserve"> </w:t>
      </w:r>
      <w:r w:rsidR="00CE7600">
        <w:t>Human Rights Council, 26</w:t>
      </w:r>
      <w:r w:rsidR="00CE7600" w:rsidRPr="00CE7600">
        <w:rPr>
          <w:vertAlign w:val="superscript"/>
        </w:rPr>
        <w:t>th</w:t>
      </w:r>
      <w:r w:rsidR="00CE7600">
        <w:t xml:space="preserve"> session, “</w:t>
      </w:r>
      <w:hyperlink r:id="rId26" w:history="1">
        <w:r w:rsidR="00CE7600" w:rsidRPr="00966DB4">
          <w:rPr>
            <w:rStyle w:val="Hyperlink"/>
          </w:rPr>
          <w:t>Report of the Special Rapporteur on violence against women, its causes and consequences, Rashida Manjoo</w:t>
        </w:r>
      </w:hyperlink>
      <w:r w:rsidR="00CE7600">
        <w:t>” (</w:t>
      </w:r>
      <w:r w:rsidR="00CE7600" w:rsidRPr="00CE7600">
        <w:t>A/HRC/26/38/Add.1</w:t>
      </w:r>
      <w:r w:rsidR="00CE7600">
        <w:t>)</w:t>
      </w:r>
    </w:p>
  </w:footnote>
  <w:footnote w:id="29">
    <w:p w14:paraId="471602E4" w14:textId="0931B467" w:rsidR="00E77FBC" w:rsidRDefault="00E77FBC" w:rsidP="00E77FBC">
      <w:pPr>
        <w:pStyle w:val="FootnoteText"/>
      </w:pPr>
      <w:r>
        <w:rPr>
          <w:rStyle w:val="FootnoteReference"/>
        </w:rPr>
        <w:footnoteRef/>
      </w:r>
      <w:r>
        <w:t xml:space="preserve"> World Health Organisation, 20</w:t>
      </w:r>
      <w:r w:rsidR="00D43F01">
        <w:t>22</w:t>
      </w:r>
      <w:r>
        <w:t>, “</w:t>
      </w:r>
      <w:hyperlink r:id="rId27" w:history="1">
        <w:r w:rsidR="00D43F01" w:rsidRPr="00D43F01">
          <w:rPr>
            <w:rStyle w:val="Hyperlink"/>
          </w:rPr>
          <w:t>Consolidated guidelines on HIV, viral hepatitis and STI prevention, diagnosis, treatment and care for key populations</w:t>
        </w:r>
        <w:r w:rsidRPr="00D43F01">
          <w:rPr>
            <w:rStyle w:val="Hyperlink"/>
          </w:rPr>
          <w:t>.”</w:t>
        </w:r>
      </w:hyperlink>
    </w:p>
  </w:footnote>
  <w:footnote w:id="30">
    <w:p w14:paraId="3279AE2F" w14:textId="77777777" w:rsidR="00E77FBC" w:rsidRDefault="00E77FBC" w:rsidP="00E77FBC">
      <w:pPr>
        <w:pStyle w:val="FootnoteText"/>
      </w:pPr>
      <w:r>
        <w:rPr>
          <w:rStyle w:val="FootnoteReference"/>
        </w:rPr>
        <w:footnoteRef/>
      </w:r>
      <w:r>
        <w:t xml:space="preserve"> UNAIDS, 2012, “</w:t>
      </w:r>
      <w:hyperlink r:id="rId28" w:history="1">
        <w:r w:rsidRPr="004E4AFD">
          <w:rPr>
            <w:rStyle w:val="Hyperlink"/>
          </w:rPr>
          <w:t>UNAIDS Guidance note on HIV and sex work</w:t>
        </w:r>
      </w:hyperlink>
      <w:r>
        <w:t>.”</w:t>
      </w:r>
    </w:p>
  </w:footnote>
  <w:footnote w:id="31">
    <w:p w14:paraId="1B8374D0" w14:textId="1D2517DF" w:rsidR="00363A05" w:rsidRDefault="00E77FBC" w:rsidP="00E77FBC">
      <w:pPr>
        <w:pStyle w:val="FootnoteText"/>
      </w:pPr>
      <w:r>
        <w:rPr>
          <w:rStyle w:val="FootnoteReference"/>
        </w:rPr>
        <w:footnoteRef/>
      </w:r>
      <w:r>
        <w:t xml:space="preserve"> UNDP, 2015, “</w:t>
      </w:r>
      <w:hyperlink r:id="rId29" w:history="1">
        <w:r w:rsidRPr="002E307C">
          <w:rPr>
            <w:rStyle w:val="Hyperlink"/>
          </w:rPr>
          <w:t>Sex Work and the Law in Asia and the Pacific</w:t>
        </w:r>
      </w:hyperlink>
      <w:r>
        <w:t>.”</w:t>
      </w:r>
    </w:p>
  </w:footnote>
  <w:footnote w:id="32">
    <w:p w14:paraId="44DFA055" w14:textId="77777777" w:rsidR="00E77FBC" w:rsidRDefault="00E77FBC" w:rsidP="00E77FBC">
      <w:pPr>
        <w:pStyle w:val="FootnoteText"/>
      </w:pPr>
      <w:r>
        <w:rPr>
          <w:rStyle w:val="FootnoteReference"/>
        </w:rPr>
        <w:footnoteRef/>
      </w:r>
      <w:r>
        <w:t xml:space="preserve"> Swapna Gayen, “</w:t>
      </w:r>
      <w:hyperlink r:id="rId30" w:history="1">
        <w:r w:rsidRPr="001915B7">
          <w:rPr>
            <w:rStyle w:val="Hyperlink"/>
          </w:rPr>
          <w:t>Innovative approaches to combat trafficking of women in the sex trade</w:t>
        </w:r>
      </w:hyperlink>
      <w:r>
        <w:t>,” Inter-Asia Cultural Studies 7 (2006): 331-337.</w:t>
      </w:r>
    </w:p>
  </w:footnote>
  <w:footnote w:id="33">
    <w:p w14:paraId="5216BBA0" w14:textId="77777777" w:rsidR="00E77FBC" w:rsidRDefault="00E77FBC" w:rsidP="00E77FBC">
      <w:pPr>
        <w:pStyle w:val="FootnoteText"/>
      </w:pPr>
      <w:r>
        <w:rPr>
          <w:rStyle w:val="FootnoteReference"/>
        </w:rPr>
        <w:footnoteRef/>
      </w:r>
      <w:r>
        <w:t xml:space="preserve"> Jane Pitcher, “</w:t>
      </w:r>
      <w:hyperlink r:id="rId31" w:history="1">
        <w:r w:rsidRPr="000B3727">
          <w:rPr>
            <w:rStyle w:val="Hyperlink"/>
          </w:rPr>
          <w:t>The Impact of Different Regulatory Models on the Labour Conditions, Safety and Welfare of Indoor-based Sex Workers</w:t>
        </w:r>
      </w:hyperlink>
      <w:r>
        <w:t>” Criminology and Criminal Justice 14 (2014): 549-564.</w:t>
      </w:r>
    </w:p>
  </w:footnote>
  <w:footnote w:id="34">
    <w:p w14:paraId="420F4F54" w14:textId="28859E1B" w:rsidR="00363A05" w:rsidRDefault="00363A05">
      <w:pPr>
        <w:pStyle w:val="FootnoteText"/>
      </w:pPr>
      <w:r>
        <w:rPr>
          <w:rStyle w:val="FootnoteReference"/>
        </w:rPr>
        <w:footnoteRef/>
      </w:r>
      <w:r>
        <w:t xml:space="preserve"> OHCHR, UNAIDS, 2006 “</w:t>
      </w:r>
      <w:hyperlink r:id="rId32" w:history="1">
        <w:r w:rsidRPr="00363A05">
          <w:rPr>
            <w:rStyle w:val="Hyperlink"/>
          </w:rPr>
          <w:t>International Guidelines on HIV/AIDS and Human Rights</w:t>
        </w:r>
      </w:hyperlink>
      <w:r>
        <w:t>”</w:t>
      </w:r>
    </w:p>
  </w:footnote>
  <w:footnote w:id="35">
    <w:p w14:paraId="0223EDD4" w14:textId="3C607394" w:rsidR="00A022AD" w:rsidRDefault="00A022AD">
      <w:pPr>
        <w:pStyle w:val="FootnoteText"/>
      </w:pPr>
      <w:r>
        <w:rPr>
          <w:rStyle w:val="FootnoteReference"/>
        </w:rPr>
        <w:footnoteRef/>
      </w:r>
      <w:r>
        <w:t xml:space="preserve"> International Commission of Jurists, 2023, “</w:t>
      </w:r>
      <w:hyperlink r:id="rId33" w:history="1">
        <w:r w:rsidRPr="00A022AD">
          <w:rPr>
            <w:rStyle w:val="Hyperlink"/>
          </w:rPr>
          <w:t>The 8 March Principles for a Human Rights-Based Approach to Criminal Law Proscribing Conduct Associated with Sex, Reproduction, Drug Use, HIV, Homelessness and Poverty</w:t>
        </w:r>
      </w:hyperlink>
      <w:r>
        <w:t>”</w:t>
      </w:r>
    </w:p>
  </w:footnote>
  <w:footnote w:id="36">
    <w:p w14:paraId="6A33E619" w14:textId="5666A1DB" w:rsidR="001A24D8" w:rsidRDefault="001A24D8">
      <w:pPr>
        <w:pStyle w:val="FootnoteText"/>
      </w:pPr>
      <w:r>
        <w:rPr>
          <w:rStyle w:val="FootnoteReference"/>
        </w:rPr>
        <w:footnoteRef/>
      </w:r>
      <w:r>
        <w:t xml:space="preserve"> </w:t>
      </w:r>
      <w:r w:rsidR="00F43CEE">
        <w:t xml:space="preserve">Amnesty International, 2016, </w:t>
      </w:r>
      <w:hyperlink r:id="rId34" w:history="1">
        <w:r w:rsidR="002C1CA4" w:rsidRPr="002C1CA4">
          <w:rPr>
            <w:rStyle w:val="Hyperlink"/>
          </w:rPr>
          <w:t>Amnesty International policy on state obligations to respect, protect and fulfil the human rights of sex workers</w:t>
        </w:r>
      </w:hyperlink>
      <w:r w:rsidR="002C1CA4">
        <w:t>”</w:t>
      </w:r>
    </w:p>
  </w:footnote>
  <w:footnote w:id="37">
    <w:p w14:paraId="39426A9E" w14:textId="77777777" w:rsidR="00DC002B" w:rsidRDefault="00DC002B" w:rsidP="00DC002B">
      <w:pPr>
        <w:pStyle w:val="FootnoteText"/>
      </w:pPr>
      <w:r>
        <w:rPr>
          <w:rStyle w:val="FootnoteReference"/>
        </w:rPr>
        <w:footnoteRef/>
      </w:r>
      <w:r>
        <w:t xml:space="preserve"> Criminology &amp; Criminal Justice, 2014, “</w:t>
      </w:r>
      <w:hyperlink r:id="rId35" w:history="1">
        <w:r w:rsidRPr="0096388A">
          <w:rPr>
            <w:rStyle w:val="Hyperlink"/>
          </w:rPr>
          <w:t>A decade of decriminalization: Sex work ‘down under’ but not underground</w:t>
        </w:r>
      </w:hyperlink>
      <w:r>
        <w:t>.”</w:t>
      </w:r>
    </w:p>
  </w:footnote>
  <w:footnote w:id="38">
    <w:p w14:paraId="2C2ACE44" w14:textId="47D7D392" w:rsidR="00363A05" w:rsidRDefault="00363A05">
      <w:pPr>
        <w:pStyle w:val="FootnoteText"/>
      </w:pPr>
      <w:r>
        <w:rPr>
          <w:rStyle w:val="FootnoteReference"/>
        </w:rPr>
        <w:footnoteRef/>
      </w:r>
      <w:r>
        <w:t xml:space="preserve"> </w:t>
      </w:r>
      <w:r w:rsidRPr="00363A05">
        <w:t>UNAIDS</w:t>
      </w:r>
      <w:r>
        <w:t>, 2020</w:t>
      </w:r>
      <w:r w:rsidRPr="00363A05">
        <w:t xml:space="preserve">. </w:t>
      </w:r>
      <w:r>
        <w:t>“</w:t>
      </w:r>
      <w:hyperlink r:id="rId36" w:history="1">
        <w:r w:rsidRPr="00A022AD">
          <w:rPr>
            <w:rStyle w:val="Hyperlink"/>
          </w:rPr>
          <w:t>Global AIDS Update, Seizing the moment: tackling entrenched inequalities to end epidemics</w:t>
        </w:r>
      </w:hyperlink>
      <w:r>
        <w:t>”</w:t>
      </w:r>
      <w:r w:rsidRPr="00363A05">
        <w:t xml:space="preserve"> </w:t>
      </w:r>
    </w:p>
  </w:footnote>
  <w:footnote w:id="39">
    <w:p w14:paraId="72195314" w14:textId="77777777" w:rsidR="00E82E8D" w:rsidRDefault="00E82E8D" w:rsidP="00E82E8D">
      <w:pPr>
        <w:pStyle w:val="FootnoteText"/>
      </w:pPr>
      <w:r>
        <w:rPr>
          <w:rStyle w:val="FootnoteReference"/>
        </w:rPr>
        <w:footnoteRef/>
      </w:r>
      <w:r>
        <w:t xml:space="preserve"> New Zealand Government, 2008, “</w:t>
      </w:r>
      <w:hyperlink r:id="rId37" w:history="1">
        <w:r w:rsidRPr="007D38BF">
          <w:rPr>
            <w:rStyle w:val="Hyperlink"/>
          </w:rPr>
          <w:t>Report of the Prostitution Law Review Committee on the Operation of the Prostitution Reform Act 2003</w:t>
        </w:r>
      </w:hyperlink>
      <w:r>
        <w:t>.”</w:t>
      </w:r>
    </w:p>
  </w:footnote>
  <w:footnote w:id="40">
    <w:p w14:paraId="5363952D" w14:textId="21FA822A" w:rsidR="003C2513" w:rsidRDefault="003C2513" w:rsidP="003C2513">
      <w:pPr>
        <w:pStyle w:val="FootnoteText"/>
      </w:pPr>
      <w:r>
        <w:rPr>
          <w:rStyle w:val="FootnoteReference"/>
        </w:rPr>
        <w:footnoteRef/>
      </w:r>
      <w:r>
        <w:t xml:space="preserve"> </w:t>
      </w:r>
      <w:r w:rsidRPr="003C2513">
        <w:t xml:space="preserve">Durbar Mahila </w:t>
      </w:r>
      <w:proofErr w:type="spellStart"/>
      <w:r w:rsidRPr="003C2513">
        <w:t>Samanwaya</w:t>
      </w:r>
      <w:proofErr w:type="spellEnd"/>
      <w:r w:rsidRPr="003C2513">
        <w:t xml:space="preserve"> Committee (DMSC)</w:t>
      </w:r>
      <w:r>
        <w:t>, “</w:t>
      </w:r>
      <w:hyperlink r:id="rId38" w:history="1">
        <w:r w:rsidRPr="003C2513">
          <w:rPr>
            <w:rStyle w:val="Hyperlink"/>
          </w:rPr>
          <w:t xml:space="preserve">Innovative Approaches to Combat Trafficking of Women in Sex Trade by Durbar Mahila </w:t>
        </w:r>
        <w:proofErr w:type="spellStart"/>
        <w:r w:rsidRPr="003C2513">
          <w:rPr>
            <w:rStyle w:val="Hyperlink"/>
          </w:rPr>
          <w:t>Samanwaya</w:t>
        </w:r>
        <w:proofErr w:type="spellEnd"/>
        <w:r w:rsidRPr="003C2513">
          <w:rPr>
            <w:rStyle w:val="Hyperlink"/>
          </w:rPr>
          <w:t xml:space="preserve"> Committee (Kolkata)</w:t>
        </w:r>
      </w:hyperlink>
      <w:r>
        <w:t>.”</w:t>
      </w:r>
    </w:p>
  </w:footnote>
  <w:footnote w:id="41">
    <w:p w14:paraId="7667AAED" w14:textId="0137D148" w:rsidR="00BC7FF0" w:rsidRDefault="00BC7FF0" w:rsidP="00BC7FF0">
      <w:pPr>
        <w:pStyle w:val="FootnoteText"/>
      </w:pPr>
      <w:r>
        <w:rPr>
          <w:rStyle w:val="FootnoteReference"/>
        </w:rPr>
        <w:footnoteRef/>
      </w:r>
      <w:r>
        <w:t xml:space="preserve"> NSWP, 2015, “</w:t>
      </w:r>
      <w:hyperlink r:id="rId39" w:history="1">
        <w:r w:rsidRPr="00BC7FF0">
          <w:rPr>
            <w:rStyle w:val="Hyperlink"/>
          </w:rPr>
          <w:t>Economic Empowerment: Does Rehabilitation Have a Role</w:t>
        </w:r>
      </w:hyperlink>
      <w:r>
        <w:t>?”</w:t>
      </w:r>
    </w:p>
  </w:footnote>
  <w:footnote w:id="42">
    <w:p w14:paraId="7413B21E" w14:textId="5C81787B" w:rsidR="000C478C" w:rsidRDefault="000C478C">
      <w:pPr>
        <w:pStyle w:val="FootnoteText"/>
      </w:pPr>
      <w:r>
        <w:rPr>
          <w:rStyle w:val="FootnoteReference"/>
        </w:rPr>
        <w:footnoteRef/>
      </w:r>
      <w:r>
        <w:t xml:space="preserve"> NSWP, 2020, “</w:t>
      </w:r>
      <w:hyperlink r:id="rId40" w:history="1">
        <w:r w:rsidRPr="00E43ED7">
          <w:rPr>
            <w:rStyle w:val="Hyperlink"/>
          </w:rPr>
          <w:t>Briefing Paper: Economic Empowerment for Sex Workers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F75" w14:textId="01DDD609" w:rsidR="00D125EA" w:rsidRDefault="005D3ECC" w:rsidP="00C26FAD">
    <w:pPr>
      <w:pStyle w:val="Header"/>
    </w:pPr>
    <w:r>
      <w:rPr>
        <w:noProof/>
      </w:rPr>
      <w:drawing>
        <wp:inline distT="0" distB="0" distL="0" distR="0" wp14:anchorId="5E8749C2" wp14:editId="586B2688">
          <wp:extent cx="792480" cy="792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290D" w14:textId="221D9D6B" w:rsidR="00D125EA" w:rsidRDefault="005D3ECC" w:rsidP="001F150F">
    <w:pPr>
      <w:pStyle w:val="Header"/>
      <w:ind w:left="-142"/>
    </w:pPr>
    <w:r>
      <w:rPr>
        <w:noProof/>
      </w:rPr>
      <w:drawing>
        <wp:inline distT="0" distB="0" distL="0" distR="0" wp14:anchorId="15F7CD2F" wp14:editId="3652BB75">
          <wp:extent cx="5939155" cy="1353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1353185"/>
                  </a:xfrm>
                  <a:prstGeom prst="rect">
                    <a:avLst/>
                  </a:prstGeom>
                  <a:noFill/>
                  <a:ln>
                    <a:noFill/>
                  </a:ln>
                </pic:spPr>
              </pic:pic>
            </a:graphicData>
          </a:graphic>
        </wp:inline>
      </w:drawing>
    </w:r>
  </w:p>
  <w:p w14:paraId="20F6B545" w14:textId="77777777" w:rsidR="001C37A7" w:rsidRDefault="001C37A7" w:rsidP="001F150F">
    <w:pPr>
      <w:pStyle w:val="Header"/>
      <w:ind w:left="-142"/>
    </w:pPr>
  </w:p>
  <w:p w14:paraId="6ED2BF59" w14:textId="77777777" w:rsidR="001C37A7" w:rsidRDefault="001C37A7" w:rsidP="001F150F">
    <w:pPr>
      <w:pStyle w:val="Header"/>
      <w:ind w:left="-142"/>
    </w:pPr>
  </w:p>
  <w:p w14:paraId="03DF0387" w14:textId="77777777" w:rsidR="001C37A7" w:rsidRPr="00293A88" w:rsidRDefault="001C37A7" w:rsidP="001C37A7">
    <w:pPr>
      <w:pStyle w:val="NoSpacing"/>
      <w:rPr>
        <w:rFonts w:ascii="Tw Cen MT" w:hAnsi="Tw Cen MT"/>
        <w:b/>
        <w:bCs/>
      </w:rPr>
    </w:pPr>
    <w:r w:rsidRPr="00293A88">
      <w:rPr>
        <w:rFonts w:ascii="Tw Cen MT" w:hAnsi="Tw Cen MT"/>
        <w:b/>
        <w:bCs/>
      </w:rPr>
      <w:t xml:space="preserve">Date: </w:t>
    </w:r>
    <w:r>
      <w:rPr>
        <w:rFonts w:ascii="Tw Cen MT" w:hAnsi="Tw Cen MT"/>
        <w:b/>
        <w:bCs/>
      </w:rPr>
      <w:t>31</w:t>
    </w:r>
    <w:r w:rsidRPr="000D7CE9">
      <w:rPr>
        <w:rFonts w:ascii="Tw Cen MT" w:hAnsi="Tw Cen MT"/>
        <w:b/>
        <w:bCs/>
        <w:vertAlign w:val="superscript"/>
      </w:rPr>
      <w:t>st</w:t>
    </w:r>
    <w:r>
      <w:rPr>
        <w:rFonts w:ascii="Tw Cen MT" w:hAnsi="Tw Cen MT"/>
        <w:b/>
        <w:bCs/>
      </w:rPr>
      <w:t xml:space="preserve"> January 2024</w:t>
    </w:r>
  </w:p>
  <w:p w14:paraId="1D970F69" w14:textId="77777777" w:rsidR="001C37A7" w:rsidRPr="00293A88" w:rsidRDefault="001C37A7" w:rsidP="001C37A7">
    <w:pPr>
      <w:pStyle w:val="NoSpacing"/>
      <w:rPr>
        <w:rFonts w:ascii="Tw Cen MT" w:hAnsi="Tw Cen MT"/>
        <w:b/>
        <w:bCs/>
      </w:rPr>
    </w:pPr>
  </w:p>
  <w:p w14:paraId="4736FFEB" w14:textId="77777777" w:rsidR="001C37A7" w:rsidRDefault="001C37A7" w:rsidP="001C37A7">
    <w:pPr>
      <w:shd w:val="clear" w:color="auto" w:fill="FFFFFF"/>
      <w:spacing w:after="225"/>
      <w:jc w:val="both"/>
      <w:rPr>
        <w:rFonts w:ascii="Tw Cen MT" w:eastAsia="Times New Roman" w:hAnsi="Tw Cen MT" w:cs="Arial"/>
        <w:bCs/>
        <w:szCs w:val="24"/>
      </w:rPr>
    </w:pPr>
    <w:r w:rsidRPr="007F5974">
      <w:rPr>
        <w:rFonts w:ascii="Tw Cen MT" w:eastAsia="Times New Roman" w:hAnsi="Tw Cen MT" w:cs="Arial"/>
        <w:bCs/>
        <w:szCs w:val="24"/>
      </w:rPr>
      <w:t>NSWP welcomes the opportunity to provide input to the Special Rapporteur as she prepares her annual thematic report for the 56th session of the Human Rights Council. NSWP is a global network of sex worker-led organisations, with 3</w:t>
    </w:r>
    <w:r>
      <w:rPr>
        <w:rFonts w:ascii="Tw Cen MT" w:eastAsia="Times New Roman" w:hAnsi="Tw Cen MT" w:cs="Arial"/>
        <w:bCs/>
        <w:szCs w:val="24"/>
      </w:rPr>
      <w:t>49</w:t>
    </w:r>
    <w:r w:rsidRPr="007F5974">
      <w:rPr>
        <w:rFonts w:ascii="Tw Cen MT" w:eastAsia="Times New Roman" w:hAnsi="Tw Cen MT" w:cs="Arial"/>
        <w:bCs/>
        <w:szCs w:val="24"/>
      </w:rPr>
      <w:t xml:space="preserve"> members</w:t>
    </w:r>
    <w:r>
      <w:rPr>
        <w:rFonts w:ascii="Tw Cen MT" w:eastAsia="Times New Roman" w:hAnsi="Tw Cen MT" w:cs="Arial"/>
        <w:bCs/>
        <w:szCs w:val="24"/>
      </w:rPr>
      <w:t xml:space="preserve"> in 105 countries</w:t>
    </w:r>
    <w:r w:rsidRPr="007F5974">
      <w:rPr>
        <w:rFonts w:ascii="Tw Cen MT" w:eastAsia="Times New Roman" w:hAnsi="Tw Cen MT" w:cs="Arial"/>
        <w:bCs/>
        <w:szCs w:val="24"/>
      </w:rPr>
      <w:t xml:space="preserve"> across 5 regions, that exists to uphold the voice of sex workers globally and connect regional networks advocating for the rights of female, male and transgender sex workers. It advocates for rights-based health and social services, freedom from abuse and discrimination, and self-determination for sex workers. </w:t>
    </w:r>
  </w:p>
  <w:p w14:paraId="2404ACDF" w14:textId="77777777" w:rsidR="001C37A7" w:rsidRDefault="001C37A7" w:rsidP="001C37A7">
    <w:pPr>
      <w:shd w:val="clear" w:color="auto" w:fill="FFFFFF"/>
      <w:spacing w:after="225"/>
      <w:jc w:val="both"/>
      <w:rPr>
        <w:rFonts w:ascii="Tw Cen MT" w:eastAsia="Times New Roman" w:hAnsi="Tw Cen MT" w:cs="Arial"/>
        <w:bCs/>
        <w:szCs w:val="24"/>
      </w:rPr>
    </w:pPr>
    <w:r>
      <w:rPr>
        <w:rFonts w:ascii="Tw Cen MT" w:eastAsia="Times New Roman" w:hAnsi="Tw Cen MT" w:cs="Arial"/>
        <w:bCs/>
        <w:szCs w:val="24"/>
      </w:rPr>
      <w:t xml:space="preserve">This submission is supported by the Love Alliance. </w:t>
    </w:r>
  </w:p>
  <w:p w14:paraId="626899F6" w14:textId="77777777" w:rsidR="001C37A7" w:rsidRDefault="001C37A7" w:rsidP="001C37A7">
    <w:pPr>
      <w:shd w:val="clear" w:color="auto" w:fill="FFFFFF"/>
      <w:spacing w:after="225"/>
      <w:jc w:val="both"/>
      <w:rPr>
        <w:rFonts w:ascii="Tw Cen MT" w:eastAsia="Times New Roman" w:hAnsi="Tw Cen MT" w:cs="Arial"/>
        <w:bCs/>
        <w:szCs w:val="24"/>
      </w:rPr>
    </w:pPr>
    <w:r w:rsidRPr="00AA59BD">
      <w:rPr>
        <w:rFonts w:ascii="Tw Cen MT" w:eastAsia="Times New Roman" w:hAnsi="Tw Cen MT" w:cs="Arial"/>
        <w:bCs/>
        <w:szCs w:val="24"/>
      </w:rPr>
      <w:t xml:space="preserve">The Love Alliance, </w:t>
    </w:r>
    <w:r>
      <w:rPr>
        <w:rFonts w:ascii="Tw Cen MT" w:eastAsia="Times New Roman" w:hAnsi="Tw Cen MT" w:cs="Arial"/>
        <w:bCs/>
        <w:szCs w:val="24"/>
      </w:rPr>
      <w:t xml:space="preserve">is </w:t>
    </w:r>
    <w:r w:rsidRPr="00AA59BD">
      <w:rPr>
        <w:rFonts w:ascii="Tw Cen MT" w:eastAsia="Times New Roman" w:hAnsi="Tw Cen MT" w:cs="Arial"/>
        <w:bCs/>
        <w:szCs w:val="24"/>
      </w:rPr>
      <w:t xml:space="preserve">a new five-year programme (2021-2025), is based on an unwavering commitment to protecting, promoting and fulfilling sexual and reproductive health and rights (SRHR) globally, unifying people who use drugs, sex workers and LGBTIQ+ movements, and amplifying the diversity of voices in these communities. Funded by the Dutch Ministry of Foreign Affairs, the Love Alliance brings together national thought leaders GALZ, SANPUD and Sisonke, regional </w:t>
    </w:r>
    <w:proofErr w:type="spellStart"/>
    <w:r w:rsidRPr="00AA59BD">
      <w:rPr>
        <w:rFonts w:ascii="Tw Cen MT" w:eastAsia="Times New Roman" w:hAnsi="Tw Cen MT" w:cs="Arial"/>
        <w:bCs/>
        <w:szCs w:val="24"/>
      </w:rPr>
      <w:t>grantmakers</w:t>
    </w:r>
    <w:proofErr w:type="spellEnd"/>
    <w:r w:rsidRPr="00AA59BD">
      <w:rPr>
        <w:rFonts w:ascii="Tw Cen MT" w:eastAsia="Times New Roman" w:hAnsi="Tw Cen MT" w:cs="Arial"/>
        <w:bCs/>
        <w:szCs w:val="24"/>
      </w:rPr>
      <w:t xml:space="preserve"> UHAI EASHRI, ARASA, and ISDAO, with the global network of people living with HIV (GNP+) and the Netherlands-based administrative lead </w:t>
    </w:r>
    <w:proofErr w:type="spellStart"/>
    <w:r w:rsidRPr="00AA59BD">
      <w:rPr>
        <w:rFonts w:ascii="Tw Cen MT" w:eastAsia="Times New Roman" w:hAnsi="Tw Cen MT" w:cs="Arial"/>
        <w:bCs/>
        <w:szCs w:val="24"/>
      </w:rPr>
      <w:t>Aidsfonds</w:t>
    </w:r>
    <w:proofErr w:type="spellEnd"/>
    <w:r w:rsidRPr="00AA59BD">
      <w:rPr>
        <w:rFonts w:ascii="Tw Cen MT" w:eastAsia="Times New Roman" w:hAnsi="Tw Cen MT" w:cs="Arial"/>
        <w:bCs/>
        <w:szCs w:val="24"/>
      </w:rPr>
      <w:t xml:space="preserve">. Together, </w:t>
    </w:r>
    <w:r>
      <w:rPr>
        <w:rFonts w:ascii="Tw Cen MT" w:eastAsia="Times New Roman" w:hAnsi="Tw Cen MT" w:cs="Arial"/>
        <w:bCs/>
        <w:szCs w:val="24"/>
      </w:rPr>
      <w:t>they</w:t>
    </w:r>
    <w:r w:rsidRPr="00AA59BD">
      <w:rPr>
        <w:rFonts w:ascii="Tw Cen MT" w:eastAsia="Times New Roman" w:hAnsi="Tw Cen MT" w:cs="Arial"/>
        <w:bCs/>
        <w:szCs w:val="24"/>
      </w:rPr>
      <w:t xml:space="preserve"> advocate for adequate levels of funding and for taking truly human rights-based programmes to scale. </w:t>
    </w:r>
    <w:r>
      <w:rPr>
        <w:rFonts w:ascii="Tw Cen MT" w:eastAsia="Times New Roman" w:hAnsi="Tw Cen MT" w:cs="Arial"/>
        <w:bCs/>
        <w:szCs w:val="24"/>
      </w:rPr>
      <w:t>The Love Alliance</w:t>
    </w:r>
    <w:r w:rsidRPr="00AA59BD">
      <w:rPr>
        <w:rFonts w:ascii="Tw Cen MT" w:eastAsia="Times New Roman" w:hAnsi="Tw Cen MT" w:cs="Arial"/>
        <w:bCs/>
        <w:szCs w:val="24"/>
      </w:rPr>
      <w:t xml:space="preserve"> take this opportunity to prioritise and invest in challenging the structural barriers of underfunding, criminalisation and exclusion of us in all our diversity.</w:t>
    </w:r>
  </w:p>
  <w:p w14:paraId="7314E696" w14:textId="77777777" w:rsidR="001C37A7" w:rsidRDefault="001C37A7" w:rsidP="001F150F">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8DD"/>
    <w:multiLevelType w:val="hybridMultilevel"/>
    <w:tmpl w:val="C98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E7A21"/>
    <w:multiLevelType w:val="hybridMultilevel"/>
    <w:tmpl w:val="5A7C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56D2"/>
    <w:multiLevelType w:val="hybridMultilevel"/>
    <w:tmpl w:val="E6E4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C4DDC"/>
    <w:multiLevelType w:val="hybridMultilevel"/>
    <w:tmpl w:val="A2645944"/>
    <w:lvl w:ilvl="0" w:tplc="CF6E4190">
      <w:numFmt w:val="bullet"/>
      <w:lvlText w:val="·"/>
      <w:lvlJc w:val="left"/>
      <w:pPr>
        <w:ind w:left="720" w:hanging="360"/>
      </w:pPr>
      <w:rPr>
        <w:rFonts w:ascii="Tw Cen MT" w:eastAsiaTheme="minorHAnsi" w:hAnsi="Tw Cen M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F32E02"/>
    <w:multiLevelType w:val="hybridMultilevel"/>
    <w:tmpl w:val="846C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D78F6"/>
    <w:multiLevelType w:val="hybridMultilevel"/>
    <w:tmpl w:val="A4C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C514D"/>
    <w:multiLevelType w:val="hybridMultilevel"/>
    <w:tmpl w:val="5FC4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B2649"/>
    <w:multiLevelType w:val="hybridMultilevel"/>
    <w:tmpl w:val="21FE57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7CE646F"/>
    <w:multiLevelType w:val="hybridMultilevel"/>
    <w:tmpl w:val="AA62FC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1942E5"/>
    <w:multiLevelType w:val="hybridMultilevel"/>
    <w:tmpl w:val="F1A4A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E6C3E"/>
    <w:multiLevelType w:val="hybridMultilevel"/>
    <w:tmpl w:val="C1080B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E116279"/>
    <w:multiLevelType w:val="hybridMultilevel"/>
    <w:tmpl w:val="D62E43F6"/>
    <w:lvl w:ilvl="0" w:tplc="C19AEC4C">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431B15FF"/>
    <w:multiLevelType w:val="hybridMultilevel"/>
    <w:tmpl w:val="F9B08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3950B3"/>
    <w:multiLevelType w:val="hybridMultilevel"/>
    <w:tmpl w:val="B5F8801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3772F6"/>
    <w:multiLevelType w:val="hybridMultilevel"/>
    <w:tmpl w:val="56C2B176"/>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D211EA"/>
    <w:multiLevelType w:val="hybridMultilevel"/>
    <w:tmpl w:val="D43CA96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6" w15:restartNumberingAfterBreak="0">
    <w:nsid w:val="670C1298"/>
    <w:multiLevelType w:val="hybridMultilevel"/>
    <w:tmpl w:val="0FCA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911DC"/>
    <w:multiLevelType w:val="hybridMultilevel"/>
    <w:tmpl w:val="AE8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D47B8"/>
    <w:multiLevelType w:val="hybridMultilevel"/>
    <w:tmpl w:val="2F483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5F6D4C"/>
    <w:multiLevelType w:val="hybridMultilevel"/>
    <w:tmpl w:val="A62C87EC"/>
    <w:lvl w:ilvl="0" w:tplc="717880A4">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01108"/>
    <w:multiLevelType w:val="hybridMultilevel"/>
    <w:tmpl w:val="144A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4294499">
    <w:abstractNumId w:val="4"/>
  </w:num>
  <w:num w:numId="2" w16cid:durableId="940987701">
    <w:abstractNumId w:val="0"/>
  </w:num>
  <w:num w:numId="3" w16cid:durableId="934284367">
    <w:abstractNumId w:val="2"/>
  </w:num>
  <w:num w:numId="4" w16cid:durableId="960762494">
    <w:abstractNumId w:val="18"/>
  </w:num>
  <w:num w:numId="5" w16cid:durableId="770273619">
    <w:abstractNumId w:val="20"/>
  </w:num>
  <w:num w:numId="6" w16cid:durableId="21439518">
    <w:abstractNumId w:val="12"/>
  </w:num>
  <w:num w:numId="7" w16cid:durableId="1596207017">
    <w:abstractNumId w:val="19"/>
  </w:num>
  <w:num w:numId="8" w16cid:durableId="421030412">
    <w:abstractNumId w:val="9"/>
  </w:num>
  <w:num w:numId="9" w16cid:durableId="1119684426">
    <w:abstractNumId w:val="1"/>
  </w:num>
  <w:num w:numId="10" w16cid:durableId="1047069617">
    <w:abstractNumId w:val="16"/>
  </w:num>
  <w:num w:numId="11" w16cid:durableId="283269983">
    <w:abstractNumId w:val="6"/>
  </w:num>
  <w:num w:numId="12" w16cid:durableId="1143430541">
    <w:abstractNumId w:val="5"/>
  </w:num>
  <w:num w:numId="13" w16cid:durableId="1003776988">
    <w:abstractNumId w:val="17"/>
  </w:num>
  <w:num w:numId="14" w16cid:durableId="840586931">
    <w:abstractNumId w:val="15"/>
  </w:num>
  <w:num w:numId="15" w16cid:durableId="2026443673">
    <w:abstractNumId w:val="8"/>
  </w:num>
  <w:num w:numId="16" w16cid:durableId="410851946">
    <w:abstractNumId w:val="11"/>
  </w:num>
  <w:num w:numId="17" w16cid:durableId="418331942">
    <w:abstractNumId w:val="14"/>
  </w:num>
  <w:num w:numId="18" w16cid:durableId="1865514530">
    <w:abstractNumId w:val="10"/>
  </w:num>
  <w:num w:numId="19" w16cid:durableId="583344966">
    <w:abstractNumId w:val="7"/>
  </w:num>
  <w:num w:numId="20" w16cid:durableId="1627347479">
    <w:abstractNumId w:val="13"/>
  </w:num>
  <w:num w:numId="21" w16cid:durableId="376780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1NTcyMzaxsDQ2MDVT0lEKTi0uzszPAykwqQUAdUx0FCwAAAA="/>
  </w:docVars>
  <w:rsids>
    <w:rsidRoot w:val="00D15D9C"/>
    <w:rsid w:val="000033EC"/>
    <w:rsid w:val="00003604"/>
    <w:rsid w:val="00005408"/>
    <w:rsid w:val="000146C1"/>
    <w:rsid w:val="000216E5"/>
    <w:rsid w:val="00027B44"/>
    <w:rsid w:val="0003038D"/>
    <w:rsid w:val="000374D4"/>
    <w:rsid w:val="00042DCE"/>
    <w:rsid w:val="00043928"/>
    <w:rsid w:val="00044A12"/>
    <w:rsid w:val="000475F0"/>
    <w:rsid w:val="0005479A"/>
    <w:rsid w:val="00061B61"/>
    <w:rsid w:val="00071480"/>
    <w:rsid w:val="00073396"/>
    <w:rsid w:val="0007559A"/>
    <w:rsid w:val="0008257A"/>
    <w:rsid w:val="00086C22"/>
    <w:rsid w:val="00087D0B"/>
    <w:rsid w:val="00091543"/>
    <w:rsid w:val="00096026"/>
    <w:rsid w:val="00096BE9"/>
    <w:rsid w:val="000A1558"/>
    <w:rsid w:val="000A5934"/>
    <w:rsid w:val="000A7AB0"/>
    <w:rsid w:val="000B0F59"/>
    <w:rsid w:val="000B122B"/>
    <w:rsid w:val="000B30FE"/>
    <w:rsid w:val="000B4471"/>
    <w:rsid w:val="000C2211"/>
    <w:rsid w:val="000C478C"/>
    <w:rsid w:val="000C4812"/>
    <w:rsid w:val="000C49A6"/>
    <w:rsid w:val="000D01A4"/>
    <w:rsid w:val="000D0A02"/>
    <w:rsid w:val="000D0A9E"/>
    <w:rsid w:val="000D39BD"/>
    <w:rsid w:val="000D422D"/>
    <w:rsid w:val="000D455A"/>
    <w:rsid w:val="000D4C29"/>
    <w:rsid w:val="000D52A8"/>
    <w:rsid w:val="000D7CE9"/>
    <w:rsid w:val="000E25F1"/>
    <w:rsid w:val="000E54B2"/>
    <w:rsid w:val="000E5B40"/>
    <w:rsid w:val="000F034A"/>
    <w:rsid w:val="000F13E8"/>
    <w:rsid w:val="000F39E1"/>
    <w:rsid w:val="000F4967"/>
    <w:rsid w:val="000F5F94"/>
    <w:rsid w:val="00104C90"/>
    <w:rsid w:val="00110088"/>
    <w:rsid w:val="00112D68"/>
    <w:rsid w:val="0012564C"/>
    <w:rsid w:val="00131697"/>
    <w:rsid w:val="001346A4"/>
    <w:rsid w:val="00134EE7"/>
    <w:rsid w:val="0014017E"/>
    <w:rsid w:val="00144418"/>
    <w:rsid w:val="0014577F"/>
    <w:rsid w:val="00146711"/>
    <w:rsid w:val="00151093"/>
    <w:rsid w:val="00151D43"/>
    <w:rsid w:val="00152244"/>
    <w:rsid w:val="00154CE0"/>
    <w:rsid w:val="00155B8E"/>
    <w:rsid w:val="001614C5"/>
    <w:rsid w:val="00165157"/>
    <w:rsid w:val="00165943"/>
    <w:rsid w:val="00172B7A"/>
    <w:rsid w:val="0017694C"/>
    <w:rsid w:val="001773A6"/>
    <w:rsid w:val="00180DBD"/>
    <w:rsid w:val="0018222A"/>
    <w:rsid w:val="001867F5"/>
    <w:rsid w:val="00187597"/>
    <w:rsid w:val="001A0941"/>
    <w:rsid w:val="001A1703"/>
    <w:rsid w:val="001A1B6D"/>
    <w:rsid w:val="001A24D8"/>
    <w:rsid w:val="001A7B6D"/>
    <w:rsid w:val="001B09F1"/>
    <w:rsid w:val="001B0B7B"/>
    <w:rsid w:val="001B534E"/>
    <w:rsid w:val="001C02B4"/>
    <w:rsid w:val="001C0DE6"/>
    <w:rsid w:val="001C37A7"/>
    <w:rsid w:val="001C4723"/>
    <w:rsid w:val="001C5D08"/>
    <w:rsid w:val="001D7351"/>
    <w:rsid w:val="001E227C"/>
    <w:rsid w:val="001E29C3"/>
    <w:rsid w:val="001E6FA2"/>
    <w:rsid w:val="001F0D72"/>
    <w:rsid w:val="001F150F"/>
    <w:rsid w:val="001F1A2D"/>
    <w:rsid w:val="001F309B"/>
    <w:rsid w:val="002019F2"/>
    <w:rsid w:val="00207BC3"/>
    <w:rsid w:val="00210ECC"/>
    <w:rsid w:val="00212C58"/>
    <w:rsid w:val="002150C0"/>
    <w:rsid w:val="0022150A"/>
    <w:rsid w:val="00224D44"/>
    <w:rsid w:val="00230157"/>
    <w:rsid w:val="00230230"/>
    <w:rsid w:val="00230866"/>
    <w:rsid w:val="002348F6"/>
    <w:rsid w:val="00244219"/>
    <w:rsid w:val="00254E8A"/>
    <w:rsid w:val="002561E3"/>
    <w:rsid w:val="00257B20"/>
    <w:rsid w:val="00257D3B"/>
    <w:rsid w:val="00260A4C"/>
    <w:rsid w:val="002618C7"/>
    <w:rsid w:val="0026242A"/>
    <w:rsid w:val="00266622"/>
    <w:rsid w:val="00267852"/>
    <w:rsid w:val="00270683"/>
    <w:rsid w:val="00270A64"/>
    <w:rsid w:val="00276A9A"/>
    <w:rsid w:val="0028017D"/>
    <w:rsid w:val="00283B09"/>
    <w:rsid w:val="00293A88"/>
    <w:rsid w:val="00294F5E"/>
    <w:rsid w:val="002A134C"/>
    <w:rsid w:val="002A2939"/>
    <w:rsid w:val="002A40BC"/>
    <w:rsid w:val="002A5DF5"/>
    <w:rsid w:val="002A71B2"/>
    <w:rsid w:val="002B0148"/>
    <w:rsid w:val="002B26D3"/>
    <w:rsid w:val="002B3E30"/>
    <w:rsid w:val="002C1CA4"/>
    <w:rsid w:val="002C1E43"/>
    <w:rsid w:val="002C3783"/>
    <w:rsid w:val="002C413C"/>
    <w:rsid w:val="002C5014"/>
    <w:rsid w:val="002C747F"/>
    <w:rsid w:val="002E0F32"/>
    <w:rsid w:val="002E1070"/>
    <w:rsid w:val="002F155E"/>
    <w:rsid w:val="002F1B51"/>
    <w:rsid w:val="002F2ACF"/>
    <w:rsid w:val="002F2B80"/>
    <w:rsid w:val="0030222C"/>
    <w:rsid w:val="003062B0"/>
    <w:rsid w:val="0031083C"/>
    <w:rsid w:val="00320768"/>
    <w:rsid w:val="0032613A"/>
    <w:rsid w:val="003278B5"/>
    <w:rsid w:val="00327A32"/>
    <w:rsid w:val="00331096"/>
    <w:rsid w:val="003401DC"/>
    <w:rsid w:val="00341682"/>
    <w:rsid w:val="00350891"/>
    <w:rsid w:val="00353AD9"/>
    <w:rsid w:val="00355689"/>
    <w:rsid w:val="00355FD0"/>
    <w:rsid w:val="00356F3C"/>
    <w:rsid w:val="00357941"/>
    <w:rsid w:val="00357D8B"/>
    <w:rsid w:val="00363A05"/>
    <w:rsid w:val="00364841"/>
    <w:rsid w:val="00366C2C"/>
    <w:rsid w:val="003716FB"/>
    <w:rsid w:val="00376EB1"/>
    <w:rsid w:val="00377C57"/>
    <w:rsid w:val="00382452"/>
    <w:rsid w:val="00382E1E"/>
    <w:rsid w:val="00383869"/>
    <w:rsid w:val="00384E89"/>
    <w:rsid w:val="00392B95"/>
    <w:rsid w:val="0039418E"/>
    <w:rsid w:val="003A5A1D"/>
    <w:rsid w:val="003B0102"/>
    <w:rsid w:val="003C2513"/>
    <w:rsid w:val="003C77E5"/>
    <w:rsid w:val="003D0525"/>
    <w:rsid w:val="003D105B"/>
    <w:rsid w:val="003D1D64"/>
    <w:rsid w:val="003D2830"/>
    <w:rsid w:val="003D34C5"/>
    <w:rsid w:val="003D50C6"/>
    <w:rsid w:val="003D7200"/>
    <w:rsid w:val="003E322E"/>
    <w:rsid w:val="003F00FB"/>
    <w:rsid w:val="003F14D1"/>
    <w:rsid w:val="003F1B5E"/>
    <w:rsid w:val="003F2784"/>
    <w:rsid w:val="0040594C"/>
    <w:rsid w:val="004140DA"/>
    <w:rsid w:val="00416D56"/>
    <w:rsid w:val="0041782C"/>
    <w:rsid w:val="00420882"/>
    <w:rsid w:val="004233A0"/>
    <w:rsid w:val="004236AE"/>
    <w:rsid w:val="004253FE"/>
    <w:rsid w:val="00427B2E"/>
    <w:rsid w:val="00432638"/>
    <w:rsid w:val="0044448C"/>
    <w:rsid w:val="0045318A"/>
    <w:rsid w:val="004550E6"/>
    <w:rsid w:val="00456ACA"/>
    <w:rsid w:val="00471013"/>
    <w:rsid w:val="00471C6A"/>
    <w:rsid w:val="00471D86"/>
    <w:rsid w:val="00475007"/>
    <w:rsid w:val="004770AE"/>
    <w:rsid w:val="0047785D"/>
    <w:rsid w:val="004779DD"/>
    <w:rsid w:val="00486C3E"/>
    <w:rsid w:val="00490EDB"/>
    <w:rsid w:val="00492095"/>
    <w:rsid w:val="004955B5"/>
    <w:rsid w:val="004959DB"/>
    <w:rsid w:val="00496C13"/>
    <w:rsid w:val="004A20AB"/>
    <w:rsid w:val="004B1819"/>
    <w:rsid w:val="004B449E"/>
    <w:rsid w:val="004B625B"/>
    <w:rsid w:val="004C0D41"/>
    <w:rsid w:val="004D2E53"/>
    <w:rsid w:val="004D79F6"/>
    <w:rsid w:val="004E11FA"/>
    <w:rsid w:val="004E3DC4"/>
    <w:rsid w:val="004E4D3A"/>
    <w:rsid w:val="004E61D5"/>
    <w:rsid w:val="004F3BA9"/>
    <w:rsid w:val="004F53D7"/>
    <w:rsid w:val="004F6E8F"/>
    <w:rsid w:val="005047A7"/>
    <w:rsid w:val="00505143"/>
    <w:rsid w:val="00512B23"/>
    <w:rsid w:val="00513482"/>
    <w:rsid w:val="005154D9"/>
    <w:rsid w:val="005175D3"/>
    <w:rsid w:val="005179F9"/>
    <w:rsid w:val="00522379"/>
    <w:rsid w:val="00524807"/>
    <w:rsid w:val="00526643"/>
    <w:rsid w:val="00527205"/>
    <w:rsid w:val="00527A79"/>
    <w:rsid w:val="005328E4"/>
    <w:rsid w:val="00532DE3"/>
    <w:rsid w:val="00534BBB"/>
    <w:rsid w:val="00540E66"/>
    <w:rsid w:val="005419BD"/>
    <w:rsid w:val="00544B62"/>
    <w:rsid w:val="00554689"/>
    <w:rsid w:val="00555A33"/>
    <w:rsid w:val="00557C76"/>
    <w:rsid w:val="005603F2"/>
    <w:rsid w:val="00562694"/>
    <w:rsid w:val="00575933"/>
    <w:rsid w:val="00576523"/>
    <w:rsid w:val="005837BB"/>
    <w:rsid w:val="0058391A"/>
    <w:rsid w:val="00591987"/>
    <w:rsid w:val="00593633"/>
    <w:rsid w:val="00596402"/>
    <w:rsid w:val="005A4C13"/>
    <w:rsid w:val="005A7CE9"/>
    <w:rsid w:val="005B1748"/>
    <w:rsid w:val="005C3F10"/>
    <w:rsid w:val="005C4070"/>
    <w:rsid w:val="005C6B87"/>
    <w:rsid w:val="005C7640"/>
    <w:rsid w:val="005D07D0"/>
    <w:rsid w:val="005D3ECC"/>
    <w:rsid w:val="005D52FD"/>
    <w:rsid w:val="005D61B8"/>
    <w:rsid w:val="005E6954"/>
    <w:rsid w:val="00601951"/>
    <w:rsid w:val="006066A4"/>
    <w:rsid w:val="00610607"/>
    <w:rsid w:val="00616AD3"/>
    <w:rsid w:val="00616FF3"/>
    <w:rsid w:val="0061713D"/>
    <w:rsid w:val="00623588"/>
    <w:rsid w:val="00623733"/>
    <w:rsid w:val="00626818"/>
    <w:rsid w:val="00634F18"/>
    <w:rsid w:val="00640F08"/>
    <w:rsid w:val="006413DA"/>
    <w:rsid w:val="006414F5"/>
    <w:rsid w:val="006430EA"/>
    <w:rsid w:val="006508E1"/>
    <w:rsid w:val="00656A8D"/>
    <w:rsid w:val="006572BA"/>
    <w:rsid w:val="0067450D"/>
    <w:rsid w:val="00675993"/>
    <w:rsid w:val="00675BAA"/>
    <w:rsid w:val="00691425"/>
    <w:rsid w:val="00693D22"/>
    <w:rsid w:val="00697AD4"/>
    <w:rsid w:val="006A0A65"/>
    <w:rsid w:val="006A5A28"/>
    <w:rsid w:val="006A707A"/>
    <w:rsid w:val="006B0A9C"/>
    <w:rsid w:val="006B7654"/>
    <w:rsid w:val="006C2B34"/>
    <w:rsid w:val="006C3103"/>
    <w:rsid w:val="006C40ED"/>
    <w:rsid w:val="006D0D5A"/>
    <w:rsid w:val="006D2593"/>
    <w:rsid w:val="006D4998"/>
    <w:rsid w:val="006D58E8"/>
    <w:rsid w:val="006E6266"/>
    <w:rsid w:val="006F150D"/>
    <w:rsid w:val="00710841"/>
    <w:rsid w:val="007133EC"/>
    <w:rsid w:val="00717460"/>
    <w:rsid w:val="00720ADD"/>
    <w:rsid w:val="00723035"/>
    <w:rsid w:val="00724013"/>
    <w:rsid w:val="00734281"/>
    <w:rsid w:val="00743BFF"/>
    <w:rsid w:val="007453E5"/>
    <w:rsid w:val="007502F4"/>
    <w:rsid w:val="00750E65"/>
    <w:rsid w:val="00751544"/>
    <w:rsid w:val="00751B49"/>
    <w:rsid w:val="00751CDC"/>
    <w:rsid w:val="0076658C"/>
    <w:rsid w:val="007676F6"/>
    <w:rsid w:val="00772CCC"/>
    <w:rsid w:val="007743A6"/>
    <w:rsid w:val="00776234"/>
    <w:rsid w:val="00776A5F"/>
    <w:rsid w:val="0078225E"/>
    <w:rsid w:val="00785BBD"/>
    <w:rsid w:val="00786CA8"/>
    <w:rsid w:val="007870B5"/>
    <w:rsid w:val="00793AC0"/>
    <w:rsid w:val="00796BE5"/>
    <w:rsid w:val="007A7140"/>
    <w:rsid w:val="007B1717"/>
    <w:rsid w:val="007B32F4"/>
    <w:rsid w:val="007C74DD"/>
    <w:rsid w:val="007C7533"/>
    <w:rsid w:val="007D4D3D"/>
    <w:rsid w:val="007E01EF"/>
    <w:rsid w:val="007E0D88"/>
    <w:rsid w:val="007E3567"/>
    <w:rsid w:val="007E3D78"/>
    <w:rsid w:val="007E734A"/>
    <w:rsid w:val="007F0977"/>
    <w:rsid w:val="007F593A"/>
    <w:rsid w:val="007F5974"/>
    <w:rsid w:val="008000D8"/>
    <w:rsid w:val="00801AD6"/>
    <w:rsid w:val="00804041"/>
    <w:rsid w:val="00805DB3"/>
    <w:rsid w:val="008066FD"/>
    <w:rsid w:val="00806977"/>
    <w:rsid w:val="00815D7A"/>
    <w:rsid w:val="00821FC0"/>
    <w:rsid w:val="00822A0D"/>
    <w:rsid w:val="008231B0"/>
    <w:rsid w:val="0082388B"/>
    <w:rsid w:val="008262E2"/>
    <w:rsid w:val="0083169C"/>
    <w:rsid w:val="0083552A"/>
    <w:rsid w:val="00835B9A"/>
    <w:rsid w:val="0083681A"/>
    <w:rsid w:val="00843005"/>
    <w:rsid w:val="00846B65"/>
    <w:rsid w:val="00847F9B"/>
    <w:rsid w:val="008537ED"/>
    <w:rsid w:val="00854013"/>
    <w:rsid w:val="008647CD"/>
    <w:rsid w:val="008701D6"/>
    <w:rsid w:val="008776AF"/>
    <w:rsid w:val="00883C33"/>
    <w:rsid w:val="00892F12"/>
    <w:rsid w:val="00893AE6"/>
    <w:rsid w:val="008A16AD"/>
    <w:rsid w:val="008A441A"/>
    <w:rsid w:val="008A4771"/>
    <w:rsid w:val="008A7E45"/>
    <w:rsid w:val="008B0A12"/>
    <w:rsid w:val="008C27C8"/>
    <w:rsid w:val="008D4AAD"/>
    <w:rsid w:val="008D5661"/>
    <w:rsid w:val="008E12E8"/>
    <w:rsid w:val="008E7CD9"/>
    <w:rsid w:val="008F1017"/>
    <w:rsid w:val="008F461D"/>
    <w:rsid w:val="008F4E29"/>
    <w:rsid w:val="008F68E7"/>
    <w:rsid w:val="008F7907"/>
    <w:rsid w:val="008F7ABD"/>
    <w:rsid w:val="008F7D8C"/>
    <w:rsid w:val="00901DBC"/>
    <w:rsid w:val="00903326"/>
    <w:rsid w:val="009049D8"/>
    <w:rsid w:val="009054CB"/>
    <w:rsid w:val="00905D7D"/>
    <w:rsid w:val="00906A52"/>
    <w:rsid w:val="00925637"/>
    <w:rsid w:val="00927EF8"/>
    <w:rsid w:val="00930A43"/>
    <w:rsid w:val="00932663"/>
    <w:rsid w:val="009335CA"/>
    <w:rsid w:val="00936603"/>
    <w:rsid w:val="00936F0E"/>
    <w:rsid w:val="00937F8C"/>
    <w:rsid w:val="009436A5"/>
    <w:rsid w:val="009440D5"/>
    <w:rsid w:val="00946A7F"/>
    <w:rsid w:val="0095132C"/>
    <w:rsid w:val="00953EBD"/>
    <w:rsid w:val="00955726"/>
    <w:rsid w:val="009558A9"/>
    <w:rsid w:val="00962FD6"/>
    <w:rsid w:val="00966DB4"/>
    <w:rsid w:val="0096784A"/>
    <w:rsid w:val="00972E61"/>
    <w:rsid w:val="009752F3"/>
    <w:rsid w:val="00977B63"/>
    <w:rsid w:val="00994810"/>
    <w:rsid w:val="00994F09"/>
    <w:rsid w:val="009A0CAA"/>
    <w:rsid w:val="009B2CA7"/>
    <w:rsid w:val="009B587B"/>
    <w:rsid w:val="009C03AF"/>
    <w:rsid w:val="009C0785"/>
    <w:rsid w:val="009C5282"/>
    <w:rsid w:val="009C554E"/>
    <w:rsid w:val="009C7D25"/>
    <w:rsid w:val="009D15E6"/>
    <w:rsid w:val="009D733B"/>
    <w:rsid w:val="009D7658"/>
    <w:rsid w:val="009E149C"/>
    <w:rsid w:val="009E77B7"/>
    <w:rsid w:val="009F0785"/>
    <w:rsid w:val="009F52EF"/>
    <w:rsid w:val="00A022AD"/>
    <w:rsid w:val="00A14FEC"/>
    <w:rsid w:val="00A376C0"/>
    <w:rsid w:val="00A435E2"/>
    <w:rsid w:val="00A51759"/>
    <w:rsid w:val="00A600EC"/>
    <w:rsid w:val="00A65027"/>
    <w:rsid w:val="00A6555B"/>
    <w:rsid w:val="00A66A3F"/>
    <w:rsid w:val="00A739A3"/>
    <w:rsid w:val="00A7406E"/>
    <w:rsid w:val="00A91C1F"/>
    <w:rsid w:val="00A91FD3"/>
    <w:rsid w:val="00A92922"/>
    <w:rsid w:val="00A94E68"/>
    <w:rsid w:val="00AA0E00"/>
    <w:rsid w:val="00AA59BD"/>
    <w:rsid w:val="00AA606C"/>
    <w:rsid w:val="00AA62FE"/>
    <w:rsid w:val="00AA7DF4"/>
    <w:rsid w:val="00AB0528"/>
    <w:rsid w:val="00AB4576"/>
    <w:rsid w:val="00AB6764"/>
    <w:rsid w:val="00AB6814"/>
    <w:rsid w:val="00AC20A8"/>
    <w:rsid w:val="00AC6B15"/>
    <w:rsid w:val="00AD384B"/>
    <w:rsid w:val="00AD4AAB"/>
    <w:rsid w:val="00AE3CE4"/>
    <w:rsid w:val="00AE4056"/>
    <w:rsid w:val="00AF68CB"/>
    <w:rsid w:val="00B01519"/>
    <w:rsid w:val="00B01695"/>
    <w:rsid w:val="00B10040"/>
    <w:rsid w:val="00B13F5A"/>
    <w:rsid w:val="00B1435F"/>
    <w:rsid w:val="00B222D4"/>
    <w:rsid w:val="00B2577E"/>
    <w:rsid w:val="00B27816"/>
    <w:rsid w:val="00B34A7D"/>
    <w:rsid w:val="00B37817"/>
    <w:rsid w:val="00B51A97"/>
    <w:rsid w:val="00B53080"/>
    <w:rsid w:val="00B65696"/>
    <w:rsid w:val="00B65FA7"/>
    <w:rsid w:val="00B7089E"/>
    <w:rsid w:val="00B71214"/>
    <w:rsid w:val="00B74CF5"/>
    <w:rsid w:val="00B760F4"/>
    <w:rsid w:val="00B809C0"/>
    <w:rsid w:val="00B8147E"/>
    <w:rsid w:val="00B82800"/>
    <w:rsid w:val="00B83BC3"/>
    <w:rsid w:val="00B848A2"/>
    <w:rsid w:val="00B91D15"/>
    <w:rsid w:val="00B937E0"/>
    <w:rsid w:val="00BB4245"/>
    <w:rsid w:val="00BC1706"/>
    <w:rsid w:val="00BC21E8"/>
    <w:rsid w:val="00BC3207"/>
    <w:rsid w:val="00BC352D"/>
    <w:rsid w:val="00BC7B0D"/>
    <w:rsid w:val="00BC7FF0"/>
    <w:rsid w:val="00BD0710"/>
    <w:rsid w:val="00BD0DF5"/>
    <w:rsid w:val="00BD36BE"/>
    <w:rsid w:val="00BD4665"/>
    <w:rsid w:val="00BE0022"/>
    <w:rsid w:val="00BE27F4"/>
    <w:rsid w:val="00BF01FC"/>
    <w:rsid w:val="00BF26E2"/>
    <w:rsid w:val="00BF6C0C"/>
    <w:rsid w:val="00C04FB2"/>
    <w:rsid w:val="00C05510"/>
    <w:rsid w:val="00C0587F"/>
    <w:rsid w:val="00C063DD"/>
    <w:rsid w:val="00C07164"/>
    <w:rsid w:val="00C16B00"/>
    <w:rsid w:val="00C2507F"/>
    <w:rsid w:val="00C25B18"/>
    <w:rsid w:val="00C26FAD"/>
    <w:rsid w:val="00C3168E"/>
    <w:rsid w:val="00C32B29"/>
    <w:rsid w:val="00C32C8D"/>
    <w:rsid w:val="00C41256"/>
    <w:rsid w:val="00C44B89"/>
    <w:rsid w:val="00C46794"/>
    <w:rsid w:val="00C46E79"/>
    <w:rsid w:val="00C52C05"/>
    <w:rsid w:val="00C55BAF"/>
    <w:rsid w:val="00C61174"/>
    <w:rsid w:val="00C61365"/>
    <w:rsid w:val="00C61F42"/>
    <w:rsid w:val="00C6263F"/>
    <w:rsid w:val="00C671AF"/>
    <w:rsid w:val="00C678BF"/>
    <w:rsid w:val="00C71755"/>
    <w:rsid w:val="00C7296D"/>
    <w:rsid w:val="00C80DCB"/>
    <w:rsid w:val="00C828D7"/>
    <w:rsid w:val="00C830FF"/>
    <w:rsid w:val="00C92E85"/>
    <w:rsid w:val="00C97939"/>
    <w:rsid w:val="00CA66ED"/>
    <w:rsid w:val="00CA6E5D"/>
    <w:rsid w:val="00CB2E36"/>
    <w:rsid w:val="00CC1EF8"/>
    <w:rsid w:val="00CC5E1E"/>
    <w:rsid w:val="00CD3C93"/>
    <w:rsid w:val="00CE255D"/>
    <w:rsid w:val="00CE4FAA"/>
    <w:rsid w:val="00CE7600"/>
    <w:rsid w:val="00CE78F6"/>
    <w:rsid w:val="00CF173A"/>
    <w:rsid w:val="00CF6FC2"/>
    <w:rsid w:val="00CF7D0F"/>
    <w:rsid w:val="00D01888"/>
    <w:rsid w:val="00D03FAC"/>
    <w:rsid w:val="00D125EA"/>
    <w:rsid w:val="00D15D9C"/>
    <w:rsid w:val="00D16169"/>
    <w:rsid w:val="00D163F8"/>
    <w:rsid w:val="00D21B64"/>
    <w:rsid w:val="00D2229F"/>
    <w:rsid w:val="00D25C42"/>
    <w:rsid w:val="00D3381D"/>
    <w:rsid w:val="00D36944"/>
    <w:rsid w:val="00D42EFF"/>
    <w:rsid w:val="00D43F01"/>
    <w:rsid w:val="00D469B3"/>
    <w:rsid w:val="00D55064"/>
    <w:rsid w:val="00D568C2"/>
    <w:rsid w:val="00D61534"/>
    <w:rsid w:val="00D644EA"/>
    <w:rsid w:val="00D67056"/>
    <w:rsid w:val="00D74280"/>
    <w:rsid w:val="00D76AB1"/>
    <w:rsid w:val="00D91714"/>
    <w:rsid w:val="00D931CA"/>
    <w:rsid w:val="00D936D4"/>
    <w:rsid w:val="00D9748F"/>
    <w:rsid w:val="00DA3D11"/>
    <w:rsid w:val="00DA7E6E"/>
    <w:rsid w:val="00DC002B"/>
    <w:rsid w:val="00DC5F31"/>
    <w:rsid w:val="00DD6902"/>
    <w:rsid w:val="00DE58A8"/>
    <w:rsid w:val="00DE6E8C"/>
    <w:rsid w:val="00DF2E33"/>
    <w:rsid w:val="00DF4578"/>
    <w:rsid w:val="00DF4C09"/>
    <w:rsid w:val="00DF5E66"/>
    <w:rsid w:val="00DF7EBD"/>
    <w:rsid w:val="00E00334"/>
    <w:rsid w:val="00E0246C"/>
    <w:rsid w:val="00E02505"/>
    <w:rsid w:val="00E062E5"/>
    <w:rsid w:val="00E11AD6"/>
    <w:rsid w:val="00E14313"/>
    <w:rsid w:val="00E247F9"/>
    <w:rsid w:val="00E25EBC"/>
    <w:rsid w:val="00E26B24"/>
    <w:rsid w:val="00E30969"/>
    <w:rsid w:val="00E34F4B"/>
    <w:rsid w:val="00E43ED7"/>
    <w:rsid w:val="00E50B95"/>
    <w:rsid w:val="00E5437B"/>
    <w:rsid w:val="00E65B63"/>
    <w:rsid w:val="00E77FBC"/>
    <w:rsid w:val="00E80E90"/>
    <w:rsid w:val="00E81E0B"/>
    <w:rsid w:val="00E82E8D"/>
    <w:rsid w:val="00E84EA7"/>
    <w:rsid w:val="00E91DEA"/>
    <w:rsid w:val="00E941CF"/>
    <w:rsid w:val="00E95F93"/>
    <w:rsid w:val="00E967BF"/>
    <w:rsid w:val="00E96CDB"/>
    <w:rsid w:val="00EA61CA"/>
    <w:rsid w:val="00EA7F57"/>
    <w:rsid w:val="00EC0DE4"/>
    <w:rsid w:val="00EC339C"/>
    <w:rsid w:val="00EC4E3A"/>
    <w:rsid w:val="00EC716E"/>
    <w:rsid w:val="00EC7B9F"/>
    <w:rsid w:val="00ED241C"/>
    <w:rsid w:val="00EE376D"/>
    <w:rsid w:val="00EE3851"/>
    <w:rsid w:val="00EE3985"/>
    <w:rsid w:val="00EE7A16"/>
    <w:rsid w:val="00EF2C43"/>
    <w:rsid w:val="00EF4FF4"/>
    <w:rsid w:val="00EF65B8"/>
    <w:rsid w:val="00F040AC"/>
    <w:rsid w:val="00F0561F"/>
    <w:rsid w:val="00F105CD"/>
    <w:rsid w:val="00F114E1"/>
    <w:rsid w:val="00F128D5"/>
    <w:rsid w:val="00F14969"/>
    <w:rsid w:val="00F21B30"/>
    <w:rsid w:val="00F22B29"/>
    <w:rsid w:val="00F243DB"/>
    <w:rsid w:val="00F2466F"/>
    <w:rsid w:val="00F320CE"/>
    <w:rsid w:val="00F32FDC"/>
    <w:rsid w:val="00F3495B"/>
    <w:rsid w:val="00F37213"/>
    <w:rsid w:val="00F37E08"/>
    <w:rsid w:val="00F40E2C"/>
    <w:rsid w:val="00F43CEE"/>
    <w:rsid w:val="00F45A8C"/>
    <w:rsid w:val="00F5510E"/>
    <w:rsid w:val="00F56835"/>
    <w:rsid w:val="00F57D78"/>
    <w:rsid w:val="00F60AB6"/>
    <w:rsid w:val="00F63766"/>
    <w:rsid w:val="00F716F8"/>
    <w:rsid w:val="00F730AD"/>
    <w:rsid w:val="00F86DF8"/>
    <w:rsid w:val="00F9442A"/>
    <w:rsid w:val="00F96EE2"/>
    <w:rsid w:val="00F97310"/>
    <w:rsid w:val="00FA0DC2"/>
    <w:rsid w:val="00FA4498"/>
    <w:rsid w:val="00FB0B65"/>
    <w:rsid w:val="00FB74AD"/>
    <w:rsid w:val="00FC19F7"/>
    <w:rsid w:val="00FC3BC8"/>
    <w:rsid w:val="00FC5C5E"/>
    <w:rsid w:val="00FD0C87"/>
    <w:rsid w:val="00FD4EC7"/>
    <w:rsid w:val="00FD66BA"/>
    <w:rsid w:val="00FE0BCF"/>
    <w:rsid w:val="00FF7BB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F45DB"/>
  <w15:chartTrackingRefBased/>
  <w15:docId w15:val="{84975B4F-DA7A-4977-B7C9-4066A6CA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1"/>
    <w:next w:val="Normal1"/>
    <w:link w:val="Heading1Char"/>
    <w:qFormat/>
    <w:rsid w:val="00B71214"/>
    <w:pPr>
      <w:spacing w:before="200"/>
      <w:outlineLvl w:val="0"/>
    </w:pPr>
    <w:rPr>
      <w:rFonts w:ascii="Trebuchet MS" w:eastAsia="Trebuchet MS" w:hAnsi="Trebuchet MS" w:cs="Trebuchet MS"/>
      <w:sz w:val="32"/>
    </w:rPr>
  </w:style>
  <w:style w:type="paragraph" w:styleId="Heading2">
    <w:name w:val="heading 2"/>
    <w:basedOn w:val="Normal"/>
    <w:next w:val="Normal"/>
    <w:link w:val="Heading2Char"/>
    <w:uiPriority w:val="9"/>
    <w:semiHidden/>
    <w:unhideWhenUsed/>
    <w:qFormat/>
    <w:rsid w:val="000146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after="120" w:line="360" w:lineRule="auto"/>
    </w:pPr>
    <w:rPr>
      <w:rFonts w:ascii="Caecilia LT Roman" w:hAnsi="Caecilia LT Roman"/>
      <w:color w:val="000000"/>
      <w:sz w:val="22"/>
    </w:rPr>
  </w:style>
  <w:style w:type="paragraph" w:customStyle="1" w:styleId="BodyText1">
    <w:name w:val="Body Text1"/>
    <w:basedOn w:val="Normal"/>
    <w:pPr>
      <w:spacing w:after="120"/>
    </w:pPr>
    <w:rPr>
      <w:rFonts w:ascii="Arial" w:hAnsi="Arial"/>
      <w:sz w:val="22"/>
    </w:rPr>
  </w:style>
  <w:style w:type="paragraph" w:customStyle="1" w:styleId="LetterSubject">
    <w:name w:val="Letter Subject"/>
    <w:basedOn w:val="Normal"/>
    <w:pPr>
      <w:spacing w:after="120"/>
    </w:pPr>
    <w:rPr>
      <w:rFonts w:ascii="Arial" w:hAnsi="Arial"/>
      <w:b/>
      <w:caps/>
      <w:sz w:val="22"/>
    </w:rPr>
  </w:style>
  <w:style w:type="paragraph" w:customStyle="1" w:styleId="Addressdetails">
    <w:name w:val="Address details"/>
    <w:basedOn w:val="BodyText1"/>
    <w:pPr>
      <w:spacing w:after="0"/>
    </w:pPr>
  </w:style>
  <w:style w:type="character" w:styleId="Hyperlink">
    <w:name w:val="Hyperlink"/>
    <w:autoRedefine/>
    <w:semiHidden/>
    <w:rPr>
      <w:color w:val="0000FE"/>
      <w:sz w:val="20"/>
      <w:u w:val="single"/>
    </w:rPr>
  </w:style>
  <w:style w:type="paragraph" w:customStyle="1" w:styleId="Statementbody">
    <w:name w:val="* Statement body"/>
    <w:basedOn w:val="Normal"/>
    <w:pPr>
      <w:spacing w:after="120" w:line="360" w:lineRule="auto"/>
    </w:pPr>
    <w:rPr>
      <w:rFonts w:ascii="Caecilia LT Std Roman" w:hAnsi="Caecilia LT Std Roman"/>
      <w:color w:val="000000"/>
      <w:sz w:val="22"/>
    </w:rPr>
  </w:style>
  <w:style w:type="paragraph" w:customStyle="1" w:styleId="Statementtype">
    <w:name w:val="* Statement type"/>
    <w:basedOn w:val="Statementbody"/>
    <w:rPr>
      <w:b/>
      <w:caps/>
      <w:sz w:val="40"/>
    </w:rPr>
  </w:style>
  <w:style w:type="paragraph" w:customStyle="1" w:styleId="Statementtitle">
    <w:name w:val="* Statement title"/>
    <w:basedOn w:val="Statementbody"/>
    <w:pPr>
      <w:spacing w:line="240" w:lineRule="auto"/>
    </w:pPr>
    <w:rPr>
      <w:rFonts w:ascii="Caecilia LT Std Light" w:hAnsi="Caecilia LT Std Light"/>
      <w:b/>
      <w:color w:val="FF0000"/>
      <w:sz w:val="60"/>
    </w:rPr>
  </w:style>
  <w:style w:type="character" w:customStyle="1" w:styleId="StatementBodyItalics">
    <w:name w:val="* Statement Body Italics"/>
    <w:rPr>
      <w:rFonts w:ascii="Caecilia LT Std Roman" w:hAnsi="Caecilia LT Std Roman"/>
      <w:i/>
    </w:rPr>
  </w:style>
  <w:style w:type="character" w:customStyle="1" w:styleId="DigestLinks">
    <w:name w:val="Digest Links"/>
    <w:rPr>
      <w:rFonts w:ascii="Caecilia LT Std Roman" w:hAnsi="Caecilia LT Std Roman"/>
      <w:b/>
      <w:i/>
      <w:noProof w:val="0"/>
      <w:color w:val="000000"/>
      <w:position w:val="0"/>
      <w:u w:val="single" w:color="999999"/>
      <w:lang w:val="en" w:eastAsia="en-GB"/>
    </w:rPr>
  </w:style>
  <w:style w:type="character" w:customStyle="1" w:styleId="Statementbodylinks">
    <w:name w:val="* Statement body links"/>
    <w:rPr>
      <w:u w:val="single" w:color="808080"/>
    </w:rPr>
  </w:style>
  <w:style w:type="character" w:styleId="FollowedHyperlink">
    <w:name w:val="FollowedHyperlink"/>
    <w:semiHidden/>
    <w:rPr>
      <w:color w:val="800080"/>
      <w:u w:val="single"/>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MinionPro-Regular" w:eastAsia="Times New Roman" w:hAnsi="MinionPro-Regular"/>
      <w:color w:val="000000"/>
    </w:rPr>
  </w:style>
  <w:style w:type="character" w:styleId="PageNumber">
    <w:name w:val="page number"/>
    <w:basedOn w:val="DefaultParagraphFont"/>
    <w:semiHidden/>
  </w:style>
  <w:style w:type="character" w:customStyle="1" w:styleId="Heading1Char">
    <w:name w:val="Heading 1 Char"/>
    <w:link w:val="Heading1"/>
    <w:rsid w:val="00B71214"/>
    <w:rPr>
      <w:rFonts w:ascii="Trebuchet MS" w:eastAsia="Trebuchet MS" w:hAnsi="Trebuchet MS" w:cs="Trebuchet MS"/>
      <w:color w:val="000000"/>
      <w:sz w:val="32"/>
      <w:szCs w:val="28"/>
      <w:lang w:val="en-US" w:eastAsia="en-US" w:bidi="th-TH"/>
    </w:rPr>
  </w:style>
  <w:style w:type="paragraph" w:customStyle="1" w:styleId="Normal1">
    <w:name w:val="Normal1"/>
    <w:rsid w:val="00B71214"/>
    <w:pPr>
      <w:spacing w:line="276" w:lineRule="auto"/>
    </w:pPr>
    <w:rPr>
      <w:rFonts w:ascii="Arial" w:eastAsia="Arial" w:hAnsi="Arial" w:cs="Arial"/>
      <w:color w:val="000000"/>
      <w:sz w:val="22"/>
      <w:szCs w:val="28"/>
      <w:lang w:val="en-US" w:eastAsia="en-US" w:bidi="th-TH"/>
    </w:rPr>
  </w:style>
  <w:style w:type="character" w:styleId="CommentReference">
    <w:name w:val="annotation reference"/>
    <w:uiPriority w:val="99"/>
    <w:semiHidden/>
    <w:unhideWhenUsed/>
    <w:rsid w:val="002618C7"/>
    <w:rPr>
      <w:sz w:val="16"/>
      <w:szCs w:val="16"/>
    </w:rPr>
  </w:style>
  <w:style w:type="paragraph" w:styleId="CommentText">
    <w:name w:val="annotation text"/>
    <w:basedOn w:val="Normal"/>
    <w:link w:val="CommentTextChar"/>
    <w:uiPriority w:val="99"/>
    <w:unhideWhenUsed/>
    <w:rsid w:val="002618C7"/>
    <w:rPr>
      <w:sz w:val="20"/>
      <w:lang w:eastAsia="en-US"/>
    </w:rPr>
  </w:style>
  <w:style w:type="character" w:customStyle="1" w:styleId="CommentTextChar">
    <w:name w:val="Comment Text Char"/>
    <w:link w:val="CommentText"/>
    <w:uiPriority w:val="99"/>
    <w:rsid w:val="002618C7"/>
    <w:rPr>
      <w:lang w:eastAsia="en-US"/>
    </w:rPr>
  </w:style>
  <w:style w:type="paragraph" w:styleId="ListParagraph">
    <w:name w:val="List Paragraph"/>
    <w:basedOn w:val="Normal"/>
    <w:uiPriority w:val="34"/>
    <w:qFormat/>
    <w:rsid w:val="002618C7"/>
    <w:pPr>
      <w:spacing w:after="160" w:line="256" w:lineRule="auto"/>
      <w:ind w:left="720"/>
      <w:contextualSpacing/>
    </w:pPr>
    <w:rPr>
      <w:rFonts w:ascii="Calibri" w:eastAsia="SimSun" w:hAnsi="Calibri"/>
      <w:sz w:val="22"/>
      <w:szCs w:val="22"/>
      <w:lang w:val="en-US" w:eastAsia="zh-CN"/>
    </w:rPr>
  </w:style>
  <w:style w:type="paragraph" w:styleId="FootnoteText">
    <w:name w:val="footnote text"/>
    <w:basedOn w:val="Normal"/>
    <w:link w:val="FootnoteTextChar"/>
    <w:uiPriority w:val="99"/>
    <w:unhideWhenUsed/>
    <w:rsid w:val="002618C7"/>
    <w:rPr>
      <w:sz w:val="20"/>
      <w:lang w:eastAsia="en-US"/>
    </w:rPr>
  </w:style>
  <w:style w:type="character" w:customStyle="1" w:styleId="FootnoteTextChar">
    <w:name w:val="Footnote Text Char"/>
    <w:link w:val="FootnoteText"/>
    <w:uiPriority w:val="99"/>
    <w:rsid w:val="002618C7"/>
    <w:rPr>
      <w:lang w:eastAsia="en-US"/>
    </w:rPr>
  </w:style>
  <w:style w:type="character" w:styleId="FootnoteReference">
    <w:name w:val="footnote reference"/>
    <w:uiPriority w:val="99"/>
    <w:unhideWhenUsed/>
    <w:rsid w:val="002618C7"/>
    <w:rPr>
      <w:vertAlign w:val="superscript"/>
    </w:rPr>
  </w:style>
  <w:style w:type="paragraph" w:styleId="BalloonText">
    <w:name w:val="Balloon Text"/>
    <w:basedOn w:val="Normal"/>
    <w:link w:val="BalloonTextChar"/>
    <w:uiPriority w:val="99"/>
    <w:semiHidden/>
    <w:unhideWhenUsed/>
    <w:rsid w:val="002618C7"/>
    <w:rPr>
      <w:rFonts w:ascii="Segoe UI" w:hAnsi="Segoe UI" w:cs="Segoe UI"/>
      <w:sz w:val="18"/>
      <w:szCs w:val="18"/>
    </w:rPr>
  </w:style>
  <w:style w:type="character" w:customStyle="1" w:styleId="BalloonTextChar">
    <w:name w:val="Balloon Text Char"/>
    <w:link w:val="BalloonText"/>
    <w:uiPriority w:val="99"/>
    <w:semiHidden/>
    <w:rsid w:val="002618C7"/>
    <w:rPr>
      <w:rFonts w:ascii="Segoe UI" w:hAnsi="Segoe UI" w:cs="Segoe UI"/>
      <w:sz w:val="18"/>
      <w:szCs w:val="18"/>
    </w:rPr>
  </w:style>
  <w:style w:type="paragraph" w:styleId="NormalWeb">
    <w:name w:val="Normal (Web)"/>
    <w:basedOn w:val="Normal"/>
    <w:uiPriority w:val="99"/>
    <w:unhideWhenUsed/>
    <w:rsid w:val="00E34F4B"/>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776234"/>
    <w:rPr>
      <w:color w:val="605E5C"/>
      <w:shd w:val="clear" w:color="auto" w:fill="E1DFDD"/>
    </w:rPr>
  </w:style>
  <w:style w:type="character" w:styleId="Emphasis">
    <w:name w:val="Emphasis"/>
    <w:uiPriority w:val="20"/>
    <w:qFormat/>
    <w:rsid w:val="000F034A"/>
    <w:rPr>
      <w:i/>
      <w:iCs/>
    </w:rPr>
  </w:style>
  <w:style w:type="paragraph" w:styleId="NoSpacing">
    <w:name w:val="No Spacing"/>
    <w:uiPriority w:val="1"/>
    <w:qFormat/>
    <w:rsid w:val="00144418"/>
    <w:rPr>
      <w:sz w:val="24"/>
    </w:rPr>
  </w:style>
  <w:style w:type="paragraph" w:styleId="CommentSubject">
    <w:name w:val="annotation subject"/>
    <w:basedOn w:val="CommentText"/>
    <w:next w:val="CommentText"/>
    <w:link w:val="CommentSubjectChar"/>
    <w:uiPriority w:val="99"/>
    <w:semiHidden/>
    <w:unhideWhenUsed/>
    <w:rsid w:val="003C77E5"/>
    <w:rPr>
      <w:b/>
      <w:bCs/>
      <w:lang w:eastAsia="en-GB"/>
    </w:rPr>
  </w:style>
  <w:style w:type="character" w:customStyle="1" w:styleId="CommentSubjectChar">
    <w:name w:val="Comment Subject Char"/>
    <w:basedOn w:val="CommentTextChar"/>
    <w:link w:val="CommentSubject"/>
    <w:uiPriority w:val="99"/>
    <w:semiHidden/>
    <w:rsid w:val="003C77E5"/>
    <w:rPr>
      <w:b/>
      <w:bCs/>
      <w:lang w:eastAsia="en-US"/>
    </w:rPr>
  </w:style>
  <w:style w:type="character" w:styleId="Strong">
    <w:name w:val="Strong"/>
    <w:uiPriority w:val="22"/>
    <w:qFormat/>
    <w:rsid w:val="00A92922"/>
    <w:rPr>
      <w:b/>
      <w:bCs/>
    </w:rPr>
  </w:style>
  <w:style w:type="character" w:customStyle="1" w:styleId="FooterChar">
    <w:name w:val="Footer Char"/>
    <w:basedOn w:val="DefaultParagraphFont"/>
    <w:link w:val="Footer"/>
    <w:uiPriority w:val="99"/>
    <w:rsid w:val="00B848A2"/>
    <w:rPr>
      <w:sz w:val="24"/>
    </w:rPr>
  </w:style>
  <w:style w:type="paragraph" w:styleId="Revision">
    <w:name w:val="Revision"/>
    <w:hidden/>
    <w:uiPriority w:val="99"/>
    <w:semiHidden/>
    <w:rsid w:val="005328E4"/>
    <w:rPr>
      <w:sz w:val="24"/>
    </w:rPr>
  </w:style>
  <w:style w:type="paragraph" w:customStyle="1" w:styleId="Default">
    <w:name w:val="Default"/>
    <w:rsid w:val="00B937E0"/>
    <w:pPr>
      <w:autoSpaceDE w:val="0"/>
      <w:autoSpaceDN w:val="0"/>
      <w:adjustRightInd w:val="0"/>
    </w:pPr>
    <w:rPr>
      <w:rFonts w:ascii="Times New Roman" w:eastAsiaTheme="minorHAnsi" w:hAnsi="Times New Roman"/>
      <w:color w:val="000000"/>
      <w:sz w:val="24"/>
      <w:szCs w:val="24"/>
      <w:lang w:eastAsia="en-US"/>
    </w:rPr>
  </w:style>
  <w:style w:type="paragraph" w:customStyle="1" w:styleId="pf0">
    <w:name w:val="pf0"/>
    <w:basedOn w:val="Normal"/>
    <w:rsid w:val="0040594C"/>
    <w:pPr>
      <w:spacing w:before="100" w:beforeAutospacing="1" w:after="100" w:afterAutospacing="1"/>
    </w:pPr>
    <w:rPr>
      <w:rFonts w:ascii="Times New Roman" w:eastAsia="Times New Roman" w:hAnsi="Times New Roman"/>
      <w:szCs w:val="24"/>
    </w:rPr>
  </w:style>
  <w:style w:type="character" w:customStyle="1" w:styleId="cf01">
    <w:name w:val="cf01"/>
    <w:basedOn w:val="DefaultParagraphFont"/>
    <w:rsid w:val="0040594C"/>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0146C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3468">
      <w:bodyDiv w:val="1"/>
      <w:marLeft w:val="0"/>
      <w:marRight w:val="0"/>
      <w:marTop w:val="0"/>
      <w:marBottom w:val="0"/>
      <w:divBdr>
        <w:top w:val="none" w:sz="0" w:space="0" w:color="auto"/>
        <w:left w:val="none" w:sz="0" w:space="0" w:color="auto"/>
        <w:bottom w:val="none" w:sz="0" w:space="0" w:color="auto"/>
        <w:right w:val="none" w:sz="0" w:space="0" w:color="auto"/>
      </w:divBdr>
    </w:div>
    <w:div w:id="524291413">
      <w:bodyDiv w:val="1"/>
      <w:marLeft w:val="0"/>
      <w:marRight w:val="0"/>
      <w:marTop w:val="0"/>
      <w:marBottom w:val="0"/>
      <w:divBdr>
        <w:top w:val="none" w:sz="0" w:space="0" w:color="auto"/>
        <w:left w:val="none" w:sz="0" w:space="0" w:color="auto"/>
        <w:bottom w:val="none" w:sz="0" w:space="0" w:color="auto"/>
        <w:right w:val="none" w:sz="0" w:space="0" w:color="auto"/>
      </w:divBdr>
    </w:div>
    <w:div w:id="673994137">
      <w:bodyDiv w:val="1"/>
      <w:marLeft w:val="0"/>
      <w:marRight w:val="0"/>
      <w:marTop w:val="0"/>
      <w:marBottom w:val="0"/>
      <w:divBdr>
        <w:top w:val="none" w:sz="0" w:space="0" w:color="auto"/>
        <w:left w:val="none" w:sz="0" w:space="0" w:color="auto"/>
        <w:bottom w:val="none" w:sz="0" w:space="0" w:color="auto"/>
        <w:right w:val="none" w:sz="0" w:space="0" w:color="auto"/>
      </w:divBdr>
      <w:divsChild>
        <w:div w:id="595283584">
          <w:marLeft w:val="0"/>
          <w:marRight w:val="0"/>
          <w:marTop w:val="0"/>
          <w:marBottom w:val="0"/>
          <w:divBdr>
            <w:top w:val="none" w:sz="0" w:space="0" w:color="auto"/>
            <w:left w:val="none" w:sz="0" w:space="0" w:color="auto"/>
            <w:bottom w:val="none" w:sz="0" w:space="0" w:color="auto"/>
            <w:right w:val="none" w:sz="0" w:space="0" w:color="auto"/>
          </w:divBdr>
          <w:divsChild>
            <w:div w:id="223877990">
              <w:marLeft w:val="0"/>
              <w:marRight w:val="0"/>
              <w:marTop w:val="0"/>
              <w:marBottom w:val="0"/>
              <w:divBdr>
                <w:top w:val="none" w:sz="0" w:space="0" w:color="auto"/>
                <w:left w:val="none" w:sz="0" w:space="0" w:color="auto"/>
                <w:bottom w:val="none" w:sz="0" w:space="0" w:color="auto"/>
                <w:right w:val="none" w:sz="0" w:space="0" w:color="auto"/>
              </w:divBdr>
              <w:divsChild>
                <w:div w:id="18425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1744">
      <w:bodyDiv w:val="1"/>
      <w:marLeft w:val="0"/>
      <w:marRight w:val="0"/>
      <w:marTop w:val="0"/>
      <w:marBottom w:val="0"/>
      <w:divBdr>
        <w:top w:val="none" w:sz="0" w:space="0" w:color="auto"/>
        <w:left w:val="none" w:sz="0" w:space="0" w:color="auto"/>
        <w:bottom w:val="none" w:sz="0" w:space="0" w:color="auto"/>
        <w:right w:val="none" w:sz="0" w:space="0" w:color="auto"/>
      </w:divBdr>
      <w:divsChild>
        <w:div w:id="130289830">
          <w:marLeft w:val="0"/>
          <w:marRight w:val="0"/>
          <w:marTop w:val="0"/>
          <w:marBottom w:val="0"/>
          <w:divBdr>
            <w:top w:val="none" w:sz="0" w:space="0" w:color="auto"/>
            <w:left w:val="none" w:sz="0" w:space="0" w:color="auto"/>
            <w:bottom w:val="none" w:sz="0" w:space="0" w:color="auto"/>
            <w:right w:val="none" w:sz="0" w:space="0" w:color="auto"/>
          </w:divBdr>
          <w:divsChild>
            <w:div w:id="1276987450">
              <w:marLeft w:val="0"/>
              <w:marRight w:val="0"/>
              <w:marTop w:val="0"/>
              <w:marBottom w:val="0"/>
              <w:divBdr>
                <w:top w:val="none" w:sz="0" w:space="0" w:color="auto"/>
                <w:left w:val="none" w:sz="0" w:space="0" w:color="auto"/>
                <w:bottom w:val="none" w:sz="0" w:space="0" w:color="auto"/>
                <w:right w:val="none" w:sz="0" w:space="0" w:color="auto"/>
              </w:divBdr>
              <w:divsChild>
                <w:div w:id="10286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845">
      <w:bodyDiv w:val="1"/>
      <w:marLeft w:val="0"/>
      <w:marRight w:val="0"/>
      <w:marTop w:val="0"/>
      <w:marBottom w:val="0"/>
      <w:divBdr>
        <w:top w:val="none" w:sz="0" w:space="0" w:color="auto"/>
        <w:left w:val="none" w:sz="0" w:space="0" w:color="auto"/>
        <w:bottom w:val="none" w:sz="0" w:space="0" w:color="auto"/>
        <w:right w:val="none" w:sz="0" w:space="0" w:color="auto"/>
      </w:divBdr>
    </w:div>
    <w:div w:id="1025596701">
      <w:bodyDiv w:val="1"/>
      <w:marLeft w:val="0"/>
      <w:marRight w:val="0"/>
      <w:marTop w:val="0"/>
      <w:marBottom w:val="0"/>
      <w:divBdr>
        <w:top w:val="none" w:sz="0" w:space="0" w:color="auto"/>
        <w:left w:val="none" w:sz="0" w:space="0" w:color="auto"/>
        <w:bottom w:val="none" w:sz="0" w:space="0" w:color="auto"/>
        <w:right w:val="none" w:sz="0" w:space="0" w:color="auto"/>
      </w:divBdr>
    </w:div>
    <w:div w:id="1228876975">
      <w:bodyDiv w:val="1"/>
      <w:marLeft w:val="0"/>
      <w:marRight w:val="0"/>
      <w:marTop w:val="0"/>
      <w:marBottom w:val="0"/>
      <w:divBdr>
        <w:top w:val="none" w:sz="0" w:space="0" w:color="auto"/>
        <w:left w:val="none" w:sz="0" w:space="0" w:color="auto"/>
        <w:bottom w:val="none" w:sz="0" w:space="0" w:color="auto"/>
        <w:right w:val="none" w:sz="0" w:space="0" w:color="auto"/>
      </w:divBdr>
    </w:div>
    <w:div w:id="1533882566">
      <w:bodyDiv w:val="1"/>
      <w:marLeft w:val="0"/>
      <w:marRight w:val="0"/>
      <w:marTop w:val="0"/>
      <w:marBottom w:val="0"/>
      <w:divBdr>
        <w:top w:val="none" w:sz="0" w:space="0" w:color="auto"/>
        <w:left w:val="none" w:sz="0" w:space="0" w:color="auto"/>
        <w:bottom w:val="none" w:sz="0" w:space="0" w:color="auto"/>
        <w:right w:val="none" w:sz="0" w:space="0" w:color="auto"/>
      </w:divBdr>
    </w:div>
    <w:div w:id="1683043701">
      <w:bodyDiv w:val="1"/>
      <w:marLeft w:val="0"/>
      <w:marRight w:val="0"/>
      <w:marTop w:val="0"/>
      <w:marBottom w:val="0"/>
      <w:divBdr>
        <w:top w:val="none" w:sz="0" w:space="0" w:color="auto"/>
        <w:left w:val="none" w:sz="0" w:space="0" w:color="auto"/>
        <w:bottom w:val="none" w:sz="0" w:space="0" w:color="auto"/>
        <w:right w:val="none" w:sz="0" w:space="0" w:color="auto"/>
      </w:divBdr>
    </w:div>
    <w:div w:id="1762876501">
      <w:bodyDiv w:val="1"/>
      <w:marLeft w:val="0"/>
      <w:marRight w:val="0"/>
      <w:marTop w:val="0"/>
      <w:marBottom w:val="0"/>
      <w:divBdr>
        <w:top w:val="none" w:sz="0" w:space="0" w:color="auto"/>
        <w:left w:val="none" w:sz="0" w:space="0" w:color="auto"/>
        <w:bottom w:val="none" w:sz="0" w:space="0" w:color="auto"/>
        <w:right w:val="none" w:sz="0" w:space="0" w:color="auto"/>
      </w:divBdr>
    </w:div>
    <w:div w:id="1911768014">
      <w:bodyDiv w:val="1"/>
      <w:marLeft w:val="0"/>
      <w:marRight w:val="0"/>
      <w:marTop w:val="0"/>
      <w:marBottom w:val="0"/>
      <w:divBdr>
        <w:top w:val="none" w:sz="0" w:space="0" w:color="auto"/>
        <w:left w:val="none" w:sz="0" w:space="0" w:color="auto"/>
        <w:bottom w:val="none" w:sz="0" w:space="0" w:color="auto"/>
        <w:right w:val="none" w:sz="0" w:space="0" w:color="auto"/>
      </w:divBdr>
    </w:div>
    <w:div w:id="1970503230">
      <w:bodyDiv w:val="1"/>
      <w:marLeft w:val="0"/>
      <w:marRight w:val="0"/>
      <w:marTop w:val="0"/>
      <w:marBottom w:val="0"/>
      <w:divBdr>
        <w:top w:val="none" w:sz="0" w:space="0" w:color="auto"/>
        <w:left w:val="none" w:sz="0" w:space="0" w:color="auto"/>
        <w:bottom w:val="none" w:sz="0" w:space="0" w:color="auto"/>
        <w:right w:val="none" w:sz="0" w:space="0" w:color="auto"/>
      </w:divBdr>
      <w:divsChild>
        <w:div w:id="1555972053">
          <w:marLeft w:val="0"/>
          <w:marRight w:val="0"/>
          <w:marTop w:val="0"/>
          <w:marBottom w:val="0"/>
          <w:divBdr>
            <w:top w:val="none" w:sz="0" w:space="0" w:color="auto"/>
            <w:left w:val="none" w:sz="0" w:space="0" w:color="auto"/>
            <w:bottom w:val="none" w:sz="0" w:space="0" w:color="auto"/>
            <w:right w:val="none" w:sz="0" w:space="0" w:color="auto"/>
          </w:divBdr>
          <w:divsChild>
            <w:div w:id="274488936">
              <w:marLeft w:val="0"/>
              <w:marRight w:val="0"/>
              <w:marTop w:val="0"/>
              <w:marBottom w:val="0"/>
              <w:divBdr>
                <w:top w:val="none" w:sz="0" w:space="0" w:color="auto"/>
                <w:left w:val="none" w:sz="0" w:space="0" w:color="auto"/>
                <w:bottom w:val="none" w:sz="0" w:space="0" w:color="auto"/>
                <w:right w:val="none" w:sz="0" w:space="0" w:color="auto"/>
              </w:divBdr>
              <w:divsChild>
                <w:div w:id="4784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special-procedures/wg-women-and-girls/eliminating-discrimination-against-sex-workers-and-securing-their-human-rights"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undocs.org/A/HRC/44/45"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nswp.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swp.org" TargetMode="External"/><Relationship Id="rId1" Type="http://schemas.openxmlformats.org/officeDocument/2006/relationships/hyperlink" Target="mailto:ruth.morganthomas@nswp.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opensocietyfoundations.org/publications/arrest-violence-human-rights-violations-against-sex-workers-11-countries-central-and-eastern" TargetMode="External"/><Relationship Id="rId18" Type="http://schemas.openxmlformats.org/officeDocument/2006/relationships/hyperlink" Target="http://www.hivlawcommission.org/report" TargetMode="External"/><Relationship Id="rId26" Type="http://schemas.openxmlformats.org/officeDocument/2006/relationships/hyperlink" Target="https://daccess-ods.un.org/tmp/1857146.47173882.html" TargetMode="External"/><Relationship Id="rId39" Type="http://schemas.openxmlformats.org/officeDocument/2006/relationships/hyperlink" Target="https://aidsfonds.org/resource/stepping-up-stepping-out-best-practices-2012-2016" TargetMode="External"/><Relationship Id="rId21" Type="http://schemas.openxmlformats.org/officeDocument/2006/relationships/hyperlink" Target="https://www.nswp.org/resource/nswp-briefing-papers/briefing-paper-migrant-sex-workers" TargetMode="External"/><Relationship Id="rId34" Type="http://schemas.openxmlformats.org/officeDocument/2006/relationships/hyperlink" Target="https://www.amnesty.org/en/documents/pol30/4062/2016/en/" TargetMode="External"/><Relationship Id="rId7" Type="http://schemas.openxmlformats.org/officeDocument/2006/relationships/hyperlink" Target="https://www.nswp.org/resource/nswp-publications/research-sex-work-4-violence-repression-and-other-health-threats" TargetMode="External"/><Relationship Id="rId12" Type="http://schemas.openxmlformats.org/officeDocument/2006/relationships/hyperlink" Target="https://www.eldis.org/document/A59250" TargetMode="External"/><Relationship Id="rId17" Type="http://schemas.openxmlformats.org/officeDocument/2006/relationships/hyperlink" Target="https://www.nswp.org/resource/nswp-policy-briefs/policy-brief-the-impact-end-demand-legislation-women-sex-workers" TargetMode="External"/><Relationship Id="rId25" Type="http://schemas.openxmlformats.org/officeDocument/2006/relationships/hyperlink" Target="https://www.nswp.org/resource/the-impact-new-york-s-human-trafficking-intervention-courts-sex-workers" TargetMode="External"/><Relationship Id="rId33" Type="http://schemas.openxmlformats.org/officeDocument/2006/relationships/hyperlink" Target="https://icj2.wpenginepowered.com/wp-content/uploads/2023/03/8-March-Principles-Report_final_print-version.pdf" TargetMode="External"/><Relationship Id="rId38" Type="http://schemas.openxmlformats.org/officeDocument/2006/relationships/hyperlink" Target="http://www.sexworkeurope.org/sites/default/files/resource-pdfs/dmsc_innovative_approaches_trafficking.pdf" TargetMode="External"/><Relationship Id="rId2" Type="http://schemas.openxmlformats.org/officeDocument/2006/relationships/hyperlink" Target="https://journals.sagepub.com/doi/abs/10.1177/1363460720904646" TargetMode="External"/><Relationship Id="rId16" Type="http://schemas.openxmlformats.org/officeDocument/2006/relationships/hyperlink" Target="http://www.petraostergren.com/upl/files/54259.pdf" TargetMode="External"/><Relationship Id="rId20" Type="http://schemas.openxmlformats.org/officeDocument/2006/relationships/hyperlink" Target="https://www.nswp.org/resource/nswp-policy-briefs/the-impact-criminalisation-sex-workers-vulnerability-hiv-and-violence" TargetMode="External"/><Relationship Id="rId29" Type="http://schemas.openxmlformats.org/officeDocument/2006/relationships/hyperlink" Target="https://www.undp.org/publications/sex-work-and-law-asia-and-pacific" TargetMode="External"/><Relationship Id="rId1" Type="http://schemas.openxmlformats.org/officeDocument/2006/relationships/hyperlink" Target="https://www.nswp.org/sex-workers-speak-out" TargetMode="External"/><Relationship Id="rId6" Type="http://schemas.openxmlformats.org/officeDocument/2006/relationships/hyperlink" Target="https://www.nswp.org/resource/nswp-briefing-notes/briefing-note-sex-work-not-sexual-exploitation" TargetMode="External"/><Relationship Id="rId11" Type="http://schemas.openxmlformats.org/officeDocument/2006/relationships/hyperlink" Target="https://www.undp.org/asia-pacific/publications/rights-evidence-%E2%80%93-sex-work-violence-and-hiv-asia-multi-country-qualitative-study" TargetMode="External"/><Relationship Id="rId24" Type="http://schemas.openxmlformats.org/officeDocument/2006/relationships/hyperlink" Target="https://www.undp.org/publications/sex-work-and-law-asia-and-pacific" TargetMode="External"/><Relationship Id="rId32" Type="http://schemas.openxmlformats.org/officeDocument/2006/relationships/hyperlink" Target="https://www.ohchr.org/Documents/Issues/HIV/ConsolidatedGuidelinesHIV.pdf" TargetMode="External"/><Relationship Id="rId37" Type="http://schemas.openxmlformats.org/officeDocument/2006/relationships/hyperlink" Target="http://prostitutescollective.net/wp-content/uploads/2016/10/report-of-the-nz-prostitution-law-committee-2008.pdf" TargetMode="External"/><Relationship Id="rId40" Type="http://schemas.openxmlformats.org/officeDocument/2006/relationships/hyperlink" Target="https://www.nswp.org/resource/nswp-briefing-papers/briefing-paper-economic-empowerment-sex-workers" TargetMode="External"/><Relationship Id="rId5" Type="http://schemas.openxmlformats.org/officeDocument/2006/relationships/hyperlink" Target="https://www.nswp.org/resource/nswp-policy-briefs/policy-brief-the-impact-anti-trafficking-legislation-and-initiatives-sex" TargetMode="External"/><Relationship Id="rId15" Type="http://schemas.openxmlformats.org/officeDocument/2006/relationships/hyperlink" Target="https://www.semanticscholar.org/paper/Sweden%E2%80%99s-abolitionist-discourse-and-law%3A-Effects-on-Levy-Jakobsson/bc2a6cb568a272f11dbc4cb1696c2ec4092e2ba3" TargetMode="External"/><Relationship Id="rId23" Type="http://schemas.openxmlformats.org/officeDocument/2006/relationships/hyperlink" Target="https://data.unwomen.org/evaw/database" TargetMode="External"/><Relationship Id="rId28" Type="http://schemas.openxmlformats.org/officeDocument/2006/relationships/hyperlink" Target="https://www.unaids.org/en/resources/documents/2012/20120402_UNAIDS-guidance-note-HIV-sex-work" TargetMode="External"/><Relationship Id="rId36" Type="http://schemas.openxmlformats.org/officeDocument/2006/relationships/hyperlink" Target="https://www.unaids.org/en/resources/documents/2020/global-aids-report" TargetMode="External"/><Relationship Id="rId10" Type="http://schemas.openxmlformats.org/officeDocument/2006/relationships/hyperlink" Target="https://www.opensocietyfoundations.org/publications/rights-not-rescue-report-female-trans-and-male-sex-workers-human-rights-botswana-namibia-and" TargetMode="External"/><Relationship Id="rId19" Type="http://schemas.openxmlformats.org/officeDocument/2006/relationships/hyperlink" Target="https://www.nswp.org/resource/nswp-briefing-papers/briefing-paper-sex-workers-lack-access-justice" TargetMode="External"/><Relationship Id="rId31" Type="http://schemas.openxmlformats.org/officeDocument/2006/relationships/hyperlink" Target="https://journals.sagepub.com/doi/10.1177/1748895814531967" TargetMode="External"/><Relationship Id="rId4" Type="http://schemas.openxmlformats.org/officeDocument/2006/relationships/hyperlink" Target="https://www.nswp.org/resource/nswp-publications/lets-talk-about-sex-work-terminology-statement-and-guide" TargetMode="External"/><Relationship Id="rId9" Type="http://schemas.openxmlformats.org/officeDocument/2006/relationships/hyperlink" Target="https://www.unaids.org/en/resources/documents/2020/global-aids-report" TargetMode="External"/><Relationship Id="rId14" Type="http://schemas.openxmlformats.org/officeDocument/2006/relationships/hyperlink" Target="https://journals.plos.org/plosmedicine/article?id=10.1371/journal.pmed.1002680" TargetMode="External"/><Relationship Id="rId22" Type="http://schemas.openxmlformats.org/officeDocument/2006/relationships/hyperlink" Target="https://www.nswp.org/resource/nswp-policy-briefs/policy-brief-the-impact-anti-trafficking-legislation-and-initiatives-sex" TargetMode="External"/><Relationship Id="rId27" Type="http://schemas.openxmlformats.org/officeDocument/2006/relationships/hyperlink" Target="https://www.who.int/publications/i/item/9789240052390" TargetMode="External"/><Relationship Id="rId30" Type="http://schemas.openxmlformats.org/officeDocument/2006/relationships/hyperlink" Target="https://www.tandfonline.com/doi/abs/10.1080/14649370600674134" TargetMode="External"/><Relationship Id="rId35" Type="http://schemas.openxmlformats.org/officeDocument/2006/relationships/hyperlink" Target="https://www.researchgate.net/publication/280445933_A_decade_of_decriminalization_Sex_work_'down_under'_but_not_underground" TargetMode="External"/><Relationship Id="rId8" Type="http://schemas.openxmlformats.org/officeDocument/2006/relationships/hyperlink" Target="https://www.who.int/publications/i/item/9789240052390" TargetMode="External"/><Relationship Id="rId3" Type="http://schemas.openxmlformats.org/officeDocument/2006/relationships/hyperlink" Target="https://www.researchgate.net/publication/335195314_This_Is_Me_This_Is_What_I_Am_I_Am_a_Man_The_Masculinities_of_Men_Who_Pay_for_Sex_with_W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7F41B9-1F8E-6E4C-92AE-7D285077059A}">
  <ds:schemaRefs>
    <ds:schemaRef ds:uri="http://schemas.openxmlformats.org/officeDocument/2006/bibliography"/>
  </ds:schemaRefs>
</ds:datastoreItem>
</file>

<file path=customXml/itemProps2.xml><?xml version="1.0" encoding="utf-8"?>
<ds:datastoreItem xmlns:ds="http://schemas.openxmlformats.org/officeDocument/2006/customXml" ds:itemID="{480C376F-8D7C-43E7-9EA0-4C9F1431D6F2}"/>
</file>

<file path=customXml/itemProps3.xml><?xml version="1.0" encoding="utf-8"?>
<ds:datastoreItem xmlns:ds="http://schemas.openxmlformats.org/officeDocument/2006/customXml" ds:itemID="{122FBBE0-9389-4233-9CAE-AF8FE78EA726}"/>
</file>

<file path=customXml/itemProps4.xml><?xml version="1.0" encoding="utf-8"?>
<ds:datastoreItem xmlns:ds="http://schemas.openxmlformats.org/officeDocument/2006/customXml" ds:itemID="{9DBF7A22-CD3C-4A82-96B1-5CF0D15D9E18}"/>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11531</Characters>
  <Application>Microsoft Office Word</Application>
  <DocSecurity>0</DocSecurity>
  <Lines>172</Lines>
  <Paragraphs>21</Paragraphs>
  <ScaleCrop>false</ScaleCrop>
  <HeadingPairs>
    <vt:vector size="2" baseType="variant">
      <vt:variant>
        <vt:lpstr>Title</vt:lpstr>
      </vt:variant>
      <vt:variant>
        <vt:i4>1</vt:i4>
      </vt:variant>
    </vt:vector>
  </HeadingPairs>
  <TitlesOfParts>
    <vt:vector size="1" baseType="lpstr">
      <vt:lpstr>Address details</vt:lpstr>
    </vt:vector>
  </TitlesOfParts>
  <Company>The Graphics Company Ltd</Company>
  <LinksUpToDate>false</LinksUpToDate>
  <CharactersWithSpaces>13539</CharactersWithSpaces>
  <SharedDoc>false</SharedDoc>
  <HLinks>
    <vt:vector size="54" baseType="variant">
      <vt:variant>
        <vt:i4>3080306</vt:i4>
      </vt:variant>
      <vt:variant>
        <vt:i4>12</vt:i4>
      </vt:variant>
      <vt:variant>
        <vt:i4>0</vt:i4>
      </vt:variant>
      <vt:variant>
        <vt:i4>5</vt:i4>
      </vt:variant>
      <vt:variant>
        <vt:lpwstr>http://www.hivgaps.org/</vt:lpwstr>
      </vt:variant>
      <vt:variant>
        <vt:lpwstr/>
      </vt:variant>
      <vt:variant>
        <vt:i4>327738</vt:i4>
      </vt:variant>
      <vt:variant>
        <vt:i4>9</vt:i4>
      </vt:variant>
      <vt:variant>
        <vt:i4>0</vt:i4>
      </vt:variant>
      <vt:variant>
        <vt:i4>5</vt:i4>
      </vt:variant>
      <vt:variant>
        <vt:lpwstr>mailto:StrategyDevelopment@theglobalfund.org</vt:lpwstr>
      </vt:variant>
      <vt:variant>
        <vt:lpwstr/>
      </vt:variant>
      <vt:variant>
        <vt:i4>983042</vt:i4>
      </vt:variant>
      <vt:variant>
        <vt:i4>6</vt:i4>
      </vt:variant>
      <vt:variant>
        <vt:i4>0</vt:i4>
      </vt:variant>
      <vt:variant>
        <vt:i4>5</vt:i4>
      </vt:variant>
      <vt:variant>
        <vt:lpwstr>https://www.theglobalfund.org/en/strategy-development</vt:lpwstr>
      </vt:variant>
      <vt:variant>
        <vt:lpwstr/>
      </vt:variant>
      <vt:variant>
        <vt:i4>196611</vt:i4>
      </vt:variant>
      <vt:variant>
        <vt:i4>3</vt:i4>
      </vt:variant>
      <vt:variant>
        <vt:i4>0</vt:i4>
      </vt:variant>
      <vt:variant>
        <vt:i4>5</vt:i4>
      </vt:variant>
      <vt:variant>
        <vt:lpwstr>https://www.theglobalfund.org/strategy-consultation/</vt:lpwstr>
      </vt:variant>
      <vt:variant>
        <vt:lpwstr/>
      </vt:variant>
      <vt:variant>
        <vt:i4>983042</vt:i4>
      </vt:variant>
      <vt:variant>
        <vt:i4>0</vt:i4>
      </vt:variant>
      <vt:variant>
        <vt:i4>0</vt:i4>
      </vt:variant>
      <vt:variant>
        <vt:i4>5</vt:i4>
      </vt:variant>
      <vt:variant>
        <vt:lpwstr>https://www.theglobalfund.org/en/strategy-development</vt:lpwstr>
      </vt:variant>
      <vt:variant>
        <vt:lpwstr/>
      </vt:variant>
      <vt:variant>
        <vt:i4>4194398</vt:i4>
      </vt:variant>
      <vt:variant>
        <vt:i4>0</vt:i4>
      </vt:variant>
      <vt:variant>
        <vt:i4>0</vt:i4>
      </vt:variant>
      <vt:variant>
        <vt:i4>5</vt:i4>
      </vt:variant>
      <vt:variant>
        <vt:lpwstr>https://www.un.org/sustainabledevelopment/sustainable-development-goals/</vt:lpwstr>
      </vt:variant>
      <vt:variant>
        <vt:lpwstr/>
      </vt:variant>
      <vt:variant>
        <vt:i4>4259931</vt:i4>
      </vt:variant>
      <vt:variant>
        <vt:i4>8</vt:i4>
      </vt:variant>
      <vt:variant>
        <vt:i4>0</vt:i4>
      </vt:variant>
      <vt:variant>
        <vt:i4>5</vt:i4>
      </vt:variant>
      <vt:variant>
        <vt:lpwstr>http://www.nswp.org/</vt:lpwstr>
      </vt:variant>
      <vt:variant>
        <vt:lpwstr/>
      </vt:variant>
      <vt:variant>
        <vt:i4>2031743</vt:i4>
      </vt:variant>
      <vt:variant>
        <vt:i4>5</vt:i4>
      </vt:variant>
      <vt:variant>
        <vt:i4>0</vt:i4>
      </vt:variant>
      <vt:variant>
        <vt:i4>5</vt:i4>
      </vt:variant>
      <vt:variant>
        <vt:lpwstr>mailto:ruth.morganthomas@nswp.org</vt:lpwstr>
      </vt:variant>
      <vt:variant>
        <vt:lpwstr/>
      </vt:variant>
      <vt:variant>
        <vt:i4>4259931</vt:i4>
      </vt:variant>
      <vt:variant>
        <vt:i4>2</vt:i4>
      </vt:variant>
      <vt:variant>
        <vt:i4>0</vt:i4>
      </vt:variant>
      <vt:variant>
        <vt:i4>5</vt:i4>
      </vt:variant>
      <vt:variant>
        <vt:lpwstr>http://www.nswp.org/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 Minju Kim</dc:title>
  <dc:subject/>
  <dc:creator>The Co-op</dc:creator>
  <cp:keywords/>
  <cp:lastModifiedBy>Jules Kim</cp:lastModifiedBy>
  <cp:revision>20</cp:revision>
  <cp:lastPrinted>2017-07-31T13:32:00Z</cp:lastPrinted>
  <dcterms:created xsi:type="dcterms:W3CDTF">2024-01-26T14:00:00Z</dcterms:created>
  <dcterms:modified xsi:type="dcterms:W3CDTF">2024-01-31T14:55:00Z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CFI Submissions are online</vt:lpwstr>
  </property>
</Properties>
</file>