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FA79E" w14:textId="77777777" w:rsidR="002C296C" w:rsidRDefault="002C296C" w:rsidP="00F83162">
      <w:bookmarkStart w:id="0" w:name="_Toc482796059"/>
    </w:p>
    <w:p w14:paraId="5D694207" w14:textId="51E7CCFA" w:rsidR="002C296C" w:rsidRDefault="00B7763A" w:rsidP="002C296C">
      <w:pPr>
        <w:pStyle w:val="Heading2"/>
        <w:jc w:val="center"/>
        <w:rPr>
          <w:rFonts w:ascii="Calibri" w:hAnsi="Calibri" w:cs="Calibri"/>
          <w:b/>
          <w:bCs/>
          <w:sz w:val="22"/>
          <w:szCs w:val="22"/>
          <w:lang w:val="en-CA"/>
        </w:rPr>
      </w:pPr>
      <w:r w:rsidRPr="002C296C">
        <w:rPr>
          <w:rFonts w:ascii="Calibri" w:hAnsi="Calibri" w:cs="Calibri"/>
          <w:b/>
          <w:bCs/>
          <w:sz w:val="22"/>
          <w:szCs w:val="22"/>
          <w:lang w:val="en-CA"/>
        </w:rPr>
        <w:t>report of the Special Rapporteur on violence against women and girls to the Human Rights Council on prostitution and violence against women and girls</w:t>
      </w:r>
    </w:p>
    <w:p w14:paraId="73D03B5B" w14:textId="77777777" w:rsidR="00574604" w:rsidRPr="00F865C9" w:rsidRDefault="00574604" w:rsidP="00574604">
      <w:pPr>
        <w:rPr>
          <w:sz w:val="10"/>
          <w:szCs w:val="10"/>
          <w:lang w:eastAsia="ar-SA"/>
        </w:rPr>
      </w:pPr>
    </w:p>
    <w:p w14:paraId="62823FE8" w14:textId="4974B9ED" w:rsidR="002C296C" w:rsidRDefault="002C296C" w:rsidP="002C296C">
      <w:pPr>
        <w:pBdr>
          <w:bottom w:val="single" w:sz="12" w:space="1" w:color="auto"/>
        </w:pBdr>
        <w:jc w:val="center"/>
        <w:rPr>
          <w:rFonts w:ascii="Calibri" w:hAnsi="Calibri" w:cs="Calibri"/>
          <w:lang w:eastAsia="ar-SA"/>
        </w:rPr>
      </w:pPr>
      <w:r w:rsidRPr="002C296C">
        <w:rPr>
          <w:rFonts w:ascii="Calibri" w:hAnsi="Calibri" w:cs="Calibri"/>
          <w:lang w:eastAsia="ar-SA"/>
        </w:rPr>
        <w:t>January 2024</w:t>
      </w:r>
    </w:p>
    <w:p w14:paraId="6BAFB851" w14:textId="77777777" w:rsidR="00574604" w:rsidRPr="00574604" w:rsidRDefault="00574604" w:rsidP="002C296C">
      <w:pPr>
        <w:pBdr>
          <w:bottom w:val="single" w:sz="12" w:space="1" w:color="auto"/>
        </w:pBdr>
        <w:jc w:val="center"/>
        <w:rPr>
          <w:rFonts w:ascii="Calibri" w:hAnsi="Calibri" w:cs="Calibri"/>
          <w:sz w:val="10"/>
          <w:szCs w:val="10"/>
          <w:lang w:eastAsia="ar-SA"/>
        </w:rPr>
      </w:pPr>
    </w:p>
    <w:p w14:paraId="6F0EE00E" w14:textId="77777777" w:rsidR="00C303A2" w:rsidRDefault="00C303A2" w:rsidP="00F83162">
      <w:pPr>
        <w:rPr>
          <w:rFonts w:ascii="Calibri" w:hAnsi="Calibri" w:cs="Calibri"/>
          <w:b/>
          <w:bCs/>
          <w:color w:val="000000"/>
          <w:szCs w:val="22"/>
        </w:rPr>
      </w:pPr>
    </w:p>
    <w:p w14:paraId="5FA36DA6" w14:textId="105D86F3" w:rsidR="00352223" w:rsidRPr="00441B62" w:rsidRDefault="00352223" w:rsidP="00F83162">
      <w:pPr>
        <w:rPr>
          <w:rFonts w:ascii="Calibri" w:hAnsi="Calibri" w:cs="Calibri"/>
          <w:b/>
          <w:bCs/>
          <w:color w:val="000000"/>
          <w:szCs w:val="22"/>
        </w:rPr>
      </w:pPr>
      <w:r w:rsidRPr="00441B62">
        <w:rPr>
          <w:rFonts w:ascii="Calibri" w:hAnsi="Calibri" w:cs="Calibri"/>
          <w:b/>
          <w:bCs/>
          <w:color w:val="000000"/>
          <w:szCs w:val="22"/>
        </w:rPr>
        <w:t>Background</w:t>
      </w:r>
    </w:p>
    <w:p w14:paraId="74EBF346" w14:textId="0355BAA4" w:rsidR="00352223" w:rsidRPr="009D6831" w:rsidRDefault="00983076" w:rsidP="00983076">
      <w:pPr>
        <w:rPr>
          <w:rFonts w:ascii="Calibri" w:hAnsi="Calibri" w:cs="Calibri"/>
          <w:color w:val="000000"/>
          <w:szCs w:val="22"/>
        </w:rPr>
      </w:pPr>
      <w:r w:rsidRPr="009D6831">
        <w:rPr>
          <w:rFonts w:ascii="Calibri" w:hAnsi="Calibri" w:cs="Calibri"/>
          <w:color w:val="000000"/>
          <w:szCs w:val="22"/>
        </w:rPr>
        <w:t xml:space="preserve">The HIV Legal Network promotes the human rights of people living with HIV or AIDS and other populations disproportionately affected by HIV, punitive laws and policies, and criminalization, through research and analysis, litigation and other advocacy, public education, and community mobilization. </w:t>
      </w:r>
      <w:r w:rsidR="001B2514" w:rsidRPr="009D6831">
        <w:rPr>
          <w:rFonts w:ascii="Calibri" w:hAnsi="Calibri" w:cs="Calibri"/>
          <w:color w:val="000000"/>
          <w:szCs w:val="22"/>
        </w:rPr>
        <w:t xml:space="preserve">For three decades, we have worked </w:t>
      </w:r>
      <w:r w:rsidR="003A4B38">
        <w:rPr>
          <w:rFonts w:ascii="Calibri" w:hAnsi="Calibri" w:cs="Calibri"/>
          <w:color w:val="000000"/>
          <w:szCs w:val="22"/>
        </w:rPr>
        <w:t>alongside</w:t>
      </w:r>
      <w:r w:rsidR="001B2514" w:rsidRPr="009D6831">
        <w:rPr>
          <w:rFonts w:ascii="Calibri" w:hAnsi="Calibri" w:cs="Calibri"/>
          <w:color w:val="000000"/>
          <w:szCs w:val="22"/>
        </w:rPr>
        <w:t xml:space="preserve"> sex workers to uphold their human rights and produced research on the impacts of criminalization on </w:t>
      </w:r>
      <w:r w:rsidR="008600E3">
        <w:rPr>
          <w:rFonts w:ascii="Calibri" w:hAnsi="Calibri" w:cs="Calibri"/>
          <w:color w:val="000000"/>
          <w:szCs w:val="22"/>
        </w:rPr>
        <w:t>sex workers’</w:t>
      </w:r>
      <w:r w:rsidR="001B2514" w:rsidRPr="009D6831">
        <w:rPr>
          <w:rFonts w:ascii="Calibri" w:hAnsi="Calibri" w:cs="Calibri"/>
          <w:color w:val="000000"/>
          <w:szCs w:val="22"/>
        </w:rPr>
        <w:t xml:space="preserve"> </w:t>
      </w:r>
      <w:r w:rsidR="00263264" w:rsidRPr="009D6831">
        <w:rPr>
          <w:rFonts w:ascii="Calibri" w:hAnsi="Calibri" w:cs="Calibri"/>
          <w:color w:val="000000"/>
          <w:szCs w:val="22"/>
        </w:rPr>
        <w:t>risks of violence.</w:t>
      </w:r>
      <w:r w:rsidR="00676E47">
        <w:rPr>
          <w:rFonts w:ascii="Calibri" w:hAnsi="Calibri" w:cs="Calibri"/>
          <w:color w:val="000000"/>
          <w:szCs w:val="22"/>
        </w:rPr>
        <w:t xml:space="preserve"> </w:t>
      </w:r>
      <w:r w:rsidR="00932FF7">
        <w:rPr>
          <w:rFonts w:ascii="Calibri" w:hAnsi="Calibri" w:cs="Calibri"/>
          <w:color w:val="000000"/>
          <w:szCs w:val="22"/>
        </w:rPr>
        <w:t>In</w:t>
      </w:r>
      <w:r w:rsidR="00676E47">
        <w:rPr>
          <w:rFonts w:ascii="Calibri" w:hAnsi="Calibri" w:cs="Calibri"/>
          <w:color w:val="000000"/>
          <w:szCs w:val="22"/>
        </w:rPr>
        <w:t xml:space="preserve"> consider</w:t>
      </w:r>
      <w:r w:rsidR="00932FF7">
        <w:rPr>
          <w:rFonts w:ascii="Calibri" w:hAnsi="Calibri" w:cs="Calibri"/>
          <w:color w:val="000000"/>
          <w:szCs w:val="22"/>
        </w:rPr>
        <w:t xml:space="preserve">ing </w:t>
      </w:r>
      <w:r w:rsidR="00676E47" w:rsidRPr="00676E47">
        <w:rPr>
          <w:rFonts w:ascii="Calibri" w:hAnsi="Calibri" w:cs="Calibri"/>
          <w:color w:val="000000"/>
          <w:szCs w:val="22"/>
        </w:rPr>
        <w:t xml:space="preserve">input to better understand the relationship between </w:t>
      </w:r>
      <w:r w:rsidR="00676E47">
        <w:rPr>
          <w:rFonts w:ascii="Calibri" w:hAnsi="Calibri" w:cs="Calibri"/>
          <w:color w:val="000000"/>
          <w:szCs w:val="22"/>
        </w:rPr>
        <w:t xml:space="preserve">sex work </w:t>
      </w:r>
      <w:r w:rsidR="00676E47" w:rsidRPr="00676E47">
        <w:rPr>
          <w:rFonts w:ascii="Calibri" w:hAnsi="Calibri" w:cs="Calibri"/>
          <w:color w:val="000000"/>
          <w:szCs w:val="22"/>
        </w:rPr>
        <w:t xml:space="preserve">and violence against women, </w:t>
      </w:r>
      <w:r w:rsidR="00676E47">
        <w:rPr>
          <w:rFonts w:ascii="Calibri" w:hAnsi="Calibri" w:cs="Calibri"/>
          <w:color w:val="000000"/>
          <w:szCs w:val="22"/>
        </w:rPr>
        <w:t xml:space="preserve">we urge the Special Rapporteur </w:t>
      </w:r>
      <w:r w:rsidR="00352223" w:rsidRPr="009D6831">
        <w:rPr>
          <w:rFonts w:ascii="Calibri" w:hAnsi="Calibri" w:cs="Calibri"/>
          <w:color w:val="000000"/>
          <w:szCs w:val="22"/>
        </w:rPr>
        <w:t>to</w:t>
      </w:r>
      <w:r w:rsidR="00CF7A14">
        <w:rPr>
          <w:rFonts w:ascii="Calibri" w:hAnsi="Calibri" w:cs="Calibri"/>
          <w:color w:val="000000"/>
          <w:szCs w:val="22"/>
        </w:rPr>
        <w:t>:</w:t>
      </w:r>
      <w:r w:rsidR="00C9701D">
        <w:rPr>
          <w:rFonts w:ascii="Calibri" w:hAnsi="Calibri" w:cs="Calibri"/>
          <w:color w:val="000000"/>
          <w:szCs w:val="22"/>
        </w:rPr>
        <w:t xml:space="preserve"> </w:t>
      </w:r>
      <w:r w:rsidR="00F247B2">
        <w:rPr>
          <w:rFonts w:ascii="Calibri" w:hAnsi="Calibri" w:cs="Calibri"/>
          <w:color w:val="000000"/>
          <w:szCs w:val="22"/>
        </w:rPr>
        <w:t>(</w:t>
      </w:r>
      <w:r w:rsidR="00CF7A14">
        <w:rPr>
          <w:rFonts w:ascii="Calibri" w:hAnsi="Calibri" w:cs="Calibri"/>
          <w:color w:val="000000"/>
          <w:szCs w:val="22"/>
        </w:rPr>
        <w:t>1</w:t>
      </w:r>
      <w:r w:rsidR="00F247B2">
        <w:rPr>
          <w:rFonts w:ascii="Calibri" w:hAnsi="Calibri" w:cs="Calibri"/>
          <w:color w:val="000000"/>
          <w:szCs w:val="22"/>
        </w:rPr>
        <w:t xml:space="preserve">) </w:t>
      </w:r>
      <w:r w:rsidR="00352223" w:rsidRPr="009D6831">
        <w:rPr>
          <w:rFonts w:ascii="Calibri" w:hAnsi="Calibri" w:cs="Calibri"/>
          <w:color w:val="000000"/>
          <w:szCs w:val="22"/>
        </w:rPr>
        <w:t xml:space="preserve">center the </w:t>
      </w:r>
      <w:r w:rsidR="00933F10" w:rsidRPr="009D6831">
        <w:rPr>
          <w:rFonts w:ascii="Calibri" w:hAnsi="Calibri" w:cs="Calibri"/>
          <w:color w:val="000000"/>
          <w:szCs w:val="22"/>
        </w:rPr>
        <w:t>perspectives of sex workers</w:t>
      </w:r>
      <w:r w:rsidR="00676E47">
        <w:rPr>
          <w:rFonts w:ascii="Calibri" w:hAnsi="Calibri" w:cs="Calibri"/>
          <w:color w:val="000000"/>
          <w:szCs w:val="22"/>
        </w:rPr>
        <w:t xml:space="preserve"> who are directly affected by law and policy recommendations regarding sex work,</w:t>
      </w:r>
      <w:r w:rsidR="00933F10" w:rsidRPr="009D6831">
        <w:rPr>
          <w:rFonts w:ascii="Calibri" w:hAnsi="Calibri" w:cs="Calibri"/>
          <w:color w:val="000000"/>
          <w:szCs w:val="22"/>
        </w:rPr>
        <w:t xml:space="preserve"> and</w:t>
      </w:r>
      <w:r w:rsidR="00C9701D">
        <w:rPr>
          <w:rFonts w:ascii="Calibri" w:hAnsi="Calibri" w:cs="Calibri"/>
          <w:color w:val="000000"/>
          <w:szCs w:val="22"/>
        </w:rPr>
        <w:t xml:space="preserve"> (2)</w:t>
      </w:r>
      <w:r w:rsidR="00541DE7">
        <w:rPr>
          <w:rFonts w:ascii="Calibri" w:hAnsi="Calibri" w:cs="Calibri"/>
          <w:color w:val="000000"/>
          <w:szCs w:val="22"/>
        </w:rPr>
        <w:t xml:space="preserve"> recognize</w:t>
      </w:r>
      <w:r w:rsidR="00933F10" w:rsidRPr="009D6831">
        <w:rPr>
          <w:rFonts w:ascii="Calibri" w:hAnsi="Calibri" w:cs="Calibri"/>
          <w:color w:val="000000"/>
          <w:szCs w:val="22"/>
        </w:rPr>
        <w:t xml:space="preserve"> the</w:t>
      </w:r>
      <w:r w:rsidR="00C9701D">
        <w:rPr>
          <w:rFonts w:ascii="Calibri" w:hAnsi="Calibri" w:cs="Calibri"/>
          <w:color w:val="000000"/>
          <w:szCs w:val="22"/>
        </w:rPr>
        <w:t xml:space="preserve"> vast body of</w:t>
      </w:r>
      <w:r w:rsidR="00933F10" w:rsidRPr="009D6831">
        <w:rPr>
          <w:rFonts w:ascii="Calibri" w:hAnsi="Calibri" w:cs="Calibri"/>
          <w:color w:val="000000"/>
          <w:szCs w:val="22"/>
        </w:rPr>
        <w:t xml:space="preserve"> empirical evidence regarding the </w:t>
      </w:r>
      <w:r w:rsidR="003A2C61">
        <w:rPr>
          <w:rFonts w:ascii="Calibri" w:hAnsi="Calibri" w:cs="Calibri"/>
          <w:color w:val="000000"/>
          <w:szCs w:val="22"/>
        </w:rPr>
        <w:t xml:space="preserve">negative </w:t>
      </w:r>
      <w:r w:rsidR="00933F10" w:rsidRPr="009D6831">
        <w:rPr>
          <w:rFonts w:ascii="Calibri" w:hAnsi="Calibri" w:cs="Calibri"/>
          <w:color w:val="000000"/>
          <w:szCs w:val="22"/>
        </w:rPr>
        <w:t xml:space="preserve">impacts </w:t>
      </w:r>
      <w:r w:rsidR="009745EE">
        <w:rPr>
          <w:rFonts w:ascii="Calibri" w:hAnsi="Calibri" w:cs="Calibri"/>
          <w:color w:val="000000"/>
          <w:szCs w:val="22"/>
        </w:rPr>
        <w:t xml:space="preserve">of criminalization </w:t>
      </w:r>
      <w:r w:rsidR="007F48CF">
        <w:rPr>
          <w:rFonts w:ascii="Calibri" w:hAnsi="Calibri" w:cs="Calibri"/>
          <w:color w:val="000000"/>
          <w:szCs w:val="22"/>
        </w:rPr>
        <w:t>on sex workers</w:t>
      </w:r>
      <w:r w:rsidR="009D6831" w:rsidRPr="009D6831">
        <w:rPr>
          <w:rFonts w:ascii="Calibri" w:hAnsi="Calibri" w:cs="Calibri"/>
          <w:color w:val="000000"/>
          <w:szCs w:val="22"/>
        </w:rPr>
        <w:t>.</w:t>
      </w:r>
      <w:r w:rsidR="00F55D3D">
        <w:rPr>
          <w:rFonts w:ascii="Calibri" w:hAnsi="Calibri" w:cs="Calibri"/>
          <w:color w:val="000000"/>
          <w:szCs w:val="22"/>
        </w:rPr>
        <w:t xml:space="preserve"> </w:t>
      </w:r>
    </w:p>
    <w:p w14:paraId="7E95BB1D" w14:textId="77777777" w:rsidR="008D07DD" w:rsidRDefault="008D07DD" w:rsidP="00F83162">
      <w:pPr>
        <w:rPr>
          <w:rFonts w:ascii="Calibri" w:hAnsi="Calibri" w:cs="Calibri"/>
          <w:b/>
          <w:bCs/>
          <w:color w:val="000000"/>
          <w:sz w:val="10"/>
          <w:szCs w:val="10"/>
        </w:rPr>
      </w:pPr>
    </w:p>
    <w:p w14:paraId="0B66C4E7" w14:textId="77777777" w:rsidR="00CE6707" w:rsidRPr="00CE6707" w:rsidRDefault="00CE6707" w:rsidP="00F83162">
      <w:pPr>
        <w:rPr>
          <w:rFonts w:ascii="Calibri" w:hAnsi="Calibri" w:cs="Calibri"/>
          <w:b/>
          <w:bCs/>
          <w:color w:val="000000"/>
          <w:szCs w:val="22"/>
        </w:rPr>
      </w:pPr>
    </w:p>
    <w:p w14:paraId="3B7E3D1E" w14:textId="0E6266B1" w:rsidR="00B7763A" w:rsidRPr="00441B62" w:rsidRDefault="00B7763A" w:rsidP="00F83162">
      <w:pPr>
        <w:rPr>
          <w:rFonts w:ascii="Calibri" w:hAnsi="Calibri" w:cs="Calibri"/>
          <w:b/>
          <w:bCs/>
          <w:color w:val="000000"/>
          <w:szCs w:val="22"/>
        </w:rPr>
      </w:pPr>
      <w:r w:rsidRPr="00441B62">
        <w:rPr>
          <w:rFonts w:ascii="Calibri" w:hAnsi="Calibri" w:cs="Calibri"/>
          <w:b/>
          <w:bCs/>
          <w:color w:val="000000"/>
          <w:szCs w:val="22"/>
        </w:rPr>
        <w:t xml:space="preserve">What forms of violence are women </w:t>
      </w:r>
      <w:r w:rsidR="006C1502">
        <w:rPr>
          <w:rFonts w:ascii="Calibri" w:hAnsi="Calibri" w:cs="Calibri"/>
          <w:b/>
          <w:bCs/>
          <w:color w:val="000000"/>
          <w:szCs w:val="22"/>
        </w:rPr>
        <w:t xml:space="preserve">in sex work </w:t>
      </w:r>
      <w:r w:rsidRPr="00441B62">
        <w:rPr>
          <w:rFonts w:ascii="Calibri" w:hAnsi="Calibri" w:cs="Calibri"/>
          <w:b/>
          <w:bCs/>
          <w:color w:val="000000"/>
          <w:szCs w:val="22"/>
        </w:rPr>
        <w:t>subjected to?</w:t>
      </w:r>
    </w:p>
    <w:p w14:paraId="77AF0BD1" w14:textId="77777777" w:rsidR="00F83162" w:rsidRPr="005949B0" w:rsidRDefault="00F83162" w:rsidP="00F83162">
      <w:pPr>
        <w:pStyle w:val="ListParagraph"/>
        <w:rPr>
          <w:rFonts w:ascii="Calibri" w:hAnsi="Calibri" w:cs="Calibri"/>
          <w:sz w:val="10"/>
          <w:szCs w:val="10"/>
          <w:lang w:val="en-CA"/>
        </w:rPr>
      </w:pPr>
    </w:p>
    <w:p w14:paraId="6E412004" w14:textId="700A57BC" w:rsidR="002134CE" w:rsidRDefault="005A0BC9" w:rsidP="005D5364">
      <w:pPr>
        <w:rPr>
          <w:rFonts w:ascii="Calibri" w:hAnsi="Calibri" w:cs="Calibri"/>
          <w:szCs w:val="22"/>
        </w:rPr>
      </w:pPr>
      <w:r w:rsidRPr="00BF62C6">
        <w:rPr>
          <w:rFonts w:ascii="Calibri" w:hAnsi="Calibri" w:cs="Calibri"/>
          <w:szCs w:val="22"/>
        </w:rPr>
        <w:t xml:space="preserve">While </w:t>
      </w:r>
      <w:r w:rsidR="00142E0D" w:rsidRPr="00BF62C6">
        <w:rPr>
          <w:rFonts w:ascii="Calibri" w:hAnsi="Calibri" w:cs="Calibri"/>
          <w:szCs w:val="22"/>
        </w:rPr>
        <w:t>sex work is not inherently violent, w</w:t>
      </w:r>
      <w:r w:rsidR="00176B36" w:rsidRPr="00BF62C6">
        <w:rPr>
          <w:rFonts w:ascii="Calibri" w:hAnsi="Calibri" w:cs="Calibri"/>
          <w:szCs w:val="22"/>
        </w:rPr>
        <w:t xml:space="preserve">omen sex work </w:t>
      </w:r>
      <w:proofErr w:type="gramStart"/>
      <w:r w:rsidR="00176B36" w:rsidRPr="00BF62C6">
        <w:rPr>
          <w:rFonts w:ascii="Calibri" w:hAnsi="Calibri" w:cs="Calibri"/>
          <w:szCs w:val="22"/>
        </w:rPr>
        <w:t>are</w:t>
      </w:r>
      <w:proofErr w:type="gramEnd"/>
      <w:r w:rsidR="00176B36" w:rsidRPr="00BF62C6">
        <w:rPr>
          <w:rFonts w:ascii="Calibri" w:hAnsi="Calibri" w:cs="Calibri"/>
          <w:szCs w:val="22"/>
        </w:rPr>
        <w:t xml:space="preserve"> subjected to </w:t>
      </w:r>
      <w:r w:rsidR="009627AE" w:rsidRPr="005D5364">
        <w:rPr>
          <w:rFonts w:ascii="Calibri" w:hAnsi="Calibri" w:cs="Calibri"/>
          <w:b/>
          <w:bCs/>
          <w:i/>
          <w:iCs/>
          <w:szCs w:val="22"/>
        </w:rPr>
        <w:t>targeted</w:t>
      </w:r>
      <w:r w:rsidR="00176B36" w:rsidRPr="005D5364">
        <w:rPr>
          <w:rFonts w:ascii="Calibri" w:hAnsi="Calibri" w:cs="Calibri"/>
          <w:b/>
          <w:bCs/>
          <w:szCs w:val="22"/>
        </w:rPr>
        <w:t xml:space="preserve"> </w:t>
      </w:r>
      <w:r w:rsidR="00AF70E8" w:rsidRPr="005D5364">
        <w:rPr>
          <w:rFonts w:ascii="Calibri" w:hAnsi="Calibri" w:cs="Calibri"/>
          <w:b/>
          <w:bCs/>
          <w:szCs w:val="22"/>
        </w:rPr>
        <w:t xml:space="preserve">physical and sexual </w:t>
      </w:r>
      <w:r w:rsidR="00176B36" w:rsidRPr="005D5364">
        <w:rPr>
          <w:rFonts w:ascii="Calibri" w:hAnsi="Calibri" w:cs="Calibri"/>
          <w:b/>
          <w:bCs/>
          <w:szCs w:val="22"/>
        </w:rPr>
        <w:t>violence</w:t>
      </w:r>
      <w:r w:rsidR="00176B36" w:rsidRPr="00BF62C6">
        <w:rPr>
          <w:rFonts w:ascii="Calibri" w:hAnsi="Calibri" w:cs="Calibri"/>
          <w:szCs w:val="22"/>
        </w:rPr>
        <w:t xml:space="preserve"> fueled by </w:t>
      </w:r>
      <w:r w:rsidR="009627AE" w:rsidRPr="00BF62C6">
        <w:rPr>
          <w:rFonts w:ascii="Calibri" w:hAnsi="Calibri" w:cs="Calibri"/>
          <w:szCs w:val="22"/>
        </w:rPr>
        <w:t xml:space="preserve">laws and policies </w:t>
      </w:r>
      <w:r w:rsidR="00860663" w:rsidRPr="00BF62C6">
        <w:rPr>
          <w:rFonts w:ascii="Calibri" w:hAnsi="Calibri" w:cs="Calibri"/>
          <w:szCs w:val="22"/>
        </w:rPr>
        <w:t>that</w:t>
      </w:r>
      <w:r w:rsidR="005D5364">
        <w:rPr>
          <w:rFonts w:ascii="Calibri" w:hAnsi="Calibri" w:cs="Calibri"/>
          <w:szCs w:val="22"/>
        </w:rPr>
        <w:t xml:space="preserve"> isolate sex workers from community and</w:t>
      </w:r>
      <w:r w:rsidR="00860663" w:rsidRPr="00BF62C6">
        <w:rPr>
          <w:rFonts w:ascii="Calibri" w:hAnsi="Calibri" w:cs="Calibri"/>
          <w:szCs w:val="22"/>
        </w:rPr>
        <w:t xml:space="preserve"> deter them from reporting violence</w:t>
      </w:r>
      <w:r w:rsidR="001667DC" w:rsidRPr="00BF62C6">
        <w:rPr>
          <w:rFonts w:ascii="Calibri" w:hAnsi="Calibri" w:cs="Calibri"/>
          <w:szCs w:val="22"/>
        </w:rPr>
        <w:t>.</w:t>
      </w:r>
      <w:r w:rsidR="00142E0D" w:rsidRPr="00BF62C6">
        <w:rPr>
          <w:rFonts w:ascii="Calibri" w:hAnsi="Calibri" w:cs="Calibri"/>
          <w:szCs w:val="22"/>
        </w:rPr>
        <w:t xml:space="preserve"> </w:t>
      </w:r>
      <w:r w:rsidR="005D5364">
        <w:rPr>
          <w:rFonts w:ascii="Calibri" w:hAnsi="Calibri" w:cs="Calibri"/>
          <w:szCs w:val="22"/>
        </w:rPr>
        <w:t>S</w:t>
      </w:r>
      <w:r w:rsidR="005114AD" w:rsidRPr="00BF62C6">
        <w:rPr>
          <w:rFonts w:ascii="Calibri" w:hAnsi="Calibri" w:cs="Calibri"/>
          <w:szCs w:val="22"/>
        </w:rPr>
        <w:t>ex workers experience high rates of t</w:t>
      </w:r>
      <w:r w:rsidR="00F83162" w:rsidRPr="00BF62C6">
        <w:rPr>
          <w:rFonts w:ascii="Calibri" w:hAnsi="Calibri" w:cs="Calibri"/>
          <w:szCs w:val="22"/>
        </w:rPr>
        <w:t xml:space="preserve">argeted violence because predators know </w:t>
      </w:r>
      <w:r w:rsidR="003D59E4">
        <w:rPr>
          <w:rFonts w:ascii="Calibri" w:hAnsi="Calibri" w:cs="Calibri"/>
          <w:szCs w:val="22"/>
        </w:rPr>
        <w:t>they</w:t>
      </w:r>
      <w:r w:rsidR="00F83162" w:rsidRPr="00BF62C6">
        <w:rPr>
          <w:rFonts w:ascii="Calibri" w:hAnsi="Calibri" w:cs="Calibri"/>
          <w:szCs w:val="22"/>
        </w:rPr>
        <w:t xml:space="preserve"> are hesitant to report victimization to police</w:t>
      </w:r>
      <w:r w:rsidR="00B91458" w:rsidRPr="00BF62C6">
        <w:rPr>
          <w:rFonts w:ascii="Calibri" w:hAnsi="Calibri" w:cs="Calibri"/>
          <w:szCs w:val="22"/>
        </w:rPr>
        <w:t xml:space="preserve"> for fear </w:t>
      </w:r>
      <w:r w:rsidR="00F83162" w:rsidRPr="00BF62C6">
        <w:rPr>
          <w:rFonts w:ascii="Calibri" w:hAnsi="Calibri" w:cs="Calibri"/>
          <w:szCs w:val="22"/>
        </w:rPr>
        <w:t>that they, or their colleagues and third parties</w:t>
      </w:r>
      <w:r w:rsidR="005D5364">
        <w:rPr>
          <w:rFonts w:ascii="Calibri" w:hAnsi="Calibri" w:cs="Calibri"/>
          <w:szCs w:val="22"/>
        </w:rPr>
        <w:t>,</w:t>
      </w:r>
      <w:r w:rsidR="00F83162" w:rsidRPr="00BF62C6">
        <w:rPr>
          <w:rFonts w:ascii="Calibri" w:hAnsi="Calibri" w:cs="Calibri"/>
          <w:szCs w:val="22"/>
        </w:rPr>
        <w:t xml:space="preserve"> </w:t>
      </w:r>
      <w:r w:rsidR="005D5364">
        <w:rPr>
          <w:rFonts w:ascii="Calibri" w:hAnsi="Calibri" w:cs="Calibri"/>
          <w:szCs w:val="22"/>
        </w:rPr>
        <w:t>will</w:t>
      </w:r>
      <w:r w:rsidR="00F83162" w:rsidRPr="00BF62C6">
        <w:rPr>
          <w:rFonts w:ascii="Calibri" w:hAnsi="Calibri" w:cs="Calibri"/>
          <w:szCs w:val="22"/>
        </w:rPr>
        <w:t xml:space="preserve"> be </w:t>
      </w:r>
      <w:r w:rsidR="00E56AF6" w:rsidRPr="00BF62C6">
        <w:rPr>
          <w:rFonts w:ascii="Calibri" w:hAnsi="Calibri" w:cs="Calibri"/>
          <w:szCs w:val="22"/>
        </w:rPr>
        <w:t xml:space="preserve">harassed or </w:t>
      </w:r>
      <w:r w:rsidR="00F83162" w:rsidRPr="00BF62C6">
        <w:rPr>
          <w:rFonts w:ascii="Calibri" w:hAnsi="Calibri" w:cs="Calibri"/>
          <w:szCs w:val="22"/>
        </w:rPr>
        <w:t xml:space="preserve">charged with </w:t>
      </w:r>
      <w:r w:rsidR="00B22989" w:rsidRPr="00BF62C6">
        <w:rPr>
          <w:rFonts w:ascii="Calibri" w:hAnsi="Calibri" w:cs="Calibri"/>
          <w:szCs w:val="22"/>
        </w:rPr>
        <w:t xml:space="preserve">sex work </w:t>
      </w:r>
      <w:r w:rsidR="00F83162" w:rsidRPr="00BF62C6">
        <w:rPr>
          <w:rFonts w:ascii="Calibri" w:hAnsi="Calibri" w:cs="Calibri"/>
          <w:szCs w:val="22"/>
        </w:rPr>
        <w:t xml:space="preserve">offences. In Canada, </w:t>
      </w:r>
      <w:r w:rsidR="00DF131B" w:rsidRPr="00BF62C6">
        <w:rPr>
          <w:rFonts w:ascii="Calibri" w:hAnsi="Calibri" w:cs="Calibri"/>
          <w:szCs w:val="22"/>
        </w:rPr>
        <w:t xml:space="preserve">where </w:t>
      </w:r>
      <w:r w:rsidR="00FE5A46" w:rsidRPr="00BF62C6">
        <w:rPr>
          <w:rFonts w:ascii="Calibri" w:hAnsi="Calibri" w:cs="Calibri"/>
          <w:szCs w:val="22"/>
        </w:rPr>
        <w:t>the purchase of sexual services</w:t>
      </w:r>
      <w:r w:rsidR="00A43761">
        <w:rPr>
          <w:rFonts w:ascii="Calibri" w:hAnsi="Calibri" w:cs="Calibri"/>
          <w:szCs w:val="22"/>
        </w:rPr>
        <w:t xml:space="preserve">, </w:t>
      </w:r>
      <w:r w:rsidR="00FE5A46" w:rsidRPr="00BF62C6">
        <w:rPr>
          <w:rFonts w:ascii="Calibri" w:hAnsi="Calibri" w:cs="Calibri"/>
          <w:szCs w:val="22"/>
        </w:rPr>
        <w:t xml:space="preserve">materially </w:t>
      </w:r>
      <w:r w:rsidR="004C3805" w:rsidRPr="00BF62C6">
        <w:rPr>
          <w:rFonts w:ascii="Calibri" w:hAnsi="Calibri" w:cs="Calibri"/>
          <w:szCs w:val="22"/>
        </w:rPr>
        <w:t>benefiting</w:t>
      </w:r>
      <w:r w:rsidR="00FE5A46" w:rsidRPr="00BF62C6">
        <w:rPr>
          <w:rFonts w:ascii="Calibri" w:hAnsi="Calibri" w:cs="Calibri"/>
          <w:szCs w:val="22"/>
        </w:rPr>
        <w:t xml:space="preserve"> from</w:t>
      </w:r>
      <w:r w:rsidR="00A43761">
        <w:rPr>
          <w:rFonts w:ascii="Calibri" w:hAnsi="Calibri" w:cs="Calibri"/>
          <w:szCs w:val="22"/>
        </w:rPr>
        <w:t>,</w:t>
      </w:r>
      <w:r w:rsidR="00FE5A46" w:rsidRPr="00BF62C6">
        <w:rPr>
          <w:rFonts w:ascii="Calibri" w:hAnsi="Calibri" w:cs="Calibri"/>
          <w:szCs w:val="22"/>
        </w:rPr>
        <w:t xml:space="preserve"> procuring</w:t>
      </w:r>
      <w:r w:rsidR="00C54AA1">
        <w:rPr>
          <w:rFonts w:ascii="Calibri" w:hAnsi="Calibri" w:cs="Calibri"/>
          <w:szCs w:val="22"/>
        </w:rPr>
        <w:t>, and advertising</w:t>
      </w:r>
      <w:r w:rsidR="00FE5A46" w:rsidRPr="00BF62C6">
        <w:rPr>
          <w:rFonts w:ascii="Calibri" w:hAnsi="Calibri" w:cs="Calibri"/>
          <w:szCs w:val="22"/>
        </w:rPr>
        <w:t xml:space="preserve"> sexual services are prohibited, </w:t>
      </w:r>
      <w:r w:rsidR="00F83162" w:rsidRPr="00BF62C6">
        <w:rPr>
          <w:rFonts w:ascii="Calibri" w:hAnsi="Calibri" w:cs="Calibri"/>
          <w:szCs w:val="22"/>
        </w:rPr>
        <w:t xml:space="preserve">research has shown </w:t>
      </w:r>
      <w:r w:rsidR="00865B14">
        <w:rPr>
          <w:rFonts w:ascii="Calibri" w:hAnsi="Calibri" w:cs="Calibri"/>
          <w:szCs w:val="22"/>
        </w:rPr>
        <w:t>that</w:t>
      </w:r>
      <w:r w:rsidR="00865B14" w:rsidRPr="00BF62C6">
        <w:rPr>
          <w:rFonts w:ascii="Calibri" w:hAnsi="Calibri" w:cs="Calibri"/>
          <w:szCs w:val="22"/>
        </w:rPr>
        <w:t xml:space="preserve"> </w:t>
      </w:r>
      <w:r w:rsidR="007F13A0" w:rsidRPr="00BF62C6">
        <w:rPr>
          <w:rFonts w:ascii="Calibri" w:hAnsi="Calibri" w:cs="Calibri"/>
          <w:szCs w:val="22"/>
        </w:rPr>
        <w:t>merely</w:t>
      </w:r>
      <w:r w:rsidR="00F83162" w:rsidRPr="00BF62C6">
        <w:rPr>
          <w:rFonts w:ascii="Calibri" w:hAnsi="Calibri" w:cs="Calibri"/>
          <w:szCs w:val="22"/>
        </w:rPr>
        <w:t xml:space="preserve"> 16.5% of sex workers who had experienced violence at work over the past 12 months reported an incident to police</w:t>
      </w:r>
      <w:r w:rsidR="0017309E" w:rsidRPr="00BF62C6">
        <w:rPr>
          <w:rFonts w:ascii="Calibri" w:hAnsi="Calibri" w:cs="Calibri"/>
          <w:szCs w:val="22"/>
        </w:rPr>
        <w:t xml:space="preserve"> </w:t>
      </w:r>
      <w:r w:rsidR="00E56AF6" w:rsidRPr="00BF62C6">
        <w:rPr>
          <w:rFonts w:ascii="Calibri" w:hAnsi="Calibri" w:cs="Calibri"/>
          <w:szCs w:val="22"/>
        </w:rPr>
        <w:t xml:space="preserve">— </w:t>
      </w:r>
      <w:r w:rsidR="00434129" w:rsidRPr="00BF62C6">
        <w:rPr>
          <w:rFonts w:ascii="Calibri" w:hAnsi="Calibri" w:cs="Calibri"/>
          <w:szCs w:val="22"/>
        </w:rPr>
        <w:t>while</w:t>
      </w:r>
      <w:r w:rsidR="005114AD" w:rsidRPr="00BF62C6">
        <w:rPr>
          <w:rFonts w:ascii="Calibri" w:hAnsi="Calibri" w:cs="Calibri"/>
          <w:szCs w:val="22"/>
        </w:rPr>
        <w:t xml:space="preserve"> </w:t>
      </w:r>
      <w:r w:rsidR="00FE7252" w:rsidRPr="00BF62C6">
        <w:rPr>
          <w:rFonts w:ascii="Calibri" w:hAnsi="Calibri" w:cs="Calibri"/>
          <w:szCs w:val="22"/>
        </w:rPr>
        <w:t xml:space="preserve">rates are lower for </w:t>
      </w:r>
      <w:r w:rsidR="005114AD" w:rsidRPr="00BF62C6">
        <w:rPr>
          <w:rFonts w:ascii="Calibri" w:hAnsi="Calibri" w:cs="Calibri"/>
          <w:szCs w:val="22"/>
        </w:rPr>
        <w:t xml:space="preserve">Indigenous, </w:t>
      </w:r>
      <w:r w:rsidR="00E56AF6" w:rsidRPr="00BF62C6">
        <w:rPr>
          <w:rFonts w:ascii="Calibri" w:hAnsi="Calibri" w:cs="Calibri"/>
          <w:szCs w:val="22"/>
        </w:rPr>
        <w:t>Black, migrant,</w:t>
      </w:r>
      <w:r w:rsidR="00B22989" w:rsidRPr="00BF62C6">
        <w:rPr>
          <w:rFonts w:ascii="Calibri" w:hAnsi="Calibri" w:cs="Calibri"/>
          <w:szCs w:val="22"/>
        </w:rPr>
        <w:t xml:space="preserve"> and</w:t>
      </w:r>
      <w:r w:rsidR="00E56AF6" w:rsidRPr="00BF62C6">
        <w:rPr>
          <w:rFonts w:ascii="Calibri" w:hAnsi="Calibri" w:cs="Calibri"/>
          <w:szCs w:val="22"/>
        </w:rPr>
        <w:t xml:space="preserve"> </w:t>
      </w:r>
      <w:r w:rsidR="005114AD" w:rsidRPr="00BF62C6">
        <w:rPr>
          <w:rFonts w:ascii="Calibri" w:hAnsi="Calibri" w:cs="Calibri"/>
          <w:szCs w:val="22"/>
        </w:rPr>
        <w:t>trans</w:t>
      </w:r>
      <w:r w:rsidR="00BA5A6D">
        <w:rPr>
          <w:rFonts w:ascii="Calibri" w:hAnsi="Calibri" w:cs="Calibri"/>
          <w:szCs w:val="22"/>
        </w:rPr>
        <w:t xml:space="preserve"> sex workers</w:t>
      </w:r>
      <w:r w:rsidR="005114AD" w:rsidRPr="00BF62C6">
        <w:rPr>
          <w:rFonts w:ascii="Calibri" w:hAnsi="Calibri" w:cs="Calibri"/>
          <w:szCs w:val="22"/>
        </w:rPr>
        <w:t>.</w:t>
      </w:r>
      <w:bookmarkEnd w:id="0"/>
      <w:r w:rsidR="002134CE">
        <w:rPr>
          <w:rStyle w:val="EndnoteReference"/>
          <w:rFonts w:ascii="Calibri" w:hAnsi="Calibri" w:cs="Calibri"/>
          <w:szCs w:val="22"/>
        </w:rPr>
        <w:endnoteReference w:id="2"/>
      </w:r>
      <w:r w:rsidR="002134CE" w:rsidRPr="00BF62C6">
        <w:rPr>
          <w:rFonts w:ascii="Calibri" w:hAnsi="Calibri" w:cs="Calibri"/>
          <w:szCs w:val="22"/>
        </w:rPr>
        <w:t xml:space="preserve"> Rates of</w:t>
      </w:r>
      <w:r w:rsidR="002134CE">
        <w:rPr>
          <w:rFonts w:ascii="Calibri" w:hAnsi="Calibri" w:cs="Calibri"/>
          <w:szCs w:val="22"/>
        </w:rPr>
        <w:t xml:space="preserve"> police</w:t>
      </w:r>
      <w:r w:rsidR="002134CE" w:rsidRPr="00BF62C6">
        <w:rPr>
          <w:rFonts w:ascii="Calibri" w:hAnsi="Calibri" w:cs="Calibri"/>
          <w:szCs w:val="22"/>
        </w:rPr>
        <w:t xml:space="preserve"> reporting are similarly low in other jurisdictions where sex work or related activities are criminalized.</w:t>
      </w:r>
      <w:r w:rsidR="002134CE">
        <w:rPr>
          <w:rStyle w:val="EndnoteReference"/>
          <w:rFonts w:ascii="Calibri" w:hAnsi="Calibri" w:cs="Calibri"/>
          <w:szCs w:val="22"/>
        </w:rPr>
        <w:endnoteReference w:id="3"/>
      </w:r>
      <w:r w:rsidR="002134CE" w:rsidRPr="00BF62C6">
        <w:rPr>
          <w:rFonts w:ascii="Calibri" w:hAnsi="Calibri" w:cs="Calibri"/>
          <w:szCs w:val="22"/>
        </w:rPr>
        <w:t xml:space="preserve"> In the context of criminalization, the police are perceived as potential threats to a sex worker’s livelihood, intimate partner, liberty, and well-being</w:t>
      </w:r>
      <w:r w:rsidR="002134CE">
        <w:rPr>
          <w:rFonts w:ascii="Calibri" w:hAnsi="Calibri" w:cs="Calibri"/>
          <w:szCs w:val="22"/>
        </w:rPr>
        <w:t xml:space="preserve"> </w:t>
      </w:r>
      <w:r w:rsidR="002134CE">
        <w:rPr>
          <w:rFonts w:cs="Arial"/>
          <w:color w:val="70757A"/>
          <w:sz w:val="21"/>
          <w:szCs w:val="21"/>
          <w:shd w:val="clear" w:color="auto" w:fill="FFFFFF"/>
        </w:rPr>
        <w:t>—</w:t>
      </w:r>
      <w:r w:rsidR="002134CE">
        <w:rPr>
          <w:rFonts w:ascii="Calibri" w:hAnsi="Calibri" w:cs="Calibri"/>
          <w:szCs w:val="22"/>
        </w:rPr>
        <w:t xml:space="preserve"> resulting in</w:t>
      </w:r>
      <w:r w:rsidR="002134CE" w:rsidRPr="00BF62C6">
        <w:rPr>
          <w:rFonts w:ascii="Calibri" w:hAnsi="Calibri" w:cs="Calibri"/>
          <w:szCs w:val="22"/>
        </w:rPr>
        <w:t xml:space="preserve"> a culture of impunity towards violence against sex workers, particularly the most marginal.  </w:t>
      </w:r>
    </w:p>
    <w:p w14:paraId="40ABC04B" w14:textId="77777777" w:rsidR="002134CE" w:rsidRPr="00441B62" w:rsidRDefault="002134CE" w:rsidP="00F83162">
      <w:pPr>
        <w:rPr>
          <w:rFonts w:ascii="Calibri" w:hAnsi="Calibri" w:cs="Calibri"/>
          <w:szCs w:val="22"/>
        </w:rPr>
      </w:pPr>
    </w:p>
    <w:p w14:paraId="6DD63BF2" w14:textId="57D4B36B" w:rsidR="002134CE" w:rsidRPr="000047B3" w:rsidRDefault="002134CE" w:rsidP="000047B3">
      <w:pPr>
        <w:rPr>
          <w:rFonts w:ascii="Calibri" w:hAnsi="Calibri" w:cs="Calibri"/>
          <w:szCs w:val="22"/>
        </w:rPr>
      </w:pPr>
      <w:r w:rsidRPr="000047B3">
        <w:rPr>
          <w:rFonts w:ascii="Calibri" w:hAnsi="Calibri" w:cs="Calibri"/>
          <w:szCs w:val="22"/>
        </w:rPr>
        <w:t xml:space="preserve">Women in sex work are also subject to </w:t>
      </w:r>
      <w:r w:rsidRPr="005D5364">
        <w:rPr>
          <w:rFonts w:ascii="Calibri" w:hAnsi="Calibri" w:cs="Calibri"/>
          <w:b/>
          <w:bCs/>
          <w:szCs w:val="22"/>
        </w:rPr>
        <w:t>intimate partner violence</w:t>
      </w:r>
      <w:r w:rsidRPr="000047B3">
        <w:rPr>
          <w:rFonts w:ascii="Calibri" w:hAnsi="Calibri" w:cs="Calibri"/>
          <w:szCs w:val="22"/>
        </w:rPr>
        <w:t xml:space="preserve"> but are often reluctant to report such violence because it would draw the attention of law enforcement. This can lead to domestic violence without recourse, where abusive partners take advantage of the criminal</w:t>
      </w:r>
      <w:r w:rsidR="00865B14">
        <w:rPr>
          <w:rFonts w:ascii="Calibri" w:hAnsi="Calibri" w:cs="Calibri"/>
          <w:szCs w:val="22"/>
        </w:rPr>
        <w:t>ization</w:t>
      </w:r>
      <w:r w:rsidRPr="000047B3">
        <w:rPr>
          <w:rFonts w:ascii="Calibri" w:hAnsi="Calibri" w:cs="Calibri"/>
          <w:szCs w:val="22"/>
        </w:rPr>
        <w:t xml:space="preserve"> of sex work by threatening to ‘out’ a woman as a sex worker or report her workplace. This danger is particularly acute where sex workers fear losing their children, who face profound psychological violence as a result. </w:t>
      </w:r>
    </w:p>
    <w:p w14:paraId="2E363F29" w14:textId="77777777" w:rsidR="002134CE" w:rsidRPr="00EC0118" w:rsidRDefault="002134CE" w:rsidP="00EC0118">
      <w:pPr>
        <w:pStyle w:val="ListParagraph"/>
        <w:rPr>
          <w:rFonts w:ascii="Calibri" w:hAnsi="Calibri" w:cs="Calibri"/>
          <w:szCs w:val="22"/>
          <w:lang w:val="en-CA"/>
        </w:rPr>
      </w:pPr>
    </w:p>
    <w:p w14:paraId="50C73DB1" w14:textId="15F3EDE9" w:rsidR="002134CE" w:rsidRPr="000047B3" w:rsidRDefault="002134CE" w:rsidP="000047B3">
      <w:pPr>
        <w:rPr>
          <w:rFonts w:ascii="Calibri" w:hAnsi="Calibri" w:cs="Calibri"/>
          <w:szCs w:val="22"/>
        </w:rPr>
      </w:pPr>
      <w:r w:rsidRPr="000047B3">
        <w:rPr>
          <w:rFonts w:ascii="Calibri" w:hAnsi="Calibri" w:cs="Calibri"/>
          <w:szCs w:val="22"/>
        </w:rPr>
        <w:t xml:space="preserve">Women in sex work are also subject to </w:t>
      </w:r>
      <w:r w:rsidRPr="005D5364">
        <w:rPr>
          <w:rFonts w:ascii="Calibri" w:hAnsi="Calibri" w:cs="Calibri"/>
          <w:b/>
          <w:bCs/>
          <w:szCs w:val="22"/>
        </w:rPr>
        <w:t>psychological violence</w:t>
      </w:r>
      <w:r w:rsidRPr="000047B3">
        <w:rPr>
          <w:rFonts w:ascii="Calibri" w:hAnsi="Calibri" w:cs="Calibri"/>
          <w:szCs w:val="22"/>
        </w:rPr>
        <w:t xml:space="preserve"> that stems from sex work-related stigma and discrimination. This stigma entrenches the notion that sex work is inherently exploitative </w:t>
      </w:r>
      <w:r>
        <w:rPr>
          <w:rFonts w:ascii="Calibri" w:hAnsi="Calibri" w:cs="Calibri"/>
          <w:szCs w:val="22"/>
        </w:rPr>
        <w:t>via</w:t>
      </w:r>
      <w:r w:rsidRPr="000047B3">
        <w:rPr>
          <w:rFonts w:ascii="Calibri" w:hAnsi="Calibri" w:cs="Calibri"/>
          <w:szCs w:val="22"/>
        </w:rPr>
        <w:t xml:space="preserve"> terms such as “prostituted women</w:t>
      </w:r>
      <w:r w:rsidR="00865B14">
        <w:rPr>
          <w:rFonts w:ascii="Calibri" w:hAnsi="Calibri" w:cs="Calibri"/>
          <w:szCs w:val="22"/>
        </w:rPr>
        <w:t>,</w:t>
      </w:r>
      <w:r w:rsidRPr="000047B3">
        <w:rPr>
          <w:rFonts w:ascii="Calibri" w:hAnsi="Calibri" w:cs="Calibri"/>
          <w:szCs w:val="22"/>
        </w:rPr>
        <w:t xml:space="preserve">” </w:t>
      </w:r>
      <w:r>
        <w:rPr>
          <w:rFonts w:ascii="Calibri" w:hAnsi="Calibri" w:cs="Calibri"/>
          <w:szCs w:val="22"/>
        </w:rPr>
        <w:t>which</w:t>
      </w:r>
      <w:r w:rsidRPr="000047B3">
        <w:rPr>
          <w:rFonts w:ascii="Calibri" w:hAnsi="Calibri" w:cs="Calibri"/>
          <w:szCs w:val="22"/>
        </w:rPr>
        <w:t xml:space="preserve"> encourages a culture of violence. </w:t>
      </w:r>
      <w:r>
        <w:rPr>
          <w:rFonts w:ascii="Calibri" w:hAnsi="Calibri" w:cs="Calibri"/>
          <w:szCs w:val="22"/>
        </w:rPr>
        <w:t>S</w:t>
      </w:r>
      <w:r w:rsidRPr="000047B3">
        <w:rPr>
          <w:rFonts w:ascii="Calibri" w:hAnsi="Calibri" w:cs="Calibri"/>
          <w:szCs w:val="22"/>
        </w:rPr>
        <w:t xml:space="preserve">tigma surrounding sex work hinges on stereotypes and assumptions about sex workers, clients, and third parties, including that sex workers are simultaneously ‘deviant others’ as well as ‘exploited persons’ with no agency who must be protected by criminalizing their livelihood — a form of </w:t>
      </w:r>
      <w:r w:rsidRPr="00246A60">
        <w:rPr>
          <w:rFonts w:ascii="Calibri" w:hAnsi="Calibri" w:cs="Calibri"/>
          <w:b/>
          <w:bCs/>
          <w:szCs w:val="22"/>
        </w:rPr>
        <w:t>economic violence</w:t>
      </w:r>
      <w:r w:rsidRPr="000047B3">
        <w:rPr>
          <w:rFonts w:ascii="Calibri" w:hAnsi="Calibri" w:cs="Calibri"/>
          <w:szCs w:val="22"/>
        </w:rPr>
        <w:t>.</w:t>
      </w:r>
      <w:r w:rsidRPr="00441B62">
        <w:rPr>
          <w:rStyle w:val="EndnoteReference"/>
          <w:rFonts w:ascii="Calibri" w:hAnsi="Calibri" w:cs="Calibri"/>
          <w:szCs w:val="22"/>
        </w:rPr>
        <w:endnoteReference w:id="4"/>
      </w:r>
      <w:r>
        <w:rPr>
          <w:rFonts w:ascii="Calibri" w:hAnsi="Calibri" w:cs="Calibri"/>
          <w:szCs w:val="22"/>
        </w:rPr>
        <w:t xml:space="preserve"> </w:t>
      </w:r>
      <w:r w:rsidRPr="005D5364">
        <w:rPr>
          <w:rFonts w:ascii="Calibri" w:hAnsi="Calibri" w:cs="Calibri"/>
          <w:szCs w:val="22"/>
        </w:rPr>
        <w:t>In addition</w:t>
      </w:r>
      <w:r>
        <w:rPr>
          <w:rFonts w:ascii="Calibri" w:hAnsi="Calibri" w:cs="Calibri"/>
          <w:b/>
          <w:bCs/>
          <w:szCs w:val="22"/>
        </w:rPr>
        <w:t xml:space="preserve"> </w:t>
      </w:r>
      <w:r w:rsidRPr="000047B3">
        <w:rPr>
          <w:rFonts w:ascii="Calibri" w:hAnsi="Calibri" w:cs="Calibri"/>
          <w:szCs w:val="22"/>
        </w:rPr>
        <w:t xml:space="preserve">to the criminalization of their livelihood, </w:t>
      </w:r>
      <w:r>
        <w:rPr>
          <w:rFonts w:ascii="Calibri" w:hAnsi="Calibri" w:cs="Calibri"/>
          <w:szCs w:val="22"/>
        </w:rPr>
        <w:t>sex workers face</w:t>
      </w:r>
      <w:r w:rsidR="00865B14">
        <w:rPr>
          <w:rFonts w:ascii="Calibri" w:hAnsi="Calibri" w:cs="Calibri"/>
          <w:szCs w:val="22"/>
        </w:rPr>
        <w:t xml:space="preserve"> diverse forms of economic violence through</w:t>
      </w:r>
      <w:r>
        <w:rPr>
          <w:rFonts w:ascii="Calibri" w:hAnsi="Calibri" w:cs="Calibri"/>
          <w:szCs w:val="22"/>
        </w:rPr>
        <w:t xml:space="preserve"> </w:t>
      </w:r>
      <w:r w:rsidRPr="000047B3">
        <w:rPr>
          <w:rFonts w:ascii="Calibri" w:hAnsi="Calibri" w:cs="Calibri"/>
          <w:szCs w:val="22"/>
        </w:rPr>
        <w:lastRenderedPageBreak/>
        <w:t xml:space="preserve">rejection from jobs, rentals, or mortgages because of their work; seizure of funds during criminal investigations; surveillance by financial institutions; and suspension of bank accounts. </w:t>
      </w:r>
    </w:p>
    <w:p w14:paraId="5EEF3102" w14:textId="77777777" w:rsidR="002134CE" w:rsidRPr="00441B62" w:rsidRDefault="002134CE" w:rsidP="00F83162">
      <w:pPr>
        <w:pStyle w:val="ListParagraph"/>
        <w:rPr>
          <w:rFonts w:ascii="Calibri" w:hAnsi="Calibri" w:cs="Calibri"/>
          <w:szCs w:val="22"/>
          <w:lang w:val="en-CA"/>
        </w:rPr>
      </w:pPr>
    </w:p>
    <w:p w14:paraId="7853D999" w14:textId="77777777" w:rsidR="002134CE" w:rsidRPr="00011C0F" w:rsidRDefault="002134CE" w:rsidP="00F83162">
      <w:pPr>
        <w:rPr>
          <w:rFonts w:ascii="Calibri" w:hAnsi="Calibri" w:cs="Calibri"/>
          <w:b/>
          <w:bCs/>
          <w:color w:val="000000"/>
          <w:sz w:val="10"/>
          <w:szCs w:val="10"/>
        </w:rPr>
      </w:pPr>
    </w:p>
    <w:p w14:paraId="74FB6E1A" w14:textId="2AB0FE27" w:rsidR="002134CE" w:rsidRPr="00441B62" w:rsidRDefault="002134CE" w:rsidP="00F83162">
      <w:pPr>
        <w:rPr>
          <w:rFonts w:ascii="Calibri" w:hAnsi="Calibri" w:cs="Calibri"/>
          <w:b/>
          <w:bCs/>
          <w:color w:val="000000"/>
          <w:szCs w:val="22"/>
        </w:rPr>
      </w:pPr>
      <w:r w:rsidRPr="00441B62">
        <w:rPr>
          <w:rFonts w:ascii="Calibri" w:hAnsi="Calibri" w:cs="Calibri"/>
          <w:b/>
          <w:bCs/>
          <w:color w:val="000000"/>
          <w:szCs w:val="22"/>
        </w:rPr>
        <w:t>Who is responsible for the perpetration of violence against women in prostitution?</w:t>
      </w:r>
    </w:p>
    <w:p w14:paraId="7661145B" w14:textId="77777777" w:rsidR="002134CE" w:rsidRPr="005949B0" w:rsidRDefault="002134CE" w:rsidP="00F83162">
      <w:pPr>
        <w:rPr>
          <w:rFonts w:ascii="Calibri" w:hAnsi="Calibri" w:cs="Calibri"/>
          <w:b/>
          <w:bCs/>
          <w:color w:val="000000"/>
          <w:sz w:val="10"/>
          <w:szCs w:val="10"/>
        </w:rPr>
      </w:pPr>
    </w:p>
    <w:p w14:paraId="6A26551D" w14:textId="4796D759" w:rsidR="002134CE" w:rsidRPr="00D964AE" w:rsidRDefault="002134CE" w:rsidP="00D964AE">
      <w:pPr>
        <w:rPr>
          <w:rFonts w:ascii="Calibri" w:hAnsi="Calibri" w:cs="Calibri"/>
          <w:b/>
          <w:bCs/>
          <w:szCs w:val="22"/>
        </w:rPr>
      </w:pPr>
      <w:r w:rsidRPr="00D964AE">
        <w:rPr>
          <w:rFonts w:ascii="Calibri" w:hAnsi="Calibri" w:cs="Calibri"/>
          <w:szCs w:val="22"/>
        </w:rPr>
        <w:t xml:space="preserve">States that enact punitive laws against sex work </w:t>
      </w:r>
      <w:r w:rsidR="00F72BD9">
        <w:rPr>
          <w:rFonts w:ascii="Calibri" w:hAnsi="Calibri" w:cs="Calibri"/>
          <w:szCs w:val="22"/>
        </w:rPr>
        <w:t>by</w:t>
      </w:r>
      <w:r w:rsidRPr="00D964AE">
        <w:rPr>
          <w:rFonts w:ascii="Calibri" w:hAnsi="Calibri" w:cs="Calibri"/>
          <w:szCs w:val="22"/>
        </w:rPr>
        <w:t xml:space="preserve"> criminalizing sex work (e.g. bans on the sale and purchase of sex, working in public space, advertising, and third parties providing services to sex workers) </w:t>
      </w:r>
      <w:r w:rsidR="00F72BD9">
        <w:rPr>
          <w:rFonts w:ascii="Calibri" w:hAnsi="Calibri" w:cs="Calibri"/>
          <w:szCs w:val="22"/>
        </w:rPr>
        <w:t>or by</w:t>
      </w:r>
      <w:r w:rsidRPr="00D964AE">
        <w:rPr>
          <w:rFonts w:ascii="Calibri" w:hAnsi="Calibri" w:cs="Calibri"/>
          <w:szCs w:val="22"/>
        </w:rPr>
        <w:t xml:space="preserve"> prohibiting migrant women from sex work, are ultimately responsible for </w:t>
      </w:r>
      <w:r w:rsidRPr="00D964AE">
        <w:rPr>
          <w:rFonts w:ascii="Calibri" w:hAnsi="Calibri" w:cs="Calibri"/>
          <w:i/>
          <w:iCs/>
          <w:szCs w:val="22"/>
        </w:rPr>
        <w:t>producing the conditions</w:t>
      </w:r>
      <w:r w:rsidRPr="00D964AE">
        <w:rPr>
          <w:rFonts w:ascii="Calibri" w:hAnsi="Calibri" w:cs="Calibri"/>
          <w:szCs w:val="22"/>
        </w:rPr>
        <w:t xml:space="preserve"> that subject sex workers to targeted violence. </w:t>
      </w:r>
    </w:p>
    <w:p w14:paraId="58B3B8D4" w14:textId="77777777" w:rsidR="002134CE" w:rsidRPr="00441B62" w:rsidRDefault="002134CE" w:rsidP="00AE5E7F">
      <w:pPr>
        <w:pStyle w:val="ListParagraph"/>
        <w:rPr>
          <w:rFonts w:ascii="Calibri" w:hAnsi="Calibri" w:cs="Calibri"/>
          <w:b/>
          <w:bCs/>
          <w:szCs w:val="22"/>
          <w:lang w:val="en-CA"/>
        </w:rPr>
      </w:pPr>
    </w:p>
    <w:p w14:paraId="673F8714" w14:textId="544F96F1" w:rsidR="002134CE" w:rsidRPr="00D964AE" w:rsidRDefault="002134CE" w:rsidP="00D964AE">
      <w:pPr>
        <w:rPr>
          <w:rFonts w:ascii="Calibri" w:hAnsi="Calibri" w:cs="Calibri"/>
          <w:szCs w:val="22"/>
        </w:rPr>
      </w:pPr>
      <w:r w:rsidRPr="00D964AE">
        <w:rPr>
          <w:rFonts w:ascii="Calibri" w:hAnsi="Calibri" w:cs="Calibri"/>
          <w:szCs w:val="22"/>
        </w:rPr>
        <w:t>Clients of sex workers are not inherently violent and sex workers can increase safety by screen</w:t>
      </w:r>
      <w:r w:rsidR="00F72BD9">
        <w:rPr>
          <w:rFonts w:ascii="Calibri" w:hAnsi="Calibri" w:cs="Calibri"/>
          <w:szCs w:val="22"/>
        </w:rPr>
        <w:t>ing</w:t>
      </w:r>
      <w:r w:rsidRPr="00D964AE">
        <w:rPr>
          <w:rFonts w:ascii="Calibri" w:hAnsi="Calibri" w:cs="Calibri"/>
          <w:szCs w:val="22"/>
        </w:rPr>
        <w:t xml:space="preserve"> clients and agree</w:t>
      </w:r>
      <w:r w:rsidR="00F72BD9">
        <w:rPr>
          <w:rFonts w:ascii="Calibri" w:hAnsi="Calibri" w:cs="Calibri"/>
          <w:szCs w:val="22"/>
        </w:rPr>
        <w:t>ing</w:t>
      </w:r>
      <w:r w:rsidRPr="00D964AE">
        <w:rPr>
          <w:rFonts w:ascii="Calibri" w:hAnsi="Calibri" w:cs="Calibri"/>
          <w:szCs w:val="22"/>
        </w:rPr>
        <w:t xml:space="preserve"> </w:t>
      </w:r>
      <w:r w:rsidR="009745EE">
        <w:rPr>
          <w:rFonts w:ascii="Calibri" w:hAnsi="Calibri" w:cs="Calibri"/>
          <w:szCs w:val="22"/>
        </w:rPr>
        <w:t xml:space="preserve">on </w:t>
      </w:r>
      <w:r w:rsidR="003B583A">
        <w:rPr>
          <w:rFonts w:ascii="Calibri" w:hAnsi="Calibri" w:cs="Calibri"/>
          <w:szCs w:val="22"/>
        </w:rPr>
        <w:t xml:space="preserve">the specific sexual </w:t>
      </w:r>
      <w:r w:rsidR="009745EE">
        <w:rPr>
          <w:rFonts w:ascii="Calibri" w:hAnsi="Calibri" w:cs="Calibri"/>
          <w:szCs w:val="22"/>
        </w:rPr>
        <w:t xml:space="preserve">services </w:t>
      </w:r>
      <w:r w:rsidRPr="00D964AE">
        <w:rPr>
          <w:rFonts w:ascii="Calibri" w:hAnsi="Calibri" w:cs="Calibri"/>
          <w:szCs w:val="22"/>
        </w:rPr>
        <w:t xml:space="preserve">in advance. </w:t>
      </w:r>
      <w:r>
        <w:rPr>
          <w:rFonts w:ascii="Calibri" w:hAnsi="Calibri" w:cs="Calibri"/>
          <w:szCs w:val="22"/>
        </w:rPr>
        <w:t>But w</w:t>
      </w:r>
      <w:r w:rsidRPr="00D964AE">
        <w:rPr>
          <w:rFonts w:ascii="Calibri" w:hAnsi="Calibri" w:cs="Calibri"/>
          <w:szCs w:val="22"/>
        </w:rPr>
        <w:t>here the purchase of sexual services is a crime, clear and direct communication between sex workers and prospective clients is discouraged, and sex workers’ ability to screen clients and negotiate terms of sexual transactions is diminished.</w:t>
      </w:r>
      <w:r w:rsidRPr="00441B62">
        <w:rPr>
          <w:rStyle w:val="EndnoteReference"/>
          <w:rFonts w:ascii="Calibri" w:hAnsi="Calibri" w:cs="Calibri"/>
          <w:szCs w:val="22"/>
        </w:rPr>
        <w:endnoteReference w:id="5"/>
      </w:r>
      <w:r w:rsidRPr="00D964AE">
        <w:rPr>
          <w:rFonts w:ascii="Calibri" w:hAnsi="Calibri" w:cs="Calibri"/>
          <w:szCs w:val="22"/>
        </w:rPr>
        <w:t xml:space="preserve"> As a result, sex workers are forced to rely on coded terms</w:t>
      </w:r>
      <w:r>
        <w:rPr>
          <w:rFonts w:ascii="Calibri" w:hAnsi="Calibri" w:cs="Calibri"/>
          <w:szCs w:val="22"/>
        </w:rPr>
        <w:t>, which</w:t>
      </w:r>
      <w:r w:rsidRPr="00D964AE">
        <w:rPr>
          <w:rFonts w:ascii="Calibri" w:hAnsi="Calibri" w:cs="Calibri"/>
          <w:szCs w:val="22"/>
        </w:rPr>
        <w:t xml:space="preserve"> could lead to aggression and violence</w:t>
      </w:r>
      <w:r>
        <w:rPr>
          <w:rFonts w:ascii="Calibri" w:hAnsi="Calibri" w:cs="Calibri"/>
          <w:szCs w:val="22"/>
        </w:rPr>
        <w:t>,</w:t>
      </w:r>
      <w:r w:rsidRPr="00441B62">
        <w:rPr>
          <w:rStyle w:val="EndnoteReference"/>
          <w:rFonts w:ascii="Calibri" w:hAnsi="Calibri" w:cs="Calibri"/>
          <w:szCs w:val="22"/>
        </w:rPr>
        <w:endnoteReference w:id="6"/>
      </w:r>
      <w:r w:rsidRPr="00D964AE">
        <w:rPr>
          <w:rFonts w:ascii="Calibri" w:hAnsi="Calibri" w:cs="Calibri"/>
          <w:szCs w:val="22"/>
        </w:rPr>
        <w:t xml:space="preserve"> since conflict most frequently arises from a misalignment of expectations. </w:t>
      </w:r>
    </w:p>
    <w:p w14:paraId="1CF29967" w14:textId="77777777" w:rsidR="002134CE" w:rsidRPr="00813892" w:rsidRDefault="002134CE" w:rsidP="00813892">
      <w:pPr>
        <w:rPr>
          <w:rFonts w:ascii="Calibri" w:hAnsi="Calibri" w:cs="Calibri"/>
          <w:szCs w:val="22"/>
        </w:rPr>
      </w:pPr>
    </w:p>
    <w:p w14:paraId="65C42AB0" w14:textId="739121B8" w:rsidR="002134CE" w:rsidRPr="000853FC" w:rsidRDefault="002134CE" w:rsidP="00F62FC7">
      <w:pPr>
        <w:rPr>
          <w:rFonts w:ascii="Calibri" w:hAnsi="Calibri" w:cs="Calibri"/>
          <w:b/>
          <w:bCs/>
          <w:szCs w:val="22"/>
        </w:rPr>
      </w:pPr>
      <w:r>
        <w:rPr>
          <w:rFonts w:ascii="Calibri" w:hAnsi="Calibri" w:cs="Calibri"/>
          <w:szCs w:val="22"/>
        </w:rPr>
        <w:t>Similarly, w</w:t>
      </w:r>
      <w:r w:rsidRPr="00F62FC7">
        <w:rPr>
          <w:rFonts w:ascii="Calibri" w:hAnsi="Calibri" w:cs="Calibri"/>
          <w:szCs w:val="22"/>
        </w:rPr>
        <w:t xml:space="preserve">hile third parties or “pimps” (a term underpinned by racist notions of Black people involved in sex work) are commonly depicted as exploitative, most third parties </w:t>
      </w:r>
      <w:r>
        <w:rPr>
          <w:rFonts w:cs="Arial"/>
          <w:color w:val="70757A"/>
          <w:sz w:val="21"/>
          <w:szCs w:val="21"/>
          <w:shd w:val="clear" w:color="auto" w:fill="FFFFFF"/>
        </w:rPr>
        <w:t>—</w:t>
      </w:r>
      <w:r>
        <w:rPr>
          <w:rFonts w:ascii="Calibri" w:hAnsi="Calibri" w:cs="Calibri"/>
          <w:szCs w:val="22"/>
        </w:rPr>
        <w:t xml:space="preserve"> </w:t>
      </w:r>
      <w:r w:rsidRPr="00F62FC7">
        <w:rPr>
          <w:rFonts w:ascii="Calibri" w:hAnsi="Calibri" w:cs="Calibri"/>
          <w:szCs w:val="22"/>
        </w:rPr>
        <w:t xml:space="preserve">some of whom </w:t>
      </w:r>
      <w:r w:rsidR="0051006F">
        <w:rPr>
          <w:rFonts w:ascii="Calibri" w:hAnsi="Calibri" w:cs="Calibri"/>
          <w:szCs w:val="22"/>
        </w:rPr>
        <w:t>are</w:t>
      </w:r>
      <w:r w:rsidRPr="00F62FC7">
        <w:rPr>
          <w:rFonts w:ascii="Calibri" w:hAnsi="Calibri" w:cs="Calibri"/>
          <w:szCs w:val="22"/>
        </w:rPr>
        <w:t xml:space="preserve"> sex workers themselves</w:t>
      </w:r>
      <w:r>
        <w:rPr>
          <w:rFonts w:ascii="Calibri" w:hAnsi="Calibri" w:cs="Calibri"/>
          <w:szCs w:val="22"/>
        </w:rPr>
        <w:t xml:space="preserve"> </w:t>
      </w:r>
      <w:r>
        <w:rPr>
          <w:rFonts w:cs="Arial"/>
          <w:color w:val="70757A"/>
          <w:sz w:val="21"/>
          <w:szCs w:val="21"/>
          <w:shd w:val="clear" w:color="auto" w:fill="FFFFFF"/>
        </w:rPr>
        <w:t>—</w:t>
      </w:r>
      <w:r w:rsidRPr="00F62FC7">
        <w:rPr>
          <w:rFonts w:ascii="Calibri" w:hAnsi="Calibri" w:cs="Calibri"/>
          <w:szCs w:val="22"/>
        </w:rPr>
        <w:t xml:space="preserve"> perform critical screening measures, establishing an enhanced level of security as potential clients know that there are safety and accountability measures in force. But laws prohibiting third parties (e.g. laws making it a crime to “materially benefit” from or </w:t>
      </w:r>
      <w:r>
        <w:rPr>
          <w:rFonts w:ascii="Calibri" w:hAnsi="Calibri" w:cs="Calibri"/>
          <w:szCs w:val="22"/>
        </w:rPr>
        <w:t xml:space="preserve">facilitate </w:t>
      </w:r>
      <w:r w:rsidRPr="00F62FC7">
        <w:rPr>
          <w:rFonts w:ascii="Calibri" w:hAnsi="Calibri" w:cs="Calibri"/>
          <w:szCs w:val="22"/>
        </w:rPr>
        <w:t xml:space="preserve">sex work) mean third parties must avoid police detection, so they too use coded language with clients. In addition to screening, third parties offer a range of services to sex workers, including </w:t>
      </w:r>
      <w:r>
        <w:rPr>
          <w:rFonts w:ascii="Calibri" w:hAnsi="Calibri" w:cs="Calibri"/>
          <w:szCs w:val="22"/>
        </w:rPr>
        <w:t xml:space="preserve">supports related to </w:t>
      </w:r>
      <w:r w:rsidRPr="00F62FC7">
        <w:rPr>
          <w:rFonts w:ascii="Calibri" w:hAnsi="Calibri" w:cs="Calibri"/>
          <w:szCs w:val="22"/>
        </w:rPr>
        <w:t xml:space="preserve">safety, sexual health, emotional health, business, training, and transportation. But laws criminalizing third parties </w:t>
      </w:r>
      <w:r>
        <w:rPr>
          <w:rFonts w:ascii="Calibri" w:hAnsi="Calibri" w:cs="Calibri"/>
          <w:szCs w:val="22"/>
        </w:rPr>
        <w:t>enable</w:t>
      </w:r>
      <w:r w:rsidRPr="00D964AE">
        <w:rPr>
          <w:rFonts w:ascii="Calibri" w:hAnsi="Calibri" w:cs="Calibri"/>
          <w:szCs w:val="22"/>
        </w:rPr>
        <w:t xml:space="preserve"> targeted violence </w:t>
      </w:r>
      <w:r w:rsidRPr="00F62FC7">
        <w:rPr>
          <w:rFonts w:ascii="Calibri" w:hAnsi="Calibri" w:cs="Calibri"/>
          <w:szCs w:val="22"/>
        </w:rPr>
        <w:t>by limiting deterrence of inappropriate client behaviour; discouraging explicit discussions between third parties and sex workers about safety practices; and limiting</w:t>
      </w:r>
      <w:r>
        <w:rPr>
          <w:rFonts w:ascii="Calibri" w:hAnsi="Calibri" w:cs="Calibri"/>
          <w:szCs w:val="22"/>
        </w:rPr>
        <w:t xml:space="preserve"> access to</w:t>
      </w:r>
      <w:r w:rsidRPr="00F62FC7">
        <w:rPr>
          <w:rFonts w:ascii="Calibri" w:hAnsi="Calibri" w:cs="Calibri"/>
          <w:szCs w:val="22"/>
        </w:rPr>
        <w:t xml:space="preserve"> in-call locations, even though these controlled settings are a safer work venue</w:t>
      </w:r>
      <w:r w:rsidR="00B6052E">
        <w:rPr>
          <w:rFonts w:ascii="Calibri" w:hAnsi="Calibri" w:cs="Calibri"/>
          <w:szCs w:val="22"/>
        </w:rPr>
        <w:t xml:space="preserve">, </w:t>
      </w:r>
      <w:r w:rsidRPr="00F62FC7">
        <w:rPr>
          <w:rFonts w:ascii="Calibri" w:hAnsi="Calibri" w:cs="Calibri"/>
          <w:szCs w:val="22"/>
        </w:rPr>
        <w:t>with restricted access and security measures.</w:t>
      </w:r>
      <w:r w:rsidRPr="00441B62">
        <w:rPr>
          <w:rStyle w:val="EndnoteReference"/>
          <w:rFonts w:ascii="Calibri" w:hAnsi="Calibri" w:cs="Calibri"/>
          <w:szCs w:val="22"/>
        </w:rPr>
        <w:endnoteReference w:id="7"/>
      </w:r>
      <w:r w:rsidRPr="00F62FC7">
        <w:rPr>
          <w:rFonts w:ascii="Calibri" w:hAnsi="Calibri" w:cs="Calibri"/>
          <w:szCs w:val="22"/>
        </w:rPr>
        <w:t xml:space="preserve">  </w:t>
      </w:r>
    </w:p>
    <w:p w14:paraId="38AE72DB" w14:textId="77777777" w:rsidR="002134CE" w:rsidRPr="006C1502" w:rsidRDefault="002134CE" w:rsidP="006C1502">
      <w:pPr>
        <w:rPr>
          <w:rFonts w:ascii="Calibri" w:hAnsi="Calibri" w:cs="Calibri"/>
          <w:szCs w:val="22"/>
        </w:rPr>
      </w:pPr>
    </w:p>
    <w:p w14:paraId="50FE65C6" w14:textId="5821768A" w:rsidR="002134CE" w:rsidRPr="00F62FC7" w:rsidRDefault="002134CE" w:rsidP="00F62FC7">
      <w:pPr>
        <w:rPr>
          <w:rFonts w:ascii="Calibri" w:hAnsi="Calibri" w:cs="Calibri"/>
          <w:szCs w:val="22"/>
        </w:rPr>
      </w:pPr>
      <w:r w:rsidRPr="00F62FC7">
        <w:rPr>
          <w:rFonts w:ascii="Calibri" w:hAnsi="Calibri" w:cs="Calibri"/>
          <w:szCs w:val="22"/>
        </w:rPr>
        <w:t>All these harms are compounded by immigration prohibitions against migrant sex work, which also fuel targeted violence against migrant sex workers, who are reluctant to seek help from authorities for fear of deportation</w:t>
      </w:r>
      <w:r w:rsidR="004A6934">
        <w:rPr>
          <w:rFonts w:ascii="Calibri" w:hAnsi="Calibri" w:cs="Calibri"/>
          <w:szCs w:val="22"/>
        </w:rPr>
        <w:t xml:space="preserve"> because of their involvement in sex work</w:t>
      </w:r>
      <w:r w:rsidRPr="00F62FC7">
        <w:rPr>
          <w:rFonts w:ascii="Calibri" w:hAnsi="Calibri" w:cs="Calibri"/>
          <w:szCs w:val="22"/>
        </w:rPr>
        <w:t>.</w:t>
      </w:r>
      <w:r>
        <w:rPr>
          <w:rStyle w:val="EndnoteReference"/>
          <w:rFonts w:ascii="Calibri" w:hAnsi="Calibri" w:cs="Calibri"/>
          <w:szCs w:val="22"/>
        </w:rPr>
        <w:endnoteReference w:id="8"/>
      </w:r>
    </w:p>
    <w:p w14:paraId="3FEEC3C4" w14:textId="77777777" w:rsidR="002134CE" w:rsidRPr="00B6052E" w:rsidRDefault="002134CE" w:rsidP="00F62FC7">
      <w:pPr>
        <w:rPr>
          <w:rFonts w:ascii="Calibri" w:hAnsi="Calibri" w:cs="Calibri"/>
          <w:sz w:val="10"/>
          <w:szCs w:val="10"/>
        </w:rPr>
      </w:pPr>
    </w:p>
    <w:p w14:paraId="7084EB05" w14:textId="77777777" w:rsidR="00951EBB" w:rsidRPr="002E0D2F" w:rsidRDefault="00951EBB" w:rsidP="002E0D2F">
      <w:pPr>
        <w:rPr>
          <w:rFonts w:ascii="Calibri" w:hAnsi="Calibri" w:cs="Calibri"/>
          <w:b/>
          <w:bCs/>
          <w:szCs w:val="22"/>
        </w:rPr>
      </w:pPr>
    </w:p>
    <w:p w14:paraId="714FC0D2" w14:textId="1F2782E3" w:rsidR="002134CE" w:rsidRPr="00441B62" w:rsidRDefault="002134CE" w:rsidP="00F83162">
      <w:pPr>
        <w:rPr>
          <w:rFonts w:ascii="Calibri" w:hAnsi="Calibri" w:cs="Calibri"/>
          <w:b/>
          <w:bCs/>
          <w:color w:val="000000"/>
          <w:szCs w:val="22"/>
        </w:rPr>
      </w:pPr>
      <w:r w:rsidRPr="00441B62">
        <w:rPr>
          <w:rFonts w:ascii="Calibri" w:hAnsi="Calibri" w:cs="Calibri"/>
          <w:b/>
          <w:bCs/>
          <w:color w:val="000000"/>
          <w:szCs w:val="22"/>
        </w:rPr>
        <w:t>Describe the linkages, if any, between prostitution and the violation of the human rights of women.</w:t>
      </w:r>
    </w:p>
    <w:p w14:paraId="5CCBC242" w14:textId="77777777" w:rsidR="002134CE" w:rsidRPr="005949B0" w:rsidRDefault="002134CE" w:rsidP="00F83162">
      <w:pPr>
        <w:rPr>
          <w:rFonts w:ascii="Calibri" w:hAnsi="Calibri" w:cs="Calibri"/>
          <w:b/>
          <w:bCs/>
          <w:color w:val="000000"/>
          <w:sz w:val="10"/>
          <w:szCs w:val="10"/>
        </w:rPr>
      </w:pPr>
    </w:p>
    <w:p w14:paraId="2C4C6530" w14:textId="702E7CFC" w:rsidR="002134CE" w:rsidRPr="00C95223" w:rsidRDefault="002134CE" w:rsidP="00C95223">
      <w:pPr>
        <w:rPr>
          <w:rFonts w:ascii="Calibri" w:hAnsi="Calibri" w:cs="Calibri"/>
          <w:szCs w:val="22"/>
        </w:rPr>
      </w:pPr>
      <w:r>
        <w:rPr>
          <w:rFonts w:ascii="Calibri" w:hAnsi="Calibri" w:cs="Calibri"/>
          <w:szCs w:val="22"/>
        </w:rPr>
        <w:t>Despite t</w:t>
      </w:r>
      <w:r w:rsidRPr="00441B62">
        <w:rPr>
          <w:rFonts w:ascii="Calibri" w:hAnsi="Calibri" w:cs="Calibri"/>
          <w:szCs w:val="22"/>
        </w:rPr>
        <w:t>he Special Rapporteur</w:t>
      </w:r>
      <w:r>
        <w:rPr>
          <w:rFonts w:ascii="Calibri" w:hAnsi="Calibri" w:cs="Calibri"/>
          <w:szCs w:val="22"/>
        </w:rPr>
        <w:t xml:space="preserve">’s claim, international law has </w:t>
      </w:r>
      <w:r w:rsidRPr="00D11A8B">
        <w:rPr>
          <w:rFonts w:ascii="Calibri" w:hAnsi="Calibri" w:cs="Calibri"/>
          <w:i/>
          <w:iCs/>
          <w:szCs w:val="22"/>
        </w:rPr>
        <w:t>not</w:t>
      </w:r>
      <w:r>
        <w:rPr>
          <w:rFonts w:ascii="Calibri" w:hAnsi="Calibri" w:cs="Calibri"/>
          <w:szCs w:val="22"/>
        </w:rPr>
        <w:t xml:space="preserve"> “</w:t>
      </w:r>
      <w:r w:rsidRPr="00441B62">
        <w:rPr>
          <w:rFonts w:ascii="Calibri" w:hAnsi="Calibri" w:cs="Calibri"/>
          <w:szCs w:val="22"/>
        </w:rPr>
        <w:t xml:space="preserve">recognized that prostitution is incompatible with the dignity and the worth of the human person.” As recently as 2023, the UN Working Group on discrimination against women and girls concluded that </w:t>
      </w:r>
      <w:r>
        <w:rPr>
          <w:rFonts w:ascii="Calibri" w:hAnsi="Calibri" w:cs="Calibri"/>
          <w:szCs w:val="22"/>
        </w:rPr>
        <w:t xml:space="preserve">the </w:t>
      </w:r>
      <w:r w:rsidRPr="001D4052">
        <w:rPr>
          <w:rFonts w:ascii="Calibri" w:hAnsi="Calibri" w:cs="Calibri"/>
          <w:i/>
          <w:iCs/>
          <w:szCs w:val="22"/>
        </w:rPr>
        <w:t>criminal law</w:t>
      </w:r>
      <w:r>
        <w:rPr>
          <w:rFonts w:ascii="Calibri" w:hAnsi="Calibri" w:cs="Calibri"/>
          <w:szCs w:val="22"/>
        </w:rPr>
        <w:t xml:space="preserve">, and specifically </w:t>
      </w:r>
      <w:r w:rsidRPr="00441B62">
        <w:rPr>
          <w:rFonts w:ascii="Calibri" w:hAnsi="Calibri" w:cs="Calibri"/>
          <w:szCs w:val="22"/>
        </w:rPr>
        <w:t>criminalizing clients and third parties “leads to the violations of the sex workers’ right to private life, right to housing and the right to non-discrimination.”</w:t>
      </w:r>
      <w:r>
        <w:rPr>
          <w:rStyle w:val="EndnoteReference"/>
          <w:rFonts w:ascii="Calibri" w:hAnsi="Calibri" w:cs="Calibri"/>
          <w:szCs w:val="22"/>
        </w:rPr>
        <w:endnoteReference w:id="9"/>
      </w:r>
      <w:r>
        <w:rPr>
          <w:rFonts w:ascii="Calibri" w:hAnsi="Calibri" w:cs="Calibri"/>
          <w:szCs w:val="22"/>
        </w:rPr>
        <w:t xml:space="preserve"> This has been recognized by numerous human rights and women’s rights organizations, including Amnesty International,</w:t>
      </w:r>
      <w:r>
        <w:rPr>
          <w:rStyle w:val="EndnoteReference"/>
          <w:rFonts w:ascii="Calibri" w:hAnsi="Calibri" w:cs="Calibri"/>
          <w:szCs w:val="22"/>
        </w:rPr>
        <w:endnoteReference w:id="10"/>
      </w:r>
      <w:r>
        <w:rPr>
          <w:rFonts w:ascii="Calibri" w:hAnsi="Calibri" w:cs="Calibri"/>
          <w:szCs w:val="22"/>
        </w:rPr>
        <w:t xml:space="preserve"> the International Commission of Jurists,</w:t>
      </w:r>
      <w:r>
        <w:rPr>
          <w:rStyle w:val="EndnoteReference"/>
          <w:rFonts w:ascii="Calibri" w:hAnsi="Calibri" w:cs="Calibri"/>
          <w:szCs w:val="22"/>
        </w:rPr>
        <w:endnoteReference w:id="11"/>
      </w:r>
      <w:r>
        <w:rPr>
          <w:rFonts w:ascii="Calibri" w:hAnsi="Calibri" w:cs="Calibri"/>
          <w:szCs w:val="22"/>
        </w:rPr>
        <w:t xml:space="preserve"> Human Rights Watch,</w:t>
      </w:r>
      <w:r>
        <w:rPr>
          <w:rStyle w:val="EndnoteReference"/>
          <w:rFonts w:ascii="Calibri" w:hAnsi="Calibri" w:cs="Calibri"/>
          <w:szCs w:val="22"/>
        </w:rPr>
        <w:endnoteReference w:id="12"/>
      </w:r>
      <w:r>
        <w:rPr>
          <w:rFonts w:ascii="Calibri" w:hAnsi="Calibri" w:cs="Calibri"/>
          <w:szCs w:val="22"/>
        </w:rPr>
        <w:t xml:space="preserve"> UNAIDS,</w:t>
      </w:r>
      <w:r>
        <w:rPr>
          <w:rStyle w:val="EndnoteReference"/>
          <w:rFonts w:ascii="Calibri" w:hAnsi="Calibri" w:cs="Calibri"/>
          <w:szCs w:val="22"/>
        </w:rPr>
        <w:endnoteReference w:id="13"/>
      </w:r>
      <w:r>
        <w:rPr>
          <w:rFonts w:ascii="Calibri" w:hAnsi="Calibri" w:cs="Calibri"/>
          <w:szCs w:val="22"/>
        </w:rPr>
        <w:t xml:space="preserve"> </w:t>
      </w:r>
      <w:r w:rsidRPr="00042D84">
        <w:rPr>
          <w:rFonts w:ascii="Calibri" w:hAnsi="Calibri" w:cs="Calibri"/>
          <w:szCs w:val="22"/>
        </w:rPr>
        <w:t>the International Community of Women Living with HIV</w:t>
      </w:r>
      <w:r>
        <w:rPr>
          <w:rFonts w:ascii="Calibri" w:hAnsi="Calibri" w:cs="Calibri"/>
          <w:szCs w:val="22"/>
        </w:rPr>
        <w:t xml:space="preserve"> and the Global Network of Sex Work Projects</w:t>
      </w:r>
      <w:r w:rsidRPr="00042D84">
        <w:rPr>
          <w:rFonts w:ascii="Calibri" w:hAnsi="Calibri" w:cs="Calibri"/>
          <w:szCs w:val="22"/>
        </w:rPr>
        <w:t>,</w:t>
      </w:r>
      <w:r>
        <w:rPr>
          <w:rStyle w:val="EndnoteReference"/>
          <w:rFonts w:ascii="Calibri" w:hAnsi="Calibri" w:cs="Calibri"/>
          <w:szCs w:val="22"/>
        </w:rPr>
        <w:endnoteReference w:id="14"/>
      </w:r>
      <w:r w:rsidRPr="00042D84">
        <w:rPr>
          <w:rFonts w:ascii="Calibri" w:hAnsi="Calibri" w:cs="Calibri"/>
          <w:szCs w:val="22"/>
        </w:rPr>
        <w:t xml:space="preserve"> the Association for Women’s Rights in Development, the Global Alliance against Traffic in Women</w:t>
      </w:r>
      <w:r>
        <w:rPr>
          <w:rFonts w:ascii="Calibri" w:hAnsi="Calibri" w:cs="Calibri"/>
          <w:szCs w:val="22"/>
        </w:rPr>
        <w:t>,</w:t>
      </w:r>
      <w:r>
        <w:rPr>
          <w:rStyle w:val="EndnoteReference"/>
          <w:rFonts w:ascii="Calibri" w:hAnsi="Calibri" w:cs="Calibri"/>
          <w:szCs w:val="22"/>
        </w:rPr>
        <w:endnoteReference w:id="15"/>
      </w:r>
      <w:r>
        <w:rPr>
          <w:rFonts w:ascii="Calibri" w:hAnsi="Calibri" w:cs="Calibri"/>
          <w:szCs w:val="22"/>
        </w:rPr>
        <w:t xml:space="preserve"> </w:t>
      </w:r>
      <w:r w:rsidR="007F4221">
        <w:rPr>
          <w:rFonts w:ascii="Calibri" w:hAnsi="Calibri" w:cs="Calibri"/>
          <w:szCs w:val="22"/>
        </w:rPr>
        <w:t xml:space="preserve">and </w:t>
      </w:r>
      <w:r>
        <w:rPr>
          <w:rFonts w:ascii="Calibri" w:hAnsi="Calibri" w:cs="Calibri"/>
          <w:szCs w:val="22"/>
        </w:rPr>
        <w:t xml:space="preserve">the </w:t>
      </w:r>
      <w:r w:rsidRPr="0064701F">
        <w:rPr>
          <w:rFonts w:ascii="Calibri" w:hAnsi="Calibri" w:cs="Calibri"/>
          <w:szCs w:val="22"/>
        </w:rPr>
        <w:t>Global Commission on HIV and the Law,</w:t>
      </w:r>
      <w:r>
        <w:rPr>
          <w:rStyle w:val="EndnoteReference"/>
          <w:rFonts w:ascii="Calibri" w:hAnsi="Calibri" w:cs="Calibri"/>
          <w:szCs w:val="22"/>
        </w:rPr>
        <w:endnoteReference w:id="16"/>
      </w:r>
      <w:r>
        <w:rPr>
          <w:rFonts w:ascii="Calibri" w:hAnsi="Calibri" w:cs="Calibri"/>
          <w:szCs w:val="22"/>
        </w:rPr>
        <w:t xml:space="preserve"> as well as researchers, who have documented how </w:t>
      </w:r>
      <w:r w:rsidRPr="00547604">
        <w:rPr>
          <w:rFonts w:ascii="Calibri" w:eastAsiaTheme="minorHAnsi" w:hAnsi="Calibri" w:cs="Calibri"/>
          <w:i/>
          <w:iCs/>
          <w:szCs w:val="22"/>
        </w:rPr>
        <w:t>laws criminalizing sex work</w:t>
      </w:r>
      <w:r w:rsidRPr="001D4052">
        <w:rPr>
          <w:rFonts w:ascii="Calibri" w:eastAsiaTheme="minorHAnsi" w:hAnsi="Calibri" w:cs="Calibri"/>
          <w:szCs w:val="22"/>
        </w:rPr>
        <w:t xml:space="preserve"> </w:t>
      </w:r>
      <w:r>
        <w:rPr>
          <w:rFonts w:ascii="Calibri" w:eastAsiaTheme="minorHAnsi" w:hAnsi="Calibri" w:cs="Calibri"/>
          <w:szCs w:val="22"/>
        </w:rPr>
        <w:t>violate</w:t>
      </w:r>
      <w:r w:rsidRPr="001D4052">
        <w:rPr>
          <w:rFonts w:ascii="Calibri" w:eastAsiaTheme="minorHAnsi" w:hAnsi="Calibri" w:cs="Calibri"/>
          <w:szCs w:val="22"/>
        </w:rPr>
        <w:t xml:space="preserve"> sex workers’ right</w:t>
      </w:r>
      <w:r>
        <w:rPr>
          <w:rFonts w:ascii="Calibri" w:eastAsiaTheme="minorHAnsi" w:hAnsi="Calibri" w:cs="Calibri"/>
          <w:szCs w:val="22"/>
        </w:rPr>
        <w:t>s</w:t>
      </w:r>
      <w:r w:rsidRPr="001D4052">
        <w:rPr>
          <w:rFonts w:ascii="Calibri" w:eastAsiaTheme="minorHAnsi" w:hAnsi="Calibri" w:cs="Calibri"/>
          <w:szCs w:val="22"/>
        </w:rPr>
        <w:t xml:space="preserve"> to </w:t>
      </w:r>
      <w:r w:rsidRPr="001D4052">
        <w:rPr>
          <w:rFonts w:ascii="Calibri" w:eastAsiaTheme="minorHAnsi" w:hAnsi="Calibri" w:cs="Calibri"/>
          <w:szCs w:val="22"/>
        </w:rPr>
        <w:lastRenderedPageBreak/>
        <w:t>health</w:t>
      </w:r>
      <w:r w:rsidR="00445279">
        <w:rPr>
          <w:rFonts w:ascii="Calibri" w:eastAsiaTheme="minorHAnsi" w:hAnsi="Calibri" w:cs="Calibri"/>
          <w:szCs w:val="22"/>
        </w:rPr>
        <w:t>;</w:t>
      </w:r>
      <w:r w:rsidR="00445279" w:rsidRPr="001D4052">
        <w:rPr>
          <w:rFonts w:ascii="Calibri" w:eastAsiaTheme="minorHAnsi" w:hAnsi="Calibri" w:cs="Calibri"/>
          <w:szCs w:val="22"/>
        </w:rPr>
        <w:t xml:space="preserve"> </w:t>
      </w:r>
      <w:r w:rsidRPr="001D4052">
        <w:rPr>
          <w:rFonts w:ascii="Calibri" w:eastAsiaTheme="minorHAnsi" w:hAnsi="Calibri" w:cs="Calibri"/>
          <w:szCs w:val="22"/>
        </w:rPr>
        <w:t>life</w:t>
      </w:r>
      <w:r w:rsidR="00445279">
        <w:rPr>
          <w:rFonts w:ascii="Calibri" w:eastAsiaTheme="minorHAnsi" w:hAnsi="Calibri" w:cs="Calibri"/>
          <w:szCs w:val="22"/>
        </w:rPr>
        <w:t>;</w:t>
      </w:r>
      <w:r w:rsidR="00445279" w:rsidRPr="001D4052">
        <w:rPr>
          <w:rFonts w:ascii="Calibri" w:eastAsiaTheme="minorHAnsi" w:hAnsi="Calibri" w:cs="Calibri"/>
          <w:szCs w:val="22"/>
        </w:rPr>
        <w:t xml:space="preserve"> </w:t>
      </w:r>
      <w:r w:rsidRPr="001D4052">
        <w:rPr>
          <w:rFonts w:ascii="Calibri" w:eastAsiaTheme="minorHAnsi" w:hAnsi="Calibri" w:cs="Calibri"/>
          <w:szCs w:val="22"/>
        </w:rPr>
        <w:t>security of the person</w:t>
      </w:r>
      <w:r w:rsidR="00445279">
        <w:rPr>
          <w:rFonts w:ascii="Calibri" w:eastAsiaTheme="minorHAnsi" w:hAnsi="Calibri" w:cs="Calibri"/>
          <w:szCs w:val="22"/>
        </w:rPr>
        <w:t>;</w:t>
      </w:r>
      <w:r w:rsidRPr="001D4052">
        <w:rPr>
          <w:rFonts w:ascii="Calibri" w:eastAsiaTheme="minorHAnsi" w:hAnsi="Calibri" w:cs="Calibri"/>
          <w:szCs w:val="22"/>
        </w:rPr>
        <w:t xml:space="preserve"> freedom from torture and cruel, inhumane and degrading treatment</w:t>
      </w:r>
      <w:r w:rsidR="00445279">
        <w:rPr>
          <w:rFonts w:ascii="Calibri" w:eastAsiaTheme="minorHAnsi" w:hAnsi="Calibri" w:cs="Calibri"/>
          <w:szCs w:val="22"/>
        </w:rPr>
        <w:t>;</w:t>
      </w:r>
      <w:r w:rsidR="00445279" w:rsidRPr="001D4052">
        <w:rPr>
          <w:rFonts w:ascii="Calibri" w:eastAsiaTheme="minorHAnsi" w:hAnsi="Calibri" w:cs="Calibri"/>
          <w:szCs w:val="22"/>
        </w:rPr>
        <w:t xml:space="preserve"> </w:t>
      </w:r>
      <w:r w:rsidRPr="001D4052">
        <w:rPr>
          <w:rFonts w:ascii="Calibri" w:eastAsiaTheme="minorHAnsi" w:hAnsi="Calibri" w:cs="Calibri"/>
          <w:szCs w:val="22"/>
        </w:rPr>
        <w:t>work</w:t>
      </w:r>
      <w:r w:rsidR="00445279">
        <w:rPr>
          <w:rFonts w:ascii="Calibri" w:eastAsiaTheme="minorHAnsi" w:hAnsi="Calibri" w:cs="Calibri"/>
          <w:szCs w:val="22"/>
        </w:rPr>
        <w:t>;</w:t>
      </w:r>
      <w:r w:rsidR="00445279" w:rsidRPr="001D4052">
        <w:rPr>
          <w:rFonts w:ascii="Calibri" w:eastAsiaTheme="minorHAnsi" w:hAnsi="Calibri" w:cs="Calibri"/>
          <w:szCs w:val="22"/>
        </w:rPr>
        <w:t xml:space="preserve"> </w:t>
      </w:r>
      <w:r w:rsidRPr="001D4052">
        <w:rPr>
          <w:rFonts w:ascii="Calibri" w:eastAsiaTheme="minorHAnsi" w:hAnsi="Calibri" w:cs="Calibri"/>
          <w:szCs w:val="22"/>
        </w:rPr>
        <w:t>privacy</w:t>
      </w:r>
      <w:r w:rsidR="00445279">
        <w:rPr>
          <w:rFonts w:ascii="Calibri" w:eastAsiaTheme="minorHAnsi" w:hAnsi="Calibri" w:cs="Calibri"/>
          <w:szCs w:val="22"/>
        </w:rPr>
        <w:t>;</w:t>
      </w:r>
      <w:r w:rsidR="00445279" w:rsidRPr="001D4052">
        <w:rPr>
          <w:rFonts w:ascii="Calibri" w:eastAsiaTheme="minorHAnsi" w:hAnsi="Calibri" w:cs="Calibri"/>
          <w:szCs w:val="22"/>
        </w:rPr>
        <w:t xml:space="preserve"> </w:t>
      </w:r>
      <w:r w:rsidRPr="001D4052">
        <w:rPr>
          <w:rFonts w:ascii="Calibri" w:eastAsiaTheme="minorHAnsi" w:hAnsi="Calibri" w:cs="Calibri"/>
          <w:szCs w:val="22"/>
        </w:rPr>
        <w:t>equality</w:t>
      </w:r>
      <w:r w:rsidR="00445279">
        <w:rPr>
          <w:rFonts w:ascii="Calibri" w:eastAsiaTheme="minorHAnsi" w:hAnsi="Calibri" w:cs="Calibri"/>
          <w:szCs w:val="22"/>
        </w:rPr>
        <w:t>;</w:t>
      </w:r>
      <w:r w:rsidR="00445279" w:rsidRPr="001D4052">
        <w:rPr>
          <w:rFonts w:ascii="Calibri" w:eastAsiaTheme="minorHAnsi" w:hAnsi="Calibri" w:cs="Calibri"/>
          <w:szCs w:val="22"/>
        </w:rPr>
        <w:t xml:space="preserve"> </w:t>
      </w:r>
      <w:r w:rsidRPr="001D4052">
        <w:rPr>
          <w:rFonts w:ascii="Calibri" w:eastAsiaTheme="minorHAnsi" w:hAnsi="Calibri" w:cs="Calibri"/>
          <w:szCs w:val="22"/>
        </w:rPr>
        <w:t>and non-discrimination.</w:t>
      </w:r>
      <w:r w:rsidRPr="00441B62">
        <w:rPr>
          <w:rStyle w:val="EndnoteReference"/>
          <w:rFonts w:ascii="Calibri" w:eastAsiaTheme="minorHAnsi" w:hAnsi="Calibri" w:cs="Calibri"/>
          <w:szCs w:val="22"/>
        </w:rPr>
        <w:endnoteReference w:id="17"/>
      </w:r>
      <w:r w:rsidRPr="001D4052">
        <w:rPr>
          <w:rFonts w:ascii="Calibri" w:eastAsiaTheme="minorHAnsi" w:hAnsi="Calibri" w:cs="Calibri"/>
          <w:szCs w:val="22"/>
        </w:rPr>
        <w:t xml:space="preserve"> </w:t>
      </w:r>
    </w:p>
    <w:p w14:paraId="6FE9A936" w14:textId="77777777" w:rsidR="002134CE" w:rsidRPr="00C95223" w:rsidRDefault="002134CE" w:rsidP="009D6715">
      <w:pPr>
        <w:pStyle w:val="ListParagraph"/>
        <w:rPr>
          <w:rFonts w:ascii="Calibri" w:hAnsi="Calibri" w:cs="Calibri"/>
          <w:b/>
          <w:bCs/>
          <w:sz w:val="10"/>
          <w:szCs w:val="10"/>
          <w:lang w:val="en-CA"/>
        </w:rPr>
      </w:pPr>
    </w:p>
    <w:p w14:paraId="00B9132E" w14:textId="77777777" w:rsidR="002134CE" w:rsidRPr="009D6715" w:rsidRDefault="002134CE" w:rsidP="009D6715">
      <w:pPr>
        <w:pStyle w:val="ListParagraph"/>
        <w:rPr>
          <w:rFonts w:ascii="Calibri" w:hAnsi="Calibri" w:cs="Calibri"/>
          <w:b/>
          <w:bCs/>
          <w:szCs w:val="22"/>
          <w:lang w:val="en-CA"/>
        </w:rPr>
      </w:pPr>
    </w:p>
    <w:p w14:paraId="071F573F" w14:textId="7F1A3925" w:rsidR="002134CE" w:rsidRPr="00441B62" w:rsidRDefault="002134CE" w:rsidP="00F83162">
      <w:pPr>
        <w:rPr>
          <w:rFonts w:ascii="Calibri" w:hAnsi="Calibri" w:cs="Calibri"/>
          <w:b/>
          <w:bCs/>
          <w:color w:val="000000"/>
          <w:szCs w:val="22"/>
        </w:rPr>
      </w:pPr>
      <w:r w:rsidRPr="00441B62">
        <w:rPr>
          <w:rFonts w:ascii="Calibri" w:hAnsi="Calibri" w:cs="Calibri"/>
          <w:b/>
          <w:bCs/>
          <w:color w:val="000000"/>
          <w:szCs w:val="22"/>
        </w:rPr>
        <w:t>How is the issue of consent dealt with? Is it possible to speak about meaningful consent?</w:t>
      </w:r>
    </w:p>
    <w:p w14:paraId="72EA5C40" w14:textId="77777777" w:rsidR="002134CE" w:rsidRPr="00214959" w:rsidRDefault="002134CE" w:rsidP="00F83162">
      <w:pPr>
        <w:rPr>
          <w:rFonts w:ascii="Calibri" w:hAnsi="Calibri" w:cs="Calibri"/>
          <w:b/>
          <w:bCs/>
          <w:color w:val="000000"/>
          <w:sz w:val="10"/>
          <w:szCs w:val="10"/>
        </w:rPr>
      </w:pPr>
    </w:p>
    <w:p w14:paraId="145B7199" w14:textId="6DA3DD78" w:rsidR="002134CE" w:rsidRPr="001245ED" w:rsidRDefault="002134CE" w:rsidP="003A45EB">
      <w:pPr>
        <w:rPr>
          <w:rFonts w:ascii="Calibri" w:hAnsi="Calibri" w:cs="Calibri"/>
          <w:szCs w:val="22"/>
        </w:rPr>
      </w:pPr>
      <w:r w:rsidRPr="001245ED">
        <w:rPr>
          <w:rFonts w:ascii="Calibri" w:hAnsi="Calibri" w:cs="Calibri"/>
          <w:szCs w:val="22"/>
        </w:rPr>
        <w:t xml:space="preserve">For people who face structural inequalities related to gender, race, class, barriers to other labour markets, and </w:t>
      </w:r>
      <w:r>
        <w:rPr>
          <w:rFonts w:ascii="Calibri" w:hAnsi="Calibri" w:cs="Calibri"/>
          <w:szCs w:val="22"/>
        </w:rPr>
        <w:t xml:space="preserve">discriminatory </w:t>
      </w:r>
      <w:r w:rsidRPr="001245ED">
        <w:rPr>
          <w:rFonts w:ascii="Calibri" w:hAnsi="Calibri" w:cs="Calibri"/>
          <w:szCs w:val="22"/>
        </w:rPr>
        <w:t>immigration policies, the money, stability, and autonomy earned through sex work is important. Sex workers exercise agency</w:t>
      </w:r>
      <w:r>
        <w:rPr>
          <w:rFonts w:ascii="Calibri" w:hAnsi="Calibri" w:cs="Calibri"/>
          <w:szCs w:val="22"/>
        </w:rPr>
        <w:t xml:space="preserve"> </w:t>
      </w:r>
      <w:r w:rsidRPr="001245ED">
        <w:rPr>
          <w:rFonts w:ascii="Calibri" w:hAnsi="Calibri" w:cs="Calibri"/>
          <w:szCs w:val="22"/>
        </w:rPr>
        <w:t xml:space="preserve">and the ability to meaningfully consent to sex </w:t>
      </w:r>
      <w:r w:rsidRPr="00112ED1">
        <w:rPr>
          <w:rFonts w:ascii="Calibri" w:hAnsi="Calibri" w:cs="Calibri"/>
          <w:i/>
          <w:iCs/>
          <w:szCs w:val="22"/>
        </w:rPr>
        <w:t>even under conditions of economic constraint and limited options</w:t>
      </w:r>
      <w:r w:rsidRPr="001245ED">
        <w:rPr>
          <w:rFonts w:ascii="Calibri" w:hAnsi="Calibri" w:cs="Calibri"/>
          <w:szCs w:val="22"/>
        </w:rPr>
        <w:t xml:space="preserve">. </w:t>
      </w:r>
    </w:p>
    <w:p w14:paraId="3443089C" w14:textId="77777777" w:rsidR="002134CE" w:rsidRDefault="002134CE" w:rsidP="001245ED">
      <w:pPr>
        <w:rPr>
          <w:rFonts w:ascii="Calibri" w:hAnsi="Calibri" w:cs="Calibri"/>
          <w:szCs w:val="22"/>
        </w:rPr>
      </w:pPr>
    </w:p>
    <w:p w14:paraId="6993A13E" w14:textId="21C07AA9" w:rsidR="002134CE" w:rsidRPr="003C5DEF" w:rsidRDefault="007F4221" w:rsidP="003C5DEF">
      <w:pPr>
        <w:rPr>
          <w:rFonts w:ascii="Calibri" w:hAnsi="Calibri" w:cs="Calibri"/>
          <w:szCs w:val="22"/>
        </w:rPr>
      </w:pPr>
      <w:r>
        <w:rPr>
          <w:rFonts w:ascii="Calibri" w:hAnsi="Calibri" w:cs="Calibri"/>
          <w:szCs w:val="22"/>
        </w:rPr>
        <w:t>R</w:t>
      </w:r>
      <w:r w:rsidR="002134CE" w:rsidRPr="001245ED">
        <w:rPr>
          <w:rFonts w:ascii="Calibri" w:hAnsi="Calibri" w:cs="Calibri"/>
          <w:szCs w:val="22"/>
        </w:rPr>
        <w:t>ape myths that contribute to violence against women often rely on the notion that a woman does not know her own mind, desires, or boundaries</w:t>
      </w:r>
      <w:r w:rsidR="002134CE">
        <w:rPr>
          <w:rFonts w:ascii="Calibri" w:hAnsi="Calibri" w:cs="Calibri"/>
          <w:szCs w:val="22"/>
        </w:rPr>
        <w:t xml:space="preserve">, </w:t>
      </w:r>
      <w:r w:rsidR="002134CE" w:rsidRPr="001245ED">
        <w:rPr>
          <w:rFonts w:ascii="Calibri" w:hAnsi="Calibri" w:cs="Calibri"/>
          <w:szCs w:val="22"/>
        </w:rPr>
        <w:t xml:space="preserve">that someone else can presume </w:t>
      </w:r>
      <w:r w:rsidR="004F7EEA">
        <w:rPr>
          <w:rFonts w:ascii="Calibri" w:hAnsi="Calibri" w:cs="Calibri"/>
          <w:szCs w:val="22"/>
        </w:rPr>
        <w:t>these</w:t>
      </w:r>
      <w:r w:rsidR="002134CE">
        <w:rPr>
          <w:rFonts w:ascii="Calibri" w:hAnsi="Calibri" w:cs="Calibri"/>
          <w:szCs w:val="22"/>
        </w:rPr>
        <w:t>,</w:t>
      </w:r>
      <w:r w:rsidR="002134CE" w:rsidRPr="001245ED">
        <w:rPr>
          <w:rFonts w:ascii="Calibri" w:hAnsi="Calibri" w:cs="Calibri"/>
          <w:szCs w:val="22"/>
        </w:rPr>
        <w:t xml:space="preserve"> and that the outsider’s perspective of a woman’s consent should have significant weight — and often more weight tha</w:t>
      </w:r>
      <w:r w:rsidR="002134CE">
        <w:rPr>
          <w:rFonts w:ascii="Calibri" w:hAnsi="Calibri" w:cs="Calibri"/>
          <w:szCs w:val="22"/>
        </w:rPr>
        <w:t>n</w:t>
      </w:r>
      <w:r w:rsidR="002134CE" w:rsidRPr="001245ED">
        <w:rPr>
          <w:rFonts w:ascii="Calibri" w:hAnsi="Calibri" w:cs="Calibri"/>
          <w:szCs w:val="22"/>
        </w:rPr>
        <w:t xml:space="preserve"> her own. These rape myths are often advanced by those supporting the criminalization of ‘demand’ for sex work: notably that people who sell sex are incapable of knowing whether they are exploited or whether they are consenting.</w:t>
      </w:r>
      <w:r w:rsidR="002134CE">
        <w:rPr>
          <w:rFonts w:ascii="Calibri" w:hAnsi="Calibri" w:cs="Calibri"/>
          <w:szCs w:val="22"/>
        </w:rPr>
        <w:t xml:space="preserve"> Moreover, a</w:t>
      </w:r>
      <w:r w:rsidR="002134CE" w:rsidRPr="001245ED">
        <w:rPr>
          <w:rFonts w:ascii="Calibri" w:hAnsi="Calibri" w:cs="Calibri"/>
          <w:szCs w:val="22"/>
        </w:rPr>
        <w:t xml:space="preserve"> fundamental principle of sexual autonomy is the right to communicate and establish clear and ongoing consent to sex</w:t>
      </w:r>
      <w:r w:rsidR="002134CE">
        <w:rPr>
          <w:rFonts w:ascii="Calibri" w:hAnsi="Calibri" w:cs="Calibri"/>
          <w:szCs w:val="22"/>
        </w:rPr>
        <w:t xml:space="preserve"> </w:t>
      </w:r>
      <w:r w:rsidR="002134CE" w:rsidRPr="001245ED">
        <w:rPr>
          <w:rFonts w:ascii="Calibri" w:hAnsi="Calibri" w:cs="Calibri"/>
          <w:szCs w:val="22"/>
        </w:rPr>
        <w:t>—</w:t>
      </w:r>
      <w:r w:rsidR="002134CE">
        <w:rPr>
          <w:rFonts w:ascii="Calibri" w:hAnsi="Calibri" w:cs="Calibri"/>
          <w:szCs w:val="22"/>
        </w:rPr>
        <w:t xml:space="preserve"> a principle that has been affirmed by c</w:t>
      </w:r>
      <w:r w:rsidR="002134CE" w:rsidRPr="001245ED">
        <w:rPr>
          <w:rFonts w:ascii="Calibri" w:hAnsi="Calibri" w:cs="Calibri"/>
          <w:szCs w:val="22"/>
        </w:rPr>
        <w:t>ourts around the world.</w:t>
      </w:r>
      <w:r w:rsidR="002134CE">
        <w:rPr>
          <w:rStyle w:val="EndnoteReference"/>
          <w:rFonts w:ascii="Calibri" w:hAnsi="Calibri" w:cs="Calibri"/>
          <w:szCs w:val="22"/>
        </w:rPr>
        <w:endnoteReference w:id="18"/>
      </w:r>
      <w:r w:rsidR="002134CE" w:rsidRPr="001245ED">
        <w:rPr>
          <w:rFonts w:ascii="Calibri" w:hAnsi="Calibri" w:cs="Calibri"/>
          <w:szCs w:val="22"/>
        </w:rPr>
        <w:t xml:space="preserve"> Yet, laws criminalizing sex work create conditions </w:t>
      </w:r>
      <w:r w:rsidR="00445279">
        <w:rPr>
          <w:rFonts w:ascii="Calibri" w:hAnsi="Calibri" w:cs="Calibri"/>
          <w:szCs w:val="22"/>
        </w:rPr>
        <w:t>that</w:t>
      </w:r>
      <w:r w:rsidR="00445279" w:rsidRPr="001245ED">
        <w:rPr>
          <w:rFonts w:ascii="Calibri" w:hAnsi="Calibri" w:cs="Calibri"/>
          <w:szCs w:val="22"/>
        </w:rPr>
        <w:t xml:space="preserve"> </w:t>
      </w:r>
      <w:r w:rsidR="002134CE" w:rsidRPr="001245ED">
        <w:rPr>
          <w:rFonts w:ascii="Calibri" w:hAnsi="Calibri" w:cs="Calibri"/>
          <w:szCs w:val="22"/>
        </w:rPr>
        <w:t>impede sex workers’ capacity to clearly communicate, negotiate, and establish their terms by undermining explicit conversations between sex workers and clients or third parties</w:t>
      </w:r>
      <w:r w:rsidR="002134CE">
        <w:rPr>
          <w:rFonts w:ascii="Calibri" w:hAnsi="Calibri" w:cs="Calibri"/>
          <w:szCs w:val="22"/>
        </w:rPr>
        <w:t xml:space="preserve"> </w:t>
      </w:r>
      <w:r w:rsidR="002134CE" w:rsidRPr="001245ED">
        <w:rPr>
          <w:rFonts w:ascii="Calibri" w:hAnsi="Calibri" w:cs="Calibri"/>
          <w:szCs w:val="22"/>
        </w:rPr>
        <w:t>—</w:t>
      </w:r>
      <w:r w:rsidR="002134CE">
        <w:rPr>
          <w:rFonts w:ascii="Calibri" w:hAnsi="Calibri" w:cs="Calibri"/>
          <w:szCs w:val="22"/>
        </w:rPr>
        <w:t xml:space="preserve"> thus depriving sex workers of the ability to consistently and meaningfully consent.</w:t>
      </w:r>
    </w:p>
    <w:p w14:paraId="51729589" w14:textId="77777777" w:rsidR="002134CE" w:rsidRDefault="002134CE" w:rsidP="00D55A69">
      <w:pPr>
        <w:pStyle w:val="ListParagraph"/>
        <w:rPr>
          <w:rFonts w:ascii="Calibri" w:hAnsi="Calibri" w:cs="Calibri"/>
          <w:szCs w:val="22"/>
        </w:rPr>
      </w:pPr>
      <w:r w:rsidRPr="00DD42D1">
        <w:rPr>
          <w:rFonts w:ascii="Calibri" w:hAnsi="Calibri" w:cs="Calibri"/>
          <w:szCs w:val="22"/>
        </w:rPr>
        <w:tab/>
      </w:r>
      <w:r w:rsidRPr="00DD42D1">
        <w:rPr>
          <w:rFonts w:ascii="Calibri" w:hAnsi="Calibri" w:cs="Calibri"/>
          <w:szCs w:val="22"/>
        </w:rPr>
        <w:tab/>
      </w:r>
      <w:r w:rsidRPr="00DD42D1">
        <w:rPr>
          <w:rFonts w:ascii="Calibri" w:hAnsi="Calibri" w:cs="Calibri"/>
          <w:szCs w:val="22"/>
        </w:rPr>
        <w:tab/>
      </w:r>
    </w:p>
    <w:p w14:paraId="1D837E0A" w14:textId="7A8167A8" w:rsidR="002134CE" w:rsidRPr="00DC381B" w:rsidRDefault="002134CE" w:rsidP="00D55A69">
      <w:pPr>
        <w:pStyle w:val="ListParagraph"/>
        <w:rPr>
          <w:rFonts w:ascii="Calibri" w:hAnsi="Calibri" w:cs="Calibri"/>
          <w:sz w:val="10"/>
          <w:szCs w:val="10"/>
          <w:lang w:val="en-CA"/>
        </w:rPr>
      </w:pPr>
      <w:r w:rsidRPr="00DD42D1">
        <w:rPr>
          <w:rFonts w:ascii="Calibri" w:hAnsi="Calibri" w:cs="Calibri"/>
          <w:szCs w:val="22"/>
        </w:rPr>
        <w:tab/>
      </w:r>
      <w:r w:rsidRPr="00DC381B">
        <w:rPr>
          <w:rFonts w:ascii="Calibri" w:hAnsi="Calibri" w:cs="Calibri"/>
          <w:sz w:val="10"/>
          <w:szCs w:val="10"/>
        </w:rPr>
        <w:tab/>
      </w:r>
      <w:r w:rsidRPr="00DC381B">
        <w:rPr>
          <w:rFonts w:ascii="Calibri" w:hAnsi="Calibri" w:cs="Calibri"/>
          <w:sz w:val="10"/>
          <w:szCs w:val="10"/>
        </w:rPr>
        <w:tab/>
      </w:r>
    </w:p>
    <w:p w14:paraId="5862BA44" w14:textId="77777777" w:rsidR="002134CE" w:rsidRPr="00441B62" w:rsidRDefault="002134CE" w:rsidP="00F83162">
      <w:pPr>
        <w:rPr>
          <w:rFonts w:ascii="Calibri" w:hAnsi="Calibri" w:cs="Calibri"/>
          <w:b/>
          <w:bCs/>
          <w:color w:val="000000"/>
          <w:szCs w:val="22"/>
        </w:rPr>
      </w:pPr>
      <w:r w:rsidRPr="00441B62">
        <w:rPr>
          <w:rFonts w:ascii="Calibri" w:hAnsi="Calibri" w:cs="Calibri"/>
          <w:b/>
          <w:bCs/>
          <w:color w:val="000000"/>
          <w:szCs w:val="22"/>
        </w:rPr>
        <w:t>How effective have legislative frameworks and policies been in preventing and responding to violence against women and girls in prostitution?</w:t>
      </w:r>
    </w:p>
    <w:p w14:paraId="30830CB3" w14:textId="77777777" w:rsidR="002134CE" w:rsidRPr="00066BB5" w:rsidRDefault="002134CE" w:rsidP="00F83162">
      <w:pPr>
        <w:rPr>
          <w:rFonts w:ascii="Calibri" w:hAnsi="Calibri" w:cs="Calibri"/>
          <w:b/>
          <w:bCs/>
          <w:color w:val="000000"/>
          <w:sz w:val="10"/>
          <w:szCs w:val="10"/>
        </w:rPr>
      </w:pPr>
    </w:p>
    <w:p w14:paraId="4CE435D6" w14:textId="25FF31B1" w:rsidR="002134CE" w:rsidRPr="00066BB5" w:rsidRDefault="002134CE" w:rsidP="0064701F">
      <w:pPr>
        <w:rPr>
          <w:rFonts w:ascii="Calibri" w:hAnsi="Calibri" w:cs="Calibri"/>
          <w:szCs w:val="22"/>
        </w:rPr>
      </w:pPr>
      <w:r w:rsidRPr="001245ED">
        <w:rPr>
          <w:rFonts w:ascii="Calibri" w:hAnsi="Calibri" w:cs="Calibri"/>
          <w:szCs w:val="22"/>
        </w:rPr>
        <w:t xml:space="preserve">A growing body of evidence, documented across </w:t>
      </w:r>
      <w:r w:rsidR="00D37F94">
        <w:rPr>
          <w:rFonts w:ascii="Calibri" w:hAnsi="Calibri" w:cs="Calibri"/>
          <w:szCs w:val="22"/>
        </w:rPr>
        <w:t>diverse</w:t>
      </w:r>
      <w:r w:rsidRPr="001245ED">
        <w:rPr>
          <w:rFonts w:ascii="Calibri" w:hAnsi="Calibri" w:cs="Calibri"/>
          <w:szCs w:val="22"/>
        </w:rPr>
        <w:t xml:space="preserve"> contexts and jurisdictions, has confirmed that laws criminalizing sex work, including those that claim to only criminalize clients and third parties (e.g. “end demand” approach) impose dangerous conditions on sex workers — especially the most marginalized — and significantly increase their risk of violence, and other forms of abuse. </w:t>
      </w:r>
      <w:r w:rsidRPr="0064701F">
        <w:rPr>
          <w:rFonts w:ascii="Calibri" w:hAnsi="Calibri" w:cs="Calibri"/>
          <w:szCs w:val="22"/>
        </w:rPr>
        <w:t>Research has also shown that ‘end demand’</w:t>
      </w:r>
      <w:r w:rsidR="00E33E8F">
        <w:rPr>
          <w:rFonts w:ascii="Calibri" w:hAnsi="Calibri" w:cs="Calibri"/>
          <w:szCs w:val="22"/>
        </w:rPr>
        <w:t xml:space="preserve"> approaches</w:t>
      </w:r>
      <w:r w:rsidRPr="0064701F">
        <w:rPr>
          <w:rFonts w:ascii="Calibri" w:hAnsi="Calibri" w:cs="Calibri"/>
          <w:szCs w:val="22"/>
        </w:rPr>
        <w:t xml:space="preserve"> do not stop </w:t>
      </w:r>
      <w:r w:rsidR="00C506CA">
        <w:rPr>
          <w:rFonts w:ascii="Calibri" w:hAnsi="Calibri" w:cs="Calibri"/>
          <w:szCs w:val="22"/>
        </w:rPr>
        <w:t>people</w:t>
      </w:r>
      <w:r w:rsidRPr="0064701F">
        <w:rPr>
          <w:rFonts w:ascii="Calibri" w:hAnsi="Calibri" w:cs="Calibri"/>
          <w:szCs w:val="22"/>
        </w:rPr>
        <w:t xml:space="preserve"> from participating in sex work, nor do they provide other viable options or resources</w:t>
      </w:r>
      <w:r>
        <w:rPr>
          <w:rFonts w:ascii="Calibri" w:hAnsi="Calibri" w:cs="Calibri"/>
          <w:szCs w:val="22"/>
        </w:rPr>
        <w:t xml:space="preserve">. </w:t>
      </w:r>
      <w:r w:rsidRPr="0064701F">
        <w:rPr>
          <w:rFonts w:ascii="Calibri" w:hAnsi="Calibri" w:cs="Calibri"/>
          <w:szCs w:val="22"/>
        </w:rPr>
        <w:t xml:space="preserve">According to the Global Commission on HIV and the Law, </w:t>
      </w:r>
      <w:r w:rsidR="00DF4DFA">
        <w:rPr>
          <w:rFonts w:ascii="Calibri" w:hAnsi="Calibri" w:cs="Calibri"/>
          <w:szCs w:val="22"/>
        </w:rPr>
        <w:t>Sweden’s</w:t>
      </w:r>
      <w:r w:rsidR="00DF4DFA" w:rsidRPr="0064701F">
        <w:rPr>
          <w:rFonts w:ascii="Calibri" w:hAnsi="Calibri" w:cs="Calibri"/>
          <w:szCs w:val="22"/>
        </w:rPr>
        <w:t xml:space="preserve"> </w:t>
      </w:r>
      <w:r w:rsidR="00DF4DFA">
        <w:rPr>
          <w:rFonts w:ascii="Calibri" w:hAnsi="Calibri" w:cs="Calibri"/>
          <w:szCs w:val="22"/>
        </w:rPr>
        <w:t xml:space="preserve">1999 </w:t>
      </w:r>
      <w:r w:rsidRPr="0064701F">
        <w:rPr>
          <w:rFonts w:ascii="Calibri" w:hAnsi="Calibri" w:cs="Calibri"/>
          <w:szCs w:val="22"/>
        </w:rPr>
        <w:t>criminalization of clients has worsened the lives of sex workers, increasing their risk of violence, without diminishing the demand</w:t>
      </w:r>
      <w:r>
        <w:rPr>
          <w:rFonts w:ascii="Calibri" w:hAnsi="Calibri" w:cs="Calibri"/>
          <w:szCs w:val="22"/>
        </w:rPr>
        <w:t>.</w:t>
      </w:r>
      <w:r>
        <w:rPr>
          <w:rStyle w:val="EndnoteReference"/>
          <w:rFonts w:ascii="Calibri" w:hAnsi="Calibri" w:cs="Calibri"/>
          <w:szCs w:val="22"/>
        </w:rPr>
        <w:endnoteReference w:id="19"/>
      </w:r>
      <w:r>
        <w:rPr>
          <w:rFonts w:ascii="Calibri" w:hAnsi="Calibri" w:cs="Calibri"/>
          <w:szCs w:val="22"/>
        </w:rPr>
        <w:t xml:space="preserve"> These results have been borne out in other jurisdictions that criminalize ‘demand’ </w:t>
      </w:r>
      <w:r w:rsidRPr="00D26668">
        <w:rPr>
          <w:rFonts w:ascii="Calibri" w:hAnsi="Calibri" w:cs="Calibri"/>
          <w:szCs w:val="22"/>
        </w:rPr>
        <w:t>(e.g. Ireland,</w:t>
      </w:r>
      <w:r w:rsidRPr="00D26668">
        <w:rPr>
          <w:rStyle w:val="EndnoteReference"/>
        </w:rPr>
        <w:endnoteReference w:id="20"/>
      </w:r>
      <w:r w:rsidRPr="00D26668">
        <w:rPr>
          <w:rFonts w:ascii="Calibri" w:hAnsi="Calibri" w:cs="Calibri"/>
          <w:szCs w:val="22"/>
        </w:rPr>
        <w:t xml:space="preserve"> Norway</w:t>
      </w:r>
      <w:r>
        <w:rPr>
          <w:rFonts w:ascii="Calibri" w:hAnsi="Calibri" w:cs="Calibri"/>
          <w:szCs w:val="22"/>
        </w:rPr>
        <w:t>,</w:t>
      </w:r>
      <w:r>
        <w:rPr>
          <w:rStyle w:val="EndnoteReference"/>
          <w:rFonts w:ascii="Calibri" w:hAnsi="Calibri" w:cs="Calibri"/>
          <w:szCs w:val="22"/>
        </w:rPr>
        <w:endnoteReference w:id="21"/>
      </w:r>
      <w:r>
        <w:rPr>
          <w:rFonts w:ascii="Calibri" w:hAnsi="Calibri" w:cs="Calibri"/>
          <w:szCs w:val="22"/>
        </w:rPr>
        <w:t xml:space="preserve"> Finland,</w:t>
      </w:r>
      <w:r>
        <w:rPr>
          <w:rStyle w:val="EndnoteReference"/>
          <w:rFonts w:ascii="Calibri" w:hAnsi="Calibri" w:cs="Calibri"/>
          <w:szCs w:val="22"/>
        </w:rPr>
        <w:endnoteReference w:id="22"/>
      </w:r>
      <w:r>
        <w:rPr>
          <w:rFonts w:ascii="Calibri" w:hAnsi="Calibri" w:cs="Calibri"/>
          <w:szCs w:val="22"/>
        </w:rPr>
        <w:t xml:space="preserve"> and Canada</w:t>
      </w:r>
      <w:r>
        <w:rPr>
          <w:rStyle w:val="EndnoteReference"/>
          <w:rFonts w:ascii="Calibri" w:hAnsi="Calibri" w:cs="Calibri"/>
          <w:szCs w:val="22"/>
        </w:rPr>
        <w:endnoteReference w:id="23"/>
      </w:r>
      <w:r>
        <w:rPr>
          <w:rFonts w:ascii="Calibri" w:hAnsi="Calibri" w:cs="Calibri"/>
          <w:szCs w:val="22"/>
        </w:rPr>
        <w:t xml:space="preserve">). </w:t>
      </w:r>
      <w:r w:rsidRPr="0064701F">
        <w:rPr>
          <w:rFonts w:ascii="Calibri" w:hAnsi="Calibri" w:cs="Calibri"/>
          <w:szCs w:val="22"/>
        </w:rPr>
        <w:t xml:space="preserve">As detailed by the UN Working Group on Violence against Women in 2023, the “end demand” </w:t>
      </w:r>
      <w:r w:rsidR="00E33E8F">
        <w:rPr>
          <w:rFonts w:ascii="Calibri" w:hAnsi="Calibri" w:cs="Calibri"/>
          <w:szCs w:val="22"/>
        </w:rPr>
        <w:t>approach</w:t>
      </w:r>
      <w:r w:rsidRPr="0064701F">
        <w:rPr>
          <w:rFonts w:ascii="Calibri" w:hAnsi="Calibri" w:cs="Calibri"/>
          <w:szCs w:val="22"/>
        </w:rPr>
        <w:t xml:space="preserve"> “increases surveillance and harassment of sex workers by the police, leading to increases in arrest and detention, as well as deportation of migrant sex workers, while simultaneously undermining sex workers’ access to justice. By pushing sex work underground, it also furthers stigmatisation and discrimination of sex workers, who report impeded access to housing and financial institutions, as well refusal of services. This model also has negative impact on sex workers’ health and safety.”</w:t>
      </w:r>
      <w:r>
        <w:rPr>
          <w:rStyle w:val="EndnoteReference"/>
          <w:rFonts w:ascii="Calibri" w:hAnsi="Calibri" w:cs="Calibri"/>
          <w:szCs w:val="22"/>
        </w:rPr>
        <w:endnoteReference w:id="24"/>
      </w:r>
    </w:p>
    <w:p w14:paraId="444F7D63" w14:textId="2CA321FA" w:rsidR="002134CE" w:rsidRPr="008C297B" w:rsidRDefault="002134CE" w:rsidP="008C297B">
      <w:pPr>
        <w:rPr>
          <w:rFonts w:ascii="Calibri" w:hAnsi="Calibri" w:cs="Calibri"/>
          <w:b/>
          <w:bCs/>
          <w:szCs w:val="22"/>
          <w:highlight w:val="yellow"/>
        </w:rPr>
      </w:pPr>
    </w:p>
    <w:p w14:paraId="307EFC87" w14:textId="7D90CE35" w:rsidR="00E02752" w:rsidRPr="00E02752" w:rsidRDefault="002134CE" w:rsidP="00F83162">
      <w:pPr>
        <w:rPr>
          <w:rFonts w:ascii="Calibri" w:hAnsi="Calibri" w:cs="Calibri"/>
          <w:b/>
          <w:bCs/>
          <w:color w:val="000000"/>
          <w:sz w:val="10"/>
          <w:szCs w:val="10"/>
        </w:rPr>
      </w:pPr>
      <w:r w:rsidRPr="001245ED">
        <w:rPr>
          <w:rFonts w:ascii="Calibri" w:hAnsi="Calibri" w:cs="Calibri"/>
          <w:szCs w:val="22"/>
        </w:rPr>
        <w:t xml:space="preserve">Just as the criminalization of sex work fuels targeted violence, decriminalization can have the opposite effect. In New Zealand, which decriminalized sex work with </w:t>
      </w:r>
      <w:r w:rsidR="00630117">
        <w:rPr>
          <w:rFonts w:ascii="Calibri" w:hAnsi="Calibri" w:cs="Calibri"/>
          <w:szCs w:val="22"/>
        </w:rPr>
        <w:t>its</w:t>
      </w:r>
      <w:r w:rsidRPr="001245ED">
        <w:rPr>
          <w:rFonts w:ascii="Calibri" w:hAnsi="Calibri" w:cs="Calibri"/>
          <w:szCs w:val="22"/>
        </w:rPr>
        <w:t xml:space="preserve"> 2003 </w:t>
      </w:r>
      <w:r w:rsidRPr="001245ED">
        <w:rPr>
          <w:rFonts w:ascii="Calibri" w:hAnsi="Calibri" w:cs="Calibri"/>
          <w:i/>
          <w:iCs/>
          <w:szCs w:val="22"/>
        </w:rPr>
        <w:t>Prostitution Reform Act</w:t>
      </w:r>
      <w:r w:rsidRPr="001245ED">
        <w:rPr>
          <w:rFonts w:ascii="Calibri" w:hAnsi="Calibri" w:cs="Calibri"/>
          <w:szCs w:val="22"/>
        </w:rPr>
        <w:t xml:space="preserve">, research has shown that sex workers are safer as decriminalization reduced opportunities for violence and exploitation, particularly </w:t>
      </w:r>
      <w:r w:rsidR="004F7EEA">
        <w:rPr>
          <w:rFonts w:ascii="Calibri" w:hAnsi="Calibri" w:cs="Calibri"/>
          <w:szCs w:val="22"/>
        </w:rPr>
        <w:t>by giving</w:t>
      </w:r>
      <w:r w:rsidRPr="001245ED">
        <w:rPr>
          <w:rFonts w:ascii="Calibri" w:hAnsi="Calibri" w:cs="Calibri"/>
          <w:szCs w:val="22"/>
        </w:rPr>
        <w:t xml:space="preserve"> sex workers more power to assert their rights and </w:t>
      </w:r>
      <w:r w:rsidR="00D84A90">
        <w:rPr>
          <w:rFonts w:ascii="Calibri" w:hAnsi="Calibri" w:cs="Calibri"/>
          <w:szCs w:val="22"/>
        </w:rPr>
        <w:t>more</w:t>
      </w:r>
      <w:r w:rsidRPr="001245ED">
        <w:rPr>
          <w:rFonts w:ascii="Calibri" w:hAnsi="Calibri" w:cs="Calibri"/>
          <w:szCs w:val="22"/>
        </w:rPr>
        <w:t xml:space="preserve"> recourse for discrimination and sexual harassment in their workplace.</w:t>
      </w:r>
      <w:r>
        <w:rPr>
          <w:rStyle w:val="EndnoteReference"/>
          <w:rFonts w:ascii="Calibri" w:hAnsi="Calibri" w:cs="Calibri"/>
          <w:szCs w:val="22"/>
        </w:rPr>
        <w:endnoteReference w:id="25"/>
      </w:r>
      <w:r w:rsidRPr="001245ED">
        <w:rPr>
          <w:rFonts w:ascii="Calibri" w:hAnsi="Calibri" w:cs="Calibri"/>
          <w:szCs w:val="22"/>
        </w:rPr>
        <w:t xml:space="preserve"> </w:t>
      </w:r>
    </w:p>
    <w:p w14:paraId="5AED38D2" w14:textId="0D2FC74E" w:rsidR="002134CE" w:rsidRPr="00441B62" w:rsidRDefault="002134CE" w:rsidP="00F83162">
      <w:pPr>
        <w:rPr>
          <w:rFonts w:ascii="Calibri" w:hAnsi="Calibri" w:cs="Calibri"/>
          <w:b/>
          <w:bCs/>
          <w:color w:val="000000"/>
          <w:szCs w:val="22"/>
        </w:rPr>
      </w:pPr>
      <w:r w:rsidRPr="00441B62">
        <w:rPr>
          <w:rFonts w:ascii="Calibri" w:hAnsi="Calibri" w:cs="Calibri"/>
          <w:b/>
          <w:bCs/>
          <w:color w:val="000000"/>
          <w:szCs w:val="22"/>
        </w:rPr>
        <w:lastRenderedPageBreak/>
        <w:t>What recommendations do you have to prevent and end violence associated with prostitution for women?</w:t>
      </w:r>
    </w:p>
    <w:p w14:paraId="62832B21" w14:textId="77777777" w:rsidR="002134CE" w:rsidRPr="00F47949" w:rsidRDefault="002134CE" w:rsidP="00F83162">
      <w:pPr>
        <w:rPr>
          <w:rFonts w:ascii="Calibri" w:hAnsi="Calibri" w:cs="Calibri"/>
          <w:b/>
          <w:bCs/>
          <w:color w:val="000000"/>
          <w:sz w:val="10"/>
          <w:szCs w:val="10"/>
        </w:rPr>
      </w:pPr>
    </w:p>
    <w:p w14:paraId="1342FCCF" w14:textId="1091F48B" w:rsidR="002134CE" w:rsidRDefault="002134CE" w:rsidP="00F83162">
      <w:pPr>
        <w:rPr>
          <w:rFonts w:ascii="Calibri" w:hAnsi="Calibri" w:cs="Calibri"/>
          <w:color w:val="000000"/>
          <w:szCs w:val="22"/>
        </w:rPr>
      </w:pPr>
      <w:r w:rsidRPr="00441B62">
        <w:rPr>
          <w:rFonts w:ascii="Calibri" w:hAnsi="Calibri" w:cs="Calibri"/>
          <w:color w:val="000000"/>
          <w:szCs w:val="22"/>
        </w:rPr>
        <w:t>Given the</w:t>
      </w:r>
      <w:r>
        <w:rPr>
          <w:rFonts w:ascii="Calibri" w:hAnsi="Calibri" w:cs="Calibri"/>
          <w:color w:val="000000"/>
          <w:szCs w:val="22"/>
        </w:rPr>
        <w:t xml:space="preserve"> documented experiences of targeted</w:t>
      </w:r>
      <w:r w:rsidRPr="00441B62">
        <w:rPr>
          <w:rFonts w:ascii="Calibri" w:hAnsi="Calibri" w:cs="Calibri"/>
          <w:color w:val="000000"/>
          <w:szCs w:val="22"/>
        </w:rPr>
        <w:t xml:space="preserve"> violence associated with laws criminalizing</w:t>
      </w:r>
      <w:r w:rsidR="00BC15AF">
        <w:rPr>
          <w:rFonts w:ascii="Calibri" w:hAnsi="Calibri" w:cs="Calibri"/>
          <w:color w:val="000000"/>
          <w:szCs w:val="22"/>
        </w:rPr>
        <w:t xml:space="preserve"> or otherwise prohibiting</w:t>
      </w:r>
      <w:r w:rsidRPr="00441B62">
        <w:rPr>
          <w:rFonts w:ascii="Calibri" w:hAnsi="Calibri" w:cs="Calibri"/>
          <w:color w:val="000000"/>
          <w:szCs w:val="22"/>
        </w:rPr>
        <w:t xml:space="preserve"> sex work, we recommend </w:t>
      </w:r>
      <w:r>
        <w:rPr>
          <w:rFonts w:ascii="Calibri" w:hAnsi="Calibri" w:cs="Calibri"/>
          <w:color w:val="000000"/>
          <w:szCs w:val="22"/>
        </w:rPr>
        <w:t>that the Special Rapporteur urges states to:</w:t>
      </w:r>
    </w:p>
    <w:p w14:paraId="4E4BB30F" w14:textId="77777777" w:rsidR="002134CE" w:rsidRPr="00441B62" w:rsidRDefault="002134CE" w:rsidP="00F83162">
      <w:pPr>
        <w:rPr>
          <w:rFonts w:ascii="Calibri" w:hAnsi="Calibri" w:cs="Calibri"/>
          <w:color w:val="000000"/>
          <w:szCs w:val="22"/>
        </w:rPr>
      </w:pPr>
    </w:p>
    <w:p w14:paraId="79713A02" w14:textId="77777777" w:rsidR="007C5831" w:rsidRDefault="002134CE" w:rsidP="007C5831">
      <w:pPr>
        <w:pStyle w:val="ListParagraph"/>
        <w:numPr>
          <w:ilvl w:val="0"/>
          <w:numId w:val="15"/>
        </w:numPr>
        <w:jc w:val="both"/>
        <w:rPr>
          <w:rFonts w:ascii="Calibri" w:hAnsi="Calibri" w:cs="Calibri"/>
          <w:szCs w:val="22"/>
        </w:rPr>
      </w:pPr>
      <w:r w:rsidRPr="007C5831">
        <w:rPr>
          <w:rFonts w:ascii="Calibri" w:hAnsi="Calibri" w:cs="Calibri"/>
          <w:szCs w:val="22"/>
        </w:rPr>
        <w:t>Immediately repeal all sex work–specific criminal laws, including laws that make it an offence to sell, purchase, or advertise sex work, communicate for the purpose of sex work, engage in sex work in public space, or act as a third party in sex work.</w:t>
      </w:r>
    </w:p>
    <w:p w14:paraId="16D19A79" w14:textId="77777777" w:rsidR="007C5831" w:rsidRPr="007C5831" w:rsidRDefault="007C5831" w:rsidP="007C5831">
      <w:pPr>
        <w:pStyle w:val="ListParagraph"/>
        <w:jc w:val="both"/>
        <w:rPr>
          <w:rFonts w:ascii="Calibri" w:hAnsi="Calibri" w:cs="Calibri"/>
          <w:sz w:val="16"/>
          <w:szCs w:val="16"/>
        </w:rPr>
      </w:pPr>
    </w:p>
    <w:p w14:paraId="2EE5129B" w14:textId="084FE784" w:rsidR="007C5831" w:rsidRDefault="002134CE" w:rsidP="007C5831">
      <w:pPr>
        <w:pStyle w:val="ListParagraph"/>
        <w:numPr>
          <w:ilvl w:val="0"/>
          <w:numId w:val="15"/>
        </w:numPr>
        <w:jc w:val="both"/>
        <w:rPr>
          <w:rFonts w:ascii="Calibri" w:hAnsi="Calibri" w:cs="Calibri"/>
          <w:szCs w:val="22"/>
        </w:rPr>
      </w:pPr>
      <w:r w:rsidRPr="007C5831">
        <w:rPr>
          <w:rFonts w:ascii="Calibri" w:hAnsi="Calibri" w:cs="Calibri"/>
          <w:szCs w:val="22"/>
        </w:rPr>
        <w:t>Remove immigration</w:t>
      </w:r>
      <w:r w:rsidR="007C0DF5">
        <w:rPr>
          <w:rFonts w:ascii="Calibri" w:hAnsi="Calibri" w:cs="Calibri"/>
          <w:szCs w:val="22"/>
        </w:rPr>
        <w:t xml:space="preserve"> laws or</w:t>
      </w:r>
      <w:r w:rsidRPr="007C5831">
        <w:rPr>
          <w:rFonts w:ascii="Calibri" w:hAnsi="Calibri" w:cs="Calibri"/>
          <w:szCs w:val="22"/>
        </w:rPr>
        <w:t xml:space="preserve"> regulations that prohibit migrant sex work.</w:t>
      </w:r>
    </w:p>
    <w:p w14:paraId="1AC50162" w14:textId="77777777" w:rsidR="007C5831" w:rsidRPr="007C5831" w:rsidRDefault="007C5831" w:rsidP="007C5831">
      <w:pPr>
        <w:pStyle w:val="ListParagraph"/>
        <w:jc w:val="both"/>
        <w:rPr>
          <w:rFonts w:ascii="Calibri" w:hAnsi="Calibri" w:cs="Calibri"/>
          <w:sz w:val="16"/>
          <w:szCs w:val="16"/>
        </w:rPr>
      </w:pPr>
    </w:p>
    <w:p w14:paraId="1EE7BE33" w14:textId="53BD80AC" w:rsidR="007C5831" w:rsidRDefault="002134CE" w:rsidP="007C5831">
      <w:pPr>
        <w:pStyle w:val="ListParagraph"/>
        <w:numPr>
          <w:ilvl w:val="0"/>
          <w:numId w:val="15"/>
        </w:numPr>
        <w:jc w:val="both"/>
        <w:rPr>
          <w:rFonts w:ascii="Calibri" w:hAnsi="Calibri" w:cs="Calibri"/>
          <w:szCs w:val="22"/>
        </w:rPr>
      </w:pPr>
      <w:r w:rsidRPr="007C5831">
        <w:rPr>
          <w:rFonts w:ascii="Calibri" w:hAnsi="Calibri" w:cs="Calibri"/>
          <w:szCs w:val="22"/>
        </w:rPr>
        <w:t>Stop law enforcement raids, detentions, and deportations of sex workers.</w:t>
      </w:r>
    </w:p>
    <w:p w14:paraId="3C5BAE35" w14:textId="77777777" w:rsidR="007C5831" w:rsidRPr="007C5831" w:rsidRDefault="007C5831" w:rsidP="007C5831">
      <w:pPr>
        <w:pStyle w:val="ListParagraph"/>
        <w:jc w:val="both"/>
        <w:rPr>
          <w:rFonts w:ascii="Calibri" w:hAnsi="Calibri" w:cs="Calibri"/>
          <w:sz w:val="16"/>
          <w:szCs w:val="16"/>
        </w:rPr>
      </w:pPr>
    </w:p>
    <w:p w14:paraId="5E52C8DB" w14:textId="5ECC34D2" w:rsidR="002134CE" w:rsidRPr="007C5831" w:rsidRDefault="002134CE" w:rsidP="007C5831">
      <w:pPr>
        <w:pStyle w:val="ListParagraph"/>
        <w:numPr>
          <w:ilvl w:val="0"/>
          <w:numId w:val="15"/>
        </w:numPr>
        <w:jc w:val="both"/>
        <w:rPr>
          <w:rFonts w:ascii="Calibri" w:hAnsi="Calibri" w:cs="Calibri"/>
          <w:szCs w:val="22"/>
        </w:rPr>
      </w:pPr>
      <w:r w:rsidRPr="007C5831">
        <w:rPr>
          <w:rFonts w:ascii="Calibri" w:hAnsi="Calibri" w:cs="Calibri"/>
          <w:szCs w:val="22"/>
        </w:rPr>
        <w:t xml:space="preserve">Fund and support programs and services that are developed by people </w:t>
      </w:r>
      <w:r w:rsidR="004F7EEA">
        <w:rPr>
          <w:rFonts w:ascii="Calibri" w:hAnsi="Calibri" w:cs="Calibri"/>
          <w:szCs w:val="22"/>
        </w:rPr>
        <w:t>with</w:t>
      </w:r>
      <w:r w:rsidRPr="007C5831">
        <w:rPr>
          <w:rFonts w:ascii="Calibri" w:hAnsi="Calibri" w:cs="Calibri"/>
          <w:szCs w:val="22"/>
        </w:rPr>
        <w:t xml:space="preserve"> lived experience, including sex worker-led outreach by Indigenous, Black, and migrant sex worker groups.</w:t>
      </w:r>
    </w:p>
    <w:p w14:paraId="4D817E1B" w14:textId="77777777" w:rsidR="002134CE" w:rsidRPr="00441B62" w:rsidRDefault="002134CE" w:rsidP="00F83162">
      <w:pPr>
        <w:jc w:val="both"/>
        <w:rPr>
          <w:rFonts w:ascii="Calibri" w:hAnsi="Calibri" w:cs="Calibri"/>
          <w:szCs w:val="22"/>
        </w:rPr>
      </w:pPr>
    </w:p>
    <w:p w14:paraId="325AE473" w14:textId="2FAD15FC" w:rsidR="002134CE" w:rsidRPr="000F4592" w:rsidRDefault="002134CE" w:rsidP="001A792F">
      <w:pPr>
        <w:rPr>
          <w:rFonts w:ascii="Calibri" w:hAnsi="Calibri" w:cs="Calibri"/>
          <w:szCs w:val="22"/>
        </w:rPr>
      </w:pPr>
      <w:r w:rsidRPr="00441B62">
        <w:rPr>
          <w:rFonts w:ascii="Calibri" w:hAnsi="Calibri" w:cs="Calibri"/>
          <w:szCs w:val="22"/>
        </w:rPr>
        <w:t>Repealing sex work offences is in line with recommendations made by UN Special Procedures and other UN agencies. The UN Special Rapporteur on the right to health has described the negative ramifications of criminalizing third parties, explicitly calling for the decriminalization of sex work, and has spoken out against the conflation of sex work and human trafficking.</w:t>
      </w:r>
      <w:r w:rsidRPr="00441B62">
        <w:rPr>
          <w:rStyle w:val="EndnoteReference"/>
          <w:rFonts w:ascii="Calibri" w:hAnsi="Calibri" w:cs="Calibri"/>
          <w:szCs w:val="22"/>
        </w:rPr>
        <w:endnoteReference w:id="26"/>
      </w:r>
      <w:r w:rsidRPr="00441B62">
        <w:rPr>
          <w:rFonts w:ascii="Calibri" w:hAnsi="Calibri" w:cs="Calibri"/>
          <w:szCs w:val="22"/>
        </w:rPr>
        <w:t xml:space="preserve"> The</w:t>
      </w:r>
      <w:r>
        <w:rPr>
          <w:rFonts w:ascii="Calibri" w:hAnsi="Calibri" w:cs="Calibri"/>
          <w:szCs w:val="22"/>
        </w:rPr>
        <w:t xml:space="preserve"> previous</w:t>
      </w:r>
      <w:r w:rsidRPr="00441B62">
        <w:rPr>
          <w:rFonts w:ascii="Calibri" w:hAnsi="Calibri" w:cs="Calibri"/>
          <w:szCs w:val="22"/>
        </w:rPr>
        <w:t xml:space="preserve"> UN Special Rapporteur on violence against women has noted the need to ensure that “measures to address trafficking in persons do not overshadow the need for effective measures to protect the human rights of sex workers.”</w:t>
      </w:r>
      <w:r w:rsidRPr="00441B62">
        <w:rPr>
          <w:rStyle w:val="EndnoteReference"/>
          <w:rFonts w:ascii="Calibri" w:hAnsi="Calibri" w:cs="Calibri"/>
          <w:szCs w:val="22"/>
        </w:rPr>
        <w:endnoteReference w:id="27"/>
      </w:r>
      <w:r w:rsidRPr="00441B62">
        <w:rPr>
          <w:rFonts w:ascii="Calibri" w:hAnsi="Calibri" w:cs="Calibri"/>
          <w:szCs w:val="22"/>
        </w:rPr>
        <w:t xml:space="preserve"> Similarly, UN Women has expressed its support for </w:t>
      </w:r>
      <w:r w:rsidR="00860426">
        <w:rPr>
          <w:rFonts w:ascii="Calibri" w:hAnsi="Calibri" w:cs="Calibri"/>
          <w:szCs w:val="22"/>
        </w:rPr>
        <w:t>decriminalization</w:t>
      </w:r>
      <w:r w:rsidRPr="00441B62">
        <w:rPr>
          <w:rFonts w:ascii="Calibri" w:hAnsi="Calibri" w:cs="Calibri"/>
          <w:szCs w:val="22"/>
        </w:rPr>
        <w:t>, acknowledging that the conflation of sex work, sex trafficking, and sexual exploitation leads to “inappropriate responses that fail to assist sex workers and victims of trafficking in realizing their rights.”</w:t>
      </w:r>
      <w:r w:rsidRPr="00441B62">
        <w:rPr>
          <w:rStyle w:val="EndnoteReference"/>
          <w:rFonts w:ascii="Calibri" w:hAnsi="Calibri" w:cs="Calibri"/>
          <w:szCs w:val="22"/>
        </w:rPr>
        <w:endnoteReference w:id="28"/>
      </w:r>
      <w:r>
        <w:rPr>
          <w:rFonts w:ascii="Calibri" w:hAnsi="Calibri" w:cs="Calibri"/>
          <w:szCs w:val="22"/>
        </w:rPr>
        <w:t xml:space="preserve"> </w:t>
      </w:r>
      <w:r w:rsidRPr="00DC6B0D">
        <w:rPr>
          <w:rFonts w:ascii="Calibri" w:hAnsi="Calibri" w:cs="Calibri"/>
          <w:szCs w:val="22"/>
        </w:rPr>
        <w:t>Twelve UN entities,</w:t>
      </w:r>
      <w:r>
        <w:rPr>
          <w:rFonts w:ascii="Calibri" w:hAnsi="Calibri" w:cs="Calibri"/>
          <w:szCs w:val="22"/>
        </w:rPr>
        <w:t xml:space="preserve"> </w:t>
      </w:r>
      <w:r w:rsidRPr="00DC6B0D">
        <w:rPr>
          <w:rFonts w:ascii="Calibri" w:hAnsi="Calibri" w:cs="Calibri"/>
          <w:szCs w:val="22"/>
        </w:rPr>
        <w:t xml:space="preserve">including UN Women, </w:t>
      </w:r>
      <w:r>
        <w:rPr>
          <w:rFonts w:ascii="Calibri" w:hAnsi="Calibri" w:cs="Calibri"/>
          <w:szCs w:val="22"/>
        </w:rPr>
        <w:t xml:space="preserve">have </w:t>
      </w:r>
      <w:r w:rsidRPr="00DC6B0D">
        <w:rPr>
          <w:rFonts w:ascii="Calibri" w:hAnsi="Calibri" w:cs="Calibri"/>
          <w:szCs w:val="22"/>
        </w:rPr>
        <w:t>recommended that States review</w:t>
      </w:r>
      <w:r>
        <w:rPr>
          <w:rFonts w:ascii="Calibri" w:hAnsi="Calibri" w:cs="Calibri"/>
          <w:szCs w:val="22"/>
        </w:rPr>
        <w:t xml:space="preserve"> </w:t>
      </w:r>
      <w:r w:rsidRPr="00DC6B0D">
        <w:rPr>
          <w:rFonts w:ascii="Calibri" w:hAnsi="Calibri" w:cs="Calibri"/>
          <w:szCs w:val="22"/>
        </w:rPr>
        <w:t>and repeal laws that criminali</w:t>
      </w:r>
      <w:r>
        <w:rPr>
          <w:rFonts w:ascii="Calibri" w:hAnsi="Calibri" w:cs="Calibri"/>
          <w:szCs w:val="22"/>
        </w:rPr>
        <w:t>z</w:t>
      </w:r>
      <w:r w:rsidRPr="00DC6B0D">
        <w:rPr>
          <w:rFonts w:ascii="Calibri" w:hAnsi="Calibri" w:cs="Calibri"/>
          <w:szCs w:val="22"/>
        </w:rPr>
        <w:t>e or otherwise prohibit sex work</w:t>
      </w:r>
      <w:r>
        <w:rPr>
          <w:rFonts w:ascii="Calibri" w:hAnsi="Calibri" w:cs="Calibri"/>
          <w:szCs w:val="22"/>
        </w:rPr>
        <w:t>.</w:t>
      </w:r>
      <w:r>
        <w:rPr>
          <w:rStyle w:val="EndnoteReference"/>
          <w:rFonts w:ascii="Calibri" w:hAnsi="Calibri" w:cs="Calibri"/>
          <w:szCs w:val="22"/>
        </w:rPr>
        <w:endnoteReference w:id="29"/>
      </w:r>
      <w:r>
        <w:rPr>
          <w:rFonts w:ascii="Calibri" w:hAnsi="Calibri" w:cs="Calibri"/>
          <w:szCs w:val="22"/>
        </w:rPr>
        <w:t xml:space="preserve"> And i</w:t>
      </w:r>
      <w:r w:rsidRPr="00441B62">
        <w:rPr>
          <w:rFonts w:ascii="Calibri" w:hAnsi="Calibri" w:cs="Calibri"/>
          <w:szCs w:val="22"/>
        </w:rPr>
        <w:t xml:space="preserve">n 2023, the UN Working Group on discrimination against women and girls </w:t>
      </w:r>
      <w:r>
        <w:rPr>
          <w:rFonts w:ascii="Calibri" w:hAnsi="Calibri" w:cs="Calibri"/>
          <w:szCs w:val="22"/>
        </w:rPr>
        <w:t>concluded that the de</w:t>
      </w:r>
      <w:r w:rsidRPr="001A792F">
        <w:rPr>
          <w:rFonts w:ascii="Calibri" w:hAnsi="Calibri" w:cs="Calibri"/>
          <w:szCs w:val="22"/>
        </w:rPr>
        <w:t>criminali</w:t>
      </w:r>
      <w:r>
        <w:rPr>
          <w:rFonts w:ascii="Calibri" w:hAnsi="Calibri" w:cs="Calibri"/>
          <w:szCs w:val="22"/>
        </w:rPr>
        <w:t>z</w:t>
      </w:r>
      <w:r w:rsidRPr="001A792F">
        <w:rPr>
          <w:rFonts w:ascii="Calibri" w:hAnsi="Calibri" w:cs="Calibri"/>
          <w:szCs w:val="22"/>
        </w:rPr>
        <w:t xml:space="preserve">ation of sex work, including </w:t>
      </w:r>
      <w:r>
        <w:rPr>
          <w:rFonts w:ascii="Calibri" w:hAnsi="Calibri" w:cs="Calibri"/>
          <w:szCs w:val="22"/>
        </w:rPr>
        <w:t>the de</w:t>
      </w:r>
      <w:r w:rsidRPr="001A792F">
        <w:rPr>
          <w:rFonts w:ascii="Calibri" w:hAnsi="Calibri" w:cs="Calibri"/>
          <w:szCs w:val="22"/>
        </w:rPr>
        <w:t>criminali</w:t>
      </w:r>
      <w:r>
        <w:rPr>
          <w:rFonts w:ascii="Calibri" w:hAnsi="Calibri" w:cs="Calibri"/>
          <w:szCs w:val="22"/>
        </w:rPr>
        <w:t>z</w:t>
      </w:r>
      <w:r w:rsidRPr="001A792F">
        <w:rPr>
          <w:rFonts w:ascii="Calibri" w:hAnsi="Calibri" w:cs="Calibri"/>
          <w:szCs w:val="22"/>
        </w:rPr>
        <w:t xml:space="preserve">ation of clients and </w:t>
      </w:r>
      <w:r>
        <w:rPr>
          <w:rFonts w:ascii="Calibri" w:hAnsi="Calibri" w:cs="Calibri"/>
          <w:szCs w:val="22"/>
        </w:rPr>
        <w:t>third parties, “</w:t>
      </w:r>
      <w:r w:rsidRPr="001A792F">
        <w:rPr>
          <w:rFonts w:ascii="Calibri" w:hAnsi="Calibri" w:cs="Calibri"/>
          <w:szCs w:val="22"/>
        </w:rPr>
        <w:t>holds the</w:t>
      </w:r>
      <w:r>
        <w:rPr>
          <w:rFonts w:ascii="Calibri" w:hAnsi="Calibri" w:cs="Calibri"/>
          <w:szCs w:val="22"/>
        </w:rPr>
        <w:t xml:space="preserve"> </w:t>
      </w:r>
      <w:r w:rsidRPr="001A792F">
        <w:rPr>
          <w:rFonts w:ascii="Calibri" w:hAnsi="Calibri" w:cs="Calibri"/>
          <w:szCs w:val="22"/>
        </w:rPr>
        <w:t>greatest promise to address systemic discrimination and violence and the impunity for the</w:t>
      </w:r>
      <w:r>
        <w:rPr>
          <w:rFonts w:ascii="Calibri" w:hAnsi="Calibri" w:cs="Calibri"/>
          <w:szCs w:val="22"/>
        </w:rPr>
        <w:t xml:space="preserve"> </w:t>
      </w:r>
      <w:r w:rsidRPr="001A792F">
        <w:rPr>
          <w:rFonts w:ascii="Calibri" w:hAnsi="Calibri" w:cs="Calibri"/>
          <w:szCs w:val="22"/>
        </w:rPr>
        <w:t>violations of sex workers’ rights.</w:t>
      </w:r>
      <w:r>
        <w:rPr>
          <w:rFonts w:ascii="Calibri" w:hAnsi="Calibri" w:cs="Calibri"/>
          <w:szCs w:val="22"/>
        </w:rPr>
        <w:t>”</w:t>
      </w:r>
      <w:r>
        <w:rPr>
          <w:rStyle w:val="EndnoteReference"/>
          <w:rFonts w:ascii="Calibri" w:hAnsi="Calibri" w:cs="Calibri"/>
          <w:szCs w:val="22"/>
        </w:rPr>
        <w:endnoteReference w:id="30"/>
      </w:r>
    </w:p>
    <w:p w14:paraId="3CD6B734" w14:textId="77777777" w:rsidR="00394118" w:rsidRDefault="00394118" w:rsidP="00F83162">
      <w:pPr>
        <w:rPr>
          <w:rFonts w:ascii="Calibri" w:hAnsi="Calibri" w:cs="Calibri"/>
          <w:szCs w:val="22"/>
        </w:rPr>
      </w:pPr>
    </w:p>
    <w:p w14:paraId="2C6A24C0" w14:textId="77777777" w:rsidR="00BD57D3" w:rsidRPr="00441B62" w:rsidRDefault="00BD57D3" w:rsidP="00F83162">
      <w:pPr>
        <w:rPr>
          <w:rFonts w:ascii="Calibri" w:hAnsi="Calibri" w:cs="Calibri"/>
          <w:szCs w:val="22"/>
        </w:rPr>
      </w:pPr>
    </w:p>
    <w:sectPr w:rsidR="00BD57D3" w:rsidRPr="00441B62" w:rsidSect="00C00727">
      <w:headerReference w:type="default" r:id="rId11"/>
      <w:footerReference w:type="default" r:id="rId12"/>
      <w:headerReference w:type="first" r:id="rId13"/>
      <w:footerReference w:type="first" r:id="rId14"/>
      <w:endnotePr>
        <w:numFmt w:val="decimal"/>
      </w:endnotePr>
      <w:pgSz w:w="12240" w:h="15840"/>
      <w:pgMar w:top="1440" w:right="1440" w:bottom="1701" w:left="1440"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9966C" w14:textId="77777777" w:rsidR="00C00727" w:rsidRDefault="00C00727" w:rsidP="006A6401">
      <w:r>
        <w:separator/>
      </w:r>
    </w:p>
  </w:endnote>
  <w:endnote w:type="continuationSeparator" w:id="0">
    <w:p w14:paraId="7CFCAD20" w14:textId="77777777" w:rsidR="00C00727" w:rsidRDefault="00C00727" w:rsidP="006A6401">
      <w:r>
        <w:continuationSeparator/>
      </w:r>
    </w:p>
  </w:endnote>
  <w:endnote w:type="continuationNotice" w:id="1">
    <w:p w14:paraId="587730E8" w14:textId="77777777" w:rsidR="004623D4" w:rsidRDefault="004623D4"/>
  </w:endnote>
  <w:endnote w:id="2">
    <w:p w14:paraId="03AB6F85" w14:textId="282DE101" w:rsidR="002134CE" w:rsidRPr="00BD57D3" w:rsidRDefault="002134CE" w:rsidP="00C54AA1">
      <w:pPr>
        <w:pStyle w:val="EndnoteText"/>
        <w:contextualSpacing/>
        <w:rPr>
          <w:rFonts w:ascii="Calibri" w:hAnsi="Calibri" w:cs="Calibri"/>
          <w:sz w:val="17"/>
          <w:szCs w:val="17"/>
        </w:rPr>
      </w:pPr>
      <w:r w:rsidRPr="00BD57D3">
        <w:rPr>
          <w:rStyle w:val="EndnoteReference"/>
          <w:rFonts w:ascii="Calibri" w:hAnsi="Calibri" w:cs="Calibri"/>
          <w:sz w:val="17"/>
          <w:szCs w:val="17"/>
        </w:rPr>
        <w:endnoteRef/>
      </w:r>
      <w:r w:rsidRPr="00BD57D3">
        <w:rPr>
          <w:rFonts w:ascii="Calibri" w:hAnsi="Calibri" w:cs="Calibri"/>
          <w:sz w:val="17"/>
          <w:szCs w:val="17"/>
        </w:rPr>
        <w:t xml:space="preserve"> A-L Crago et al, “Sex Workers’ Access to Police Assistance in Safety Emergencies and Means of Escape from Situations of Violence and Confinement under an ‘End Demand’ Criminalization Model: A Five City Study in Canada,” </w:t>
      </w:r>
      <w:r w:rsidRPr="00BD57D3">
        <w:rPr>
          <w:rFonts w:ascii="Calibri" w:hAnsi="Calibri" w:cs="Calibri"/>
          <w:i/>
          <w:iCs/>
          <w:sz w:val="17"/>
          <w:szCs w:val="17"/>
        </w:rPr>
        <w:t>Social Sciences</w:t>
      </w:r>
      <w:r w:rsidRPr="00BD57D3">
        <w:rPr>
          <w:rFonts w:ascii="Calibri" w:hAnsi="Calibri" w:cs="Calibri"/>
          <w:sz w:val="17"/>
          <w:szCs w:val="17"/>
        </w:rPr>
        <w:t xml:space="preserve"> 10:13, 2021: https://doi.org/10.3390/socsci10010013.</w:t>
      </w:r>
    </w:p>
  </w:endnote>
  <w:endnote w:id="3">
    <w:p w14:paraId="073ED098" w14:textId="297B1DC7" w:rsidR="002134CE" w:rsidRPr="00BD57D3" w:rsidRDefault="002134CE" w:rsidP="00C54AA1">
      <w:pPr>
        <w:pStyle w:val="EndnoteText"/>
        <w:contextualSpacing/>
        <w:rPr>
          <w:rFonts w:ascii="Calibri" w:hAnsi="Calibri" w:cs="Calibri"/>
          <w:sz w:val="17"/>
          <w:szCs w:val="17"/>
        </w:rPr>
      </w:pPr>
      <w:r w:rsidRPr="00BD57D3">
        <w:rPr>
          <w:rStyle w:val="EndnoteReference"/>
          <w:rFonts w:ascii="Calibri" w:hAnsi="Calibri" w:cs="Calibri"/>
          <w:sz w:val="17"/>
          <w:szCs w:val="17"/>
        </w:rPr>
        <w:endnoteRef/>
      </w:r>
      <w:r w:rsidRPr="00BD57D3">
        <w:rPr>
          <w:rFonts w:ascii="Calibri" w:hAnsi="Calibri" w:cs="Calibri"/>
          <w:sz w:val="17"/>
          <w:szCs w:val="17"/>
        </w:rPr>
        <w:t xml:space="preserve"> See, for example,</w:t>
      </w:r>
      <w:r w:rsidRPr="00BD57D3">
        <w:rPr>
          <w:rFonts w:ascii="Calibri" w:hAnsi="Calibri" w:cs="Calibri"/>
          <w:b/>
          <w:bCs/>
          <w:sz w:val="17"/>
          <w:szCs w:val="17"/>
        </w:rPr>
        <w:t xml:space="preserve"> </w:t>
      </w:r>
      <w:r w:rsidRPr="00BD57D3">
        <w:rPr>
          <w:rFonts w:ascii="Calibri" w:hAnsi="Calibri" w:cs="Calibri"/>
          <w:sz w:val="17"/>
          <w:szCs w:val="17"/>
        </w:rPr>
        <w:t xml:space="preserve">research on the consequences of Sweden's model of client criminalization, which has exacerbated the dynamic between sex workers and </w:t>
      </w:r>
      <w:r w:rsidR="00612621" w:rsidRPr="00BD57D3">
        <w:rPr>
          <w:rFonts w:ascii="Calibri" w:hAnsi="Calibri" w:cs="Calibri"/>
          <w:sz w:val="17"/>
          <w:szCs w:val="17"/>
        </w:rPr>
        <w:t>police</w:t>
      </w:r>
      <w:r w:rsidRPr="00BD57D3">
        <w:rPr>
          <w:rFonts w:ascii="Calibri" w:hAnsi="Calibri" w:cs="Calibri"/>
          <w:sz w:val="17"/>
          <w:szCs w:val="17"/>
        </w:rPr>
        <w:t xml:space="preserve"> and diminished sex workers’ likelihood of reporting crimes: J. Levy and P. Jakobsson, “Sweden’s abolitionist discourse and law: Effects on the dynamics of Swedish sex work and on the lives of Sweden’s sex workers,” </w:t>
      </w:r>
      <w:r w:rsidRPr="00BD57D3">
        <w:rPr>
          <w:rFonts w:ascii="Calibri" w:hAnsi="Calibri" w:cs="Calibri"/>
          <w:i/>
          <w:iCs/>
          <w:sz w:val="17"/>
          <w:szCs w:val="17"/>
        </w:rPr>
        <w:t xml:space="preserve">Criminology and Criminal Justice </w:t>
      </w:r>
      <w:r w:rsidRPr="00BD57D3">
        <w:rPr>
          <w:rFonts w:ascii="Calibri" w:hAnsi="Calibri" w:cs="Calibri"/>
          <w:sz w:val="17"/>
          <w:szCs w:val="17"/>
        </w:rPr>
        <w:t xml:space="preserve">14(5), November 2014: 593-607. Similarly, in Norway, which criminalizes clients as well as ‘promoting’ sex work, sex workers are extremely reluctant to report crimes to police, often only in circumstances where there was an immediate threat to their life. See Amnesty International, </w:t>
      </w:r>
      <w:hyperlink r:id="rId1" w:history="1">
        <w:r w:rsidRPr="00BD57D3">
          <w:rPr>
            <w:rStyle w:val="Hyperlink"/>
            <w:rFonts w:ascii="Calibri" w:hAnsi="Calibri" w:cs="Calibri"/>
            <w:i/>
            <w:iCs/>
            <w:sz w:val="17"/>
            <w:szCs w:val="17"/>
          </w:rPr>
          <w:t>Norway: The human cost of ‘crushing’ the market: Criminalization of sex work in Norway</w:t>
        </w:r>
      </w:hyperlink>
      <w:r w:rsidRPr="00BD57D3">
        <w:rPr>
          <w:rFonts w:ascii="Calibri" w:hAnsi="Calibri" w:cs="Calibri"/>
          <w:sz w:val="17"/>
          <w:szCs w:val="17"/>
        </w:rPr>
        <w:t>, 2016. In Zambia, where procuring, living on the earnings of sex work, and brothel-keeping are prohibited, 61% of sex workers interviewed said they would not be willing to lay a complain</w:t>
      </w:r>
      <w:r w:rsidR="0027482B" w:rsidRPr="00BD57D3">
        <w:rPr>
          <w:rFonts w:ascii="Calibri" w:hAnsi="Calibri" w:cs="Calibri"/>
          <w:sz w:val="17"/>
          <w:szCs w:val="17"/>
        </w:rPr>
        <w:t>t</w:t>
      </w:r>
      <w:r w:rsidRPr="00BD57D3">
        <w:rPr>
          <w:rFonts w:ascii="Calibri" w:hAnsi="Calibri" w:cs="Calibri"/>
          <w:sz w:val="17"/>
          <w:szCs w:val="17"/>
        </w:rPr>
        <w:t xml:space="preserve"> against the police: T. Esterhuizen and A. </w:t>
      </w:r>
      <w:r w:rsidRPr="00BD57D3">
        <w:rPr>
          <w:rFonts w:ascii="Calibri" w:hAnsi="Calibri" w:cs="Calibri"/>
          <w:sz w:val="17"/>
          <w:szCs w:val="17"/>
        </w:rPr>
        <w:t>Meerkotter</w:t>
      </w:r>
      <w:r w:rsidRPr="00BD57D3">
        <w:rPr>
          <w:rFonts w:ascii="Calibri" w:hAnsi="Calibri" w:cs="Calibri"/>
          <w:i/>
          <w:iCs/>
          <w:sz w:val="17"/>
          <w:szCs w:val="17"/>
        </w:rPr>
        <w:t xml:space="preserve">, “They should protect us because that is their job”: </w:t>
      </w:r>
      <w:hyperlink r:id="rId2" w:history="1">
        <w:r w:rsidRPr="00BD57D3">
          <w:rPr>
            <w:rStyle w:val="Hyperlink"/>
            <w:rFonts w:ascii="Calibri" w:hAnsi="Calibri" w:cs="Calibri"/>
            <w:i/>
            <w:iCs/>
            <w:sz w:val="17"/>
            <w:szCs w:val="17"/>
          </w:rPr>
          <w:t>A preliminary assessment of sex workers’ experiences of police abuse in Lusaka, Zambia</w:t>
        </w:r>
      </w:hyperlink>
      <w:r w:rsidRPr="00BD57D3">
        <w:rPr>
          <w:rFonts w:ascii="Calibri" w:hAnsi="Calibri" w:cs="Calibri"/>
          <w:sz w:val="17"/>
          <w:szCs w:val="17"/>
        </w:rPr>
        <w:t xml:space="preserve">, Southern Africa Litigation Centre, 2016. Sex workers in South Africa reportedly find it difficult or “useless” to report crimes against them under a legal system that criminalizes them. Human Rights Watch, </w:t>
      </w:r>
      <w:hyperlink r:id="rId3" w:history="1">
        <w:r w:rsidRPr="00BD57D3">
          <w:rPr>
            <w:rStyle w:val="Hyperlink"/>
            <w:rFonts w:ascii="Calibri" w:hAnsi="Calibri" w:cs="Calibri"/>
            <w:i/>
            <w:iCs/>
            <w:sz w:val="17"/>
            <w:szCs w:val="17"/>
          </w:rPr>
          <w:t>Why Sex Work Should be Decriminalised in South Africa</w:t>
        </w:r>
      </w:hyperlink>
      <w:r w:rsidRPr="00BD57D3">
        <w:rPr>
          <w:rFonts w:ascii="Calibri" w:hAnsi="Calibri" w:cs="Calibri"/>
          <w:sz w:val="17"/>
          <w:szCs w:val="17"/>
        </w:rPr>
        <w:t xml:space="preserve">, August 7, 2019. </w:t>
      </w:r>
    </w:p>
  </w:endnote>
  <w:endnote w:id="4">
    <w:p w14:paraId="087E41AA" w14:textId="77777777" w:rsidR="002134CE" w:rsidRPr="00BD57D3" w:rsidRDefault="002134CE" w:rsidP="00C54AA1">
      <w:pPr>
        <w:pStyle w:val="EndnoteText"/>
        <w:spacing w:afterLines="50" w:after="120"/>
        <w:contextualSpacing/>
        <w:rPr>
          <w:rFonts w:ascii="Calibri" w:hAnsi="Calibri" w:cs="Calibri"/>
          <w:sz w:val="17"/>
          <w:szCs w:val="17"/>
        </w:rPr>
      </w:pPr>
      <w:r w:rsidRPr="00BD57D3">
        <w:rPr>
          <w:rStyle w:val="EndnoteReference"/>
          <w:rFonts w:ascii="Calibri" w:hAnsi="Calibri" w:cs="Calibri"/>
          <w:sz w:val="17"/>
          <w:szCs w:val="17"/>
        </w:rPr>
        <w:endnoteRef/>
      </w:r>
      <w:r w:rsidRPr="00BD57D3">
        <w:rPr>
          <w:rFonts w:ascii="Calibri" w:hAnsi="Calibri" w:cs="Calibri"/>
          <w:sz w:val="17"/>
          <w:szCs w:val="17"/>
        </w:rPr>
        <w:t xml:space="preserve"> A. Krüsi et al., “‘They Won’t Change It Back </w:t>
      </w:r>
      <w:r w:rsidRPr="00BD57D3">
        <w:rPr>
          <w:rFonts w:ascii="Calibri" w:hAnsi="Calibri" w:cs="Calibri"/>
          <w:sz w:val="17"/>
          <w:szCs w:val="17"/>
        </w:rPr>
        <w:t xml:space="preserve">In Their Heads That We’re Trash’: The Intersection of Sex Work Related Stigma and Evolving Policing Strategies,” </w:t>
      </w:r>
      <w:r w:rsidRPr="00BD57D3">
        <w:rPr>
          <w:rFonts w:ascii="Calibri" w:hAnsi="Calibri" w:cs="Calibri"/>
          <w:i/>
          <w:sz w:val="17"/>
          <w:szCs w:val="17"/>
        </w:rPr>
        <w:t>Sociology of Health &amp; Illness</w:t>
      </w:r>
      <w:r w:rsidRPr="00BD57D3">
        <w:rPr>
          <w:rFonts w:ascii="Calibri" w:hAnsi="Calibri" w:cs="Calibri"/>
          <w:sz w:val="17"/>
          <w:szCs w:val="17"/>
        </w:rPr>
        <w:t xml:space="preserve"> (April 26, 2016).</w:t>
      </w:r>
    </w:p>
  </w:endnote>
  <w:endnote w:id="5">
    <w:p w14:paraId="7E28C86E" w14:textId="77777777" w:rsidR="002134CE" w:rsidRPr="00BD57D3" w:rsidRDefault="002134CE" w:rsidP="00C54AA1">
      <w:pPr>
        <w:pStyle w:val="EndnoteText"/>
        <w:spacing w:afterLines="50" w:after="120"/>
        <w:contextualSpacing/>
        <w:rPr>
          <w:rFonts w:ascii="Calibri" w:hAnsi="Calibri" w:cs="Calibri"/>
          <w:sz w:val="17"/>
          <w:szCs w:val="17"/>
        </w:rPr>
      </w:pPr>
      <w:r w:rsidRPr="00BD57D3">
        <w:rPr>
          <w:rStyle w:val="EndnoteReference"/>
          <w:rFonts w:ascii="Calibri" w:hAnsi="Calibri" w:cs="Calibri"/>
          <w:sz w:val="17"/>
          <w:szCs w:val="17"/>
        </w:rPr>
        <w:endnoteRef/>
      </w:r>
      <w:r w:rsidRPr="00BD57D3">
        <w:rPr>
          <w:rFonts w:ascii="Calibri" w:hAnsi="Calibri" w:cs="Calibri"/>
          <w:sz w:val="17"/>
          <w:szCs w:val="17"/>
        </w:rPr>
        <w:t xml:space="preserve"> A. Krüsi et al., “Criminalisation of clients: reproducing vulnerabilities for violence and poor health among street-based sex workers in Canada—a qualitative study,” </w:t>
      </w:r>
      <w:r w:rsidRPr="00BD57D3">
        <w:rPr>
          <w:rFonts w:ascii="Calibri" w:hAnsi="Calibri" w:cs="Calibri"/>
          <w:i/>
          <w:sz w:val="17"/>
          <w:szCs w:val="17"/>
        </w:rPr>
        <w:t xml:space="preserve">BMJ Open </w:t>
      </w:r>
      <w:r w:rsidRPr="00BD57D3">
        <w:rPr>
          <w:rFonts w:ascii="Calibri" w:hAnsi="Calibri" w:cs="Calibri"/>
          <w:sz w:val="17"/>
          <w:szCs w:val="17"/>
        </w:rPr>
        <w:t xml:space="preserve">4 (2014): e005191; Sex Workers United Against Violence, Pivot Legal Society, and Gender and Sexual Health Initiative, </w:t>
      </w:r>
      <w:r w:rsidRPr="00BD57D3">
        <w:rPr>
          <w:rFonts w:ascii="Calibri" w:hAnsi="Calibri" w:cs="Calibri"/>
          <w:i/>
          <w:sz w:val="17"/>
          <w:szCs w:val="17"/>
        </w:rPr>
        <w:t>My Work Should Not Cost Me My Life: The Case Against Criminalizing the Purchase of Sexual Services in Canada</w:t>
      </w:r>
      <w:r w:rsidRPr="00BD57D3">
        <w:rPr>
          <w:rFonts w:ascii="Calibri" w:hAnsi="Calibri" w:cs="Calibri"/>
          <w:sz w:val="17"/>
          <w:szCs w:val="17"/>
        </w:rPr>
        <w:t>, 2014.</w:t>
      </w:r>
    </w:p>
  </w:endnote>
  <w:endnote w:id="6">
    <w:p w14:paraId="29316522" w14:textId="7332161C" w:rsidR="002134CE" w:rsidRPr="00BD57D3" w:rsidRDefault="002134CE" w:rsidP="00C54AA1">
      <w:pPr>
        <w:pStyle w:val="EndnoteText"/>
        <w:spacing w:afterLines="50" w:after="120"/>
        <w:contextualSpacing/>
        <w:rPr>
          <w:rFonts w:ascii="Calibri" w:hAnsi="Calibri" w:cs="Calibri"/>
          <w:sz w:val="17"/>
          <w:szCs w:val="17"/>
        </w:rPr>
      </w:pPr>
      <w:r w:rsidRPr="00BD57D3">
        <w:rPr>
          <w:rStyle w:val="EndnoteReference"/>
          <w:rFonts w:ascii="Calibri" w:hAnsi="Calibri" w:cs="Calibri"/>
          <w:sz w:val="17"/>
          <w:szCs w:val="17"/>
        </w:rPr>
        <w:endnoteRef/>
      </w:r>
      <w:r w:rsidRPr="00BD57D3">
        <w:rPr>
          <w:rFonts w:ascii="Calibri" w:hAnsi="Calibri" w:cs="Calibri"/>
          <w:sz w:val="17"/>
          <w:szCs w:val="17"/>
        </w:rPr>
        <w:t xml:space="preserve"> J. Levy and P. Jakobsson, “Sweden’s abolitionist discourse and law: Effects on the dynamics of Swedish</w:t>
      </w:r>
      <w:r w:rsidR="004F7EEA" w:rsidRPr="00BD57D3">
        <w:rPr>
          <w:rFonts w:ascii="Calibri" w:hAnsi="Calibri" w:cs="Calibri"/>
          <w:sz w:val="17"/>
          <w:szCs w:val="17"/>
        </w:rPr>
        <w:t xml:space="preserve"> </w:t>
      </w:r>
      <w:r w:rsidRPr="00BD57D3">
        <w:rPr>
          <w:rFonts w:ascii="Calibri" w:hAnsi="Calibri" w:cs="Calibri"/>
          <w:sz w:val="17"/>
          <w:szCs w:val="17"/>
        </w:rPr>
        <w:t xml:space="preserve">sex work and on the lives of Sweden’s sex workers,” </w:t>
      </w:r>
      <w:r w:rsidRPr="00BD57D3">
        <w:rPr>
          <w:rFonts w:ascii="Calibri" w:hAnsi="Calibri" w:cs="Calibri"/>
          <w:i/>
          <w:sz w:val="17"/>
          <w:szCs w:val="17"/>
        </w:rPr>
        <w:t>Criminology &amp; Criminal Justice</w:t>
      </w:r>
      <w:r w:rsidRPr="00BD57D3">
        <w:rPr>
          <w:rFonts w:ascii="Calibri" w:hAnsi="Calibri" w:cs="Calibri"/>
          <w:sz w:val="17"/>
          <w:szCs w:val="17"/>
        </w:rPr>
        <w:t xml:space="preserve"> 1–15, March 31, 2014; P. Östergren and S. </w:t>
      </w:r>
      <w:r w:rsidRPr="00BD57D3">
        <w:rPr>
          <w:rFonts w:ascii="Calibri" w:hAnsi="Calibri" w:cs="Calibri"/>
          <w:sz w:val="17"/>
          <w:szCs w:val="17"/>
        </w:rPr>
        <w:t xml:space="preserve">Dodillet, “The Swedish Sex Purchase Act: Claimed success and documented effects,” paper presented at the International Workshop: Decriminalizing Prostitution and Beyond: Practical Experiences and Challenges, The Hague, Netherlands, March 3-4, 2011; and U. Bjørndah, </w:t>
      </w:r>
      <w:r w:rsidRPr="00BD57D3">
        <w:rPr>
          <w:rFonts w:ascii="Calibri" w:hAnsi="Calibri" w:cs="Calibri"/>
          <w:i/>
          <w:sz w:val="17"/>
          <w:szCs w:val="17"/>
        </w:rPr>
        <w:t>Dangerous Liaisons: A report on the violence women in prostitution in Oslo are exposed to</w:t>
      </w:r>
      <w:r w:rsidRPr="00BD57D3">
        <w:rPr>
          <w:rFonts w:ascii="Calibri" w:hAnsi="Calibri" w:cs="Calibri"/>
          <w:sz w:val="17"/>
          <w:szCs w:val="17"/>
        </w:rPr>
        <w:t>, Municipality of Oslo, 2012.</w:t>
      </w:r>
    </w:p>
  </w:endnote>
  <w:endnote w:id="7">
    <w:p w14:paraId="6EFED70E" w14:textId="77777777" w:rsidR="002134CE" w:rsidRPr="00BD57D3" w:rsidRDefault="002134CE" w:rsidP="00C54AA1">
      <w:pPr>
        <w:pStyle w:val="EndnoteText"/>
        <w:spacing w:afterLines="50" w:after="120"/>
        <w:contextualSpacing/>
        <w:rPr>
          <w:rFonts w:ascii="Calibri" w:hAnsi="Calibri" w:cs="Calibri"/>
          <w:sz w:val="17"/>
          <w:szCs w:val="17"/>
        </w:rPr>
      </w:pPr>
      <w:r w:rsidRPr="00BD57D3">
        <w:rPr>
          <w:rStyle w:val="EndnoteReference"/>
          <w:rFonts w:ascii="Calibri" w:hAnsi="Calibri" w:cs="Calibri"/>
          <w:sz w:val="17"/>
          <w:szCs w:val="17"/>
        </w:rPr>
        <w:endnoteRef/>
      </w:r>
      <w:r w:rsidRPr="00BD57D3">
        <w:rPr>
          <w:rFonts w:ascii="Calibri" w:hAnsi="Calibri" w:cs="Calibri"/>
          <w:sz w:val="17"/>
          <w:szCs w:val="17"/>
        </w:rPr>
        <w:t xml:space="preserve"> Canadian Alliance for Sex Work Law Reform, </w:t>
      </w:r>
      <w:r w:rsidRPr="00BD57D3">
        <w:rPr>
          <w:rFonts w:ascii="Calibri" w:hAnsi="Calibri" w:cs="Calibri"/>
          <w:i/>
          <w:sz w:val="17"/>
          <w:szCs w:val="17"/>
        </w:rPr>
        <w:t>Pimps, Managers and Other Third Parties: Making Distinctions Between Third Parties and Exploitation</w:t>
      </w:r>
      <w:r w:rsidRPr="00BD57D3">
        <w:rPr>
          <w:rFonts w:ascii="Calibri" w:hAnsi="Calibri" w:cs="Calibri"/>
          <w:sz w:val="17"/>
          <w:szCs w:val="17"/>
        </w:rPr>
        <w:t>, 2014.</w:t>
      </w:r>
    </w:p>
  </w:endnote>
  <w:endnote w:id="8">
    <w:p w14:paraId="59066DAF" w14:textId="63872090" w:rsidR="002134CE" w:rsidRPr="00BD57D3" w:rsidRDefault="002134CE" w:rsidP="005870B4">
      <w:pPr>
        <w:pStyle w:val="EndnoteText"/>
        <w:contextualSpacing/>
        <w:rPr>
          <w:rFonts w:ascii="Calibri" w:hAnsi="Calibri" w:cs="Calibri"/>
          <w:sz w:val="17"/>
          <w:szCs w:val="17"/>
        </w:rPr>
      </w:pPr>
      <w:r w:rsidRPr="00BD57D3">
        <w:rPr>
          <w:rStyle w:val="EndnoteReference"/>
          <w:rFonts w:ascii="Calibri" w:hAnsi="Calibri" w:cs="Calibri"/>
          <w:sz w:val="17"/>
          <w:szCs w:val="17"/>
        </w:rPr>
        <w:endnoteRef/>
      </w:r>
      <w:r w:rsidRPr="00BD57D3">
        <w:rPr>
          <w:rFonts w:ascii="Calibri" w:hAnsi="Calibri" w:cs="Calibri"/>
          <w:sz w:val="17"/>
          <w:szCs w:val="17"/>
        </w:rPr>
        <w:t xml:space="preserve"> J. Fudge et al., </w:t>
      </w:r>
      <w:hyperlink r:id="rId4" w:history="1">
        <w:r w:rsidRPr="00BD57D3">
          <w:rPr>
            <w:rStyle w:val="Hyperlink"/>
            <w:rFonts w:ascii="Calibri" w:hAnsi="Calibri" w:cs="Calibri"/>
            <w:i/>
            <w:iCs/>
            <w:sz w:val="17"/>
            <w:szCs w:val="17"/>
          </w:rPr>
          <w:t>Caught in the Carceral Web: Anti-trafficking Laws &amp; Policy and their Impact on Migrant Sex Workers</w:t>
        </w:r>
      </w:hyperlink>
      <w:r w:rsidRPr="00BD57D3">
        <w:rPr>
          <w:rFonts w:ascii="Calibri" w:hAnsi="Calibri" w:cs="Calibri"/>
          <w:sz w:val="17"/>
          <w:szCs w:val="17"/>
        </w:rPr>
        <w:t xml:space="preserve">, 2021: and </w:t>
      </w:r>
      <w:r w:rsidR="003A6F29" w:rsidRPr="00BD57D3">
        <w:rPr>
          <w:rFonts w:ascii="Calibri" w:hAnsi="Calibri" w:cs="Calibri"/>
          <w:sz w:val="17"/>
          <w:szCs w:val="17"/>
        </w:rPr>
        <w:t xml:space="preserve">Butterfly (the Asian and Migrant Sex Workers Support Network), </w:t>
      </w:r>
      <w:hyperlink r:id="rId5" w:history="1">
        <w:r w:rsidR="005870B4" w:rsidRPr="00BD57D3">
          <w:rPr>
            <w:rStyle w:val="Hyperlink"/>
            <w:rFonts w:ascii="Calibri" w:hAnsi="Calibri" w:cs="Calibri"/>
            <w:i/>
            <w:iCs/>
            <w:sz w:val="17"/>
            <w:szCs w:val="17"/>
          </w:rPr>
          <w:t>Submission to the House of Commons Standing Committee on Justice and Human Rights: Review of the Protection of Communities and Exploited Persons Act</w:t>
        </w:r>
      </w:hyperlink>
      <w:r w:rsidR="005870B4" w:rsidRPr="00BD57D3">
        <w:rPr>
          <w:rFonts w:ascii="Calibri" w:hAnsi="Calibri" w:cs="Calibri"/>
          <w:sz w:val="17"/>
          <w:szCs w:val="17"/>
        </w:rPr>
        <w:t>, February 2022</w:t>
      </w:r>
      <w:r w:rsidR="002D4845" w:rsidRPr="00BD57D3">
        <w:rPr>
          <w:rFonts w:ascii="Calibri" w:hAnsi="Calibri" w:cs="Calibri"/>
          <w:sz w:val="17"/>
          <w:szCs w:val="17"/>
        </w:rPr>
        <w:t>.</w:t>
      </w:r>
    </w:p>
  </w:endnote>
  <w:endnote w:id="9">
    <w:p w14:paraId="67217770" w14:textId="175FF34E" w:rsidR="002134CE" w:rsidRPr="00BD57D3" w:rsidRDefault="002134CE" w:rsidP="00C54AA1">
      <w:pPr>
        <w:pStyle w:val="EndnoteText"/>
        <w:contextualSpacing/>
        <w:rPr>
          <w:rFonts w:ascii="Calibri" w:hAnsi="Calibri" w:cs="Calibri"/>
          <w:sz w:val="17"/>
          <w:szCs w:val="17"/>
        </w:rPr>
      </w:pPr>
      <w:r w:rsidRPr="00BD57D3">
        <w:rPr>
          <w:rStyle w:val="EndnoteReference"/>
          <w:rFonts w:ascii="Calibri" w:hAnsi="Calibri" w:cs="Calibri"/>
          <w:sz w:val="17"/>
          <w:szCs w:val="17"/>
        </w:rPr>
        <w:endnoteRef/>
      </w:r>
      <w:r w:rsidRPr="00BD57D3">
        <w:rPr>
          <w:rFonts w:ascii="Calibri" w:hAnsi="Calibri" w:cs="Calibri"/>
          <w:sz w:val="17"/>
          <w:szCs w:val="17"/>
        </w:rPr>
        <w:t xml:space="preserve"> UN Working Group on discrimination against women and girls, </w:t>
      </w:r>
      <w:hyperlink r:id="rId6" w:history="1">
        <w:r w:rsidRPr="00BD57D3">
          <w:rPr>
            <w:rStyle w:val="Hyperlink"/>
            <w:rFonts w:ascii="Calibri" w:hAnsi="Calibri" w:cs="Calibri"/>
            <w:i/>
            <w:iCs/>
            <w:sz w:val="17"/>
            <w:szCs w:val="17"/>
          </w:rPr>
          <w:t>Eliminating discrimination against sex workers and securing their human rights: Guidance document of the Working Group on discrimination against women and girls</w:t>
        </w:r>
      </w:hyperlink>
      <w:r w:rsidRPr="00BD57D3">
        <w:rPr>
          <w:rFonts w:ascii="Calibri" w:hAnsi="Calibri" w:cs="Calibri"/>
          <w:i/>
          <w:iCs/>
          <w:sz w:val="17"/>
          <w:szCs w:val="17"/>
        </w:rPr>
        <w:t>,</w:t>
      </w:r>
      <w:r w:rsidRPr="00BD57D3">
        <w:rPr>
          <w:rFonts w:ascii="Calibri" w:hAnsi="Calibri" w:cs="Calibri"/>
          <w:sz w:val="17"/>
          <w:szCs w:val="17"/>
        </w:rPr>
        <w:t xml:space="preserve"> UN Doc A/HRC/WG.11/39/1, December 7, 2023. </w:t>
      </w:r>
    </w:p>
  </w:endnote>
  <w:endnote w:id="10">
    <w:p w14:paraId="0796ED9C" w14:textId="7B4A6C46" w:rsidR="002134CE" w:rsidRPr="00BD57D3" w:rsidRDefault="002134CE" w:rsidP="00C54AA1">
      <w:pPr>
        <w:pStyle w:val="EndnoteText"/>
        <w:contextualSpacing/>
        <w:rPr>
          <w:rFonts w:ascii="Calibri" w:hAnsi="Calibri" w:cs="Calibri"/>
          <w:sz w:val="17"/>
          <w:szCs w:val="17"/>
        </w:rPr>
      </w:pPr>
      <w:r w:rsidRPr="00BD57D3">
        <w:rPr>
          <w:rStyle w:val="EndnoteReference"/>
          <w:rFonts w:ascii="Calibri" w:hAnsi="Calibri" w:cs="Calibri"/>
          <w:sz w:val="17"/>
          <w:szCs w:val="17"/>
        </w:rPr>
        <w:endnoteRef/>
      </w:r>
      <w:r w:rsidRPr="00BD57D3">
        <w:rPr>
          <w:rFonts w:ascii="Calibri" w:hAnsi="Calibri" w:cs="Calibri"/>
          <w:sz w:val="17"/>
          <w:szCs w:val="17"/>
        </w:rPr>
        <w:t xml:space="preserve"> Amnesty International, </w:t>
      </w:r>
      <w:hyperlink r:id="rId7" w:history="1">
        <w:r w:rsidRPr="00BD57D3">
          <w:rPr>
            <w:rStyle w:val="Hyperlink"/>
            <w:rFonts w:ascii="Calibri" w:hAnsi="Calibri" w:cs="Calibri"/>
            <w:i/>
            <w:iCs/>
            <w:sz w:val="17"/>
            <w:szCs w:val="17"/>
          </w:rPr>
          <w:t>Amnesty</w:t>
        </w:r>
        <w:r w:rsidRPr="00BD57D3">
          <w:rPr>
            <w:rStyle w:val="Hyperlink"/>
            <w:rFonts w:ascii="Calibri" w:hAnsi="Calibri" w:cs="Calibri"/>
            <w:sz w:val="17"/>
            <w:szCs w:val="17"/>
          </w:rPr>
          <w:t xml:space="preserve"> </w:t>
        </w:r>
        <w:r w:rsidRPr="00BD57D3">
          <w:rPr>
            <w:rStyle w:val="Hyperlink"/>
            <w:rFonts w:ascii="Calibri" w:hAnsi="Calibri" w:cs="Calibri"/>
            <w:i/>
            <w:iCs/>
            <w:sz w:val="17"/>
            <w:szCs w:val="17"/>
          </w:rPr>
          <w:t>International policy on state obligations to respect, protect and fulfil the human rights of sex workers</w:t>
        </w:r>
      </w:hyperlink>
      <w:r w:rsidRPr="00BD57D3">
        <w:rPr>
          <w:rFonts w:ascii="Calibri" w:hAnsi="Calibri" w:cs="Calibri"/>
          <w:sz w:val="17"/>
          <w:szCs w:val="17"/>
        </w:rPr>
        <w:t xml:space="preserve">, May 26, 2016.  </w:t>
      </w:r>
    </w:p>
  </w:endnote>
  <w:endnote w:id="11">
    <w:p w14:paraId="4EE7F2DA" w14:textId="100E7E42" w:rsidR="002134CE" w:rsidRPr="00BD57D3" w:rsidRDefault="002134CE" w:rsidP="00C54AA1">
      <w:pPr>
        <w:pStyle w:val="EndnoteText"/>
        <w:contextualSpacing/>
        <w:rPr>
          <w:rFonts w:ascii="Calibri" w:hAnsi="Calibri" w:cs="Calibri"/>
          <w:sz w:val="17"/>
          <w:szCs w:val="17"/>
        </w:rPr>
      </w:pPr>
      <w:r w:rsidRPr="00BD57D3">
        <w:rPr>
          <w:rStyle w:val="EndnoteReference"/>
          <w:rFonts w:ascii="Calibri" w:hAnsi="Calibri" w:cs="Calibri"/>
          <w:sz w:val="17"/>
          <w:szCs w:val="17"/>
        </w:rPr>
        <w:endnoteRef/>
      </w:r>
      <w:r w:rsidRPr="00BD57D3">
        <w:rPr>
          <w:rFonts w:ascii="Calibri" w:hAnsi="Calibri" w:cs="Calibri"/>
          <w:sz w:val="17"/>
          <w:szCs w:val="17"/>
        </w:rPr>
        <w:t xml:space="preserve"> International Commission of Jurists, </w:t>
      </w:r>
      <w:hyperlink r:id="rId8" w:history="1">
        <w:r w:rsidRPr="00BD57D3">
          <w:rPr>
            <w:rStyle w:val="Hyperlink"/>
            <w:rFonts w:ascii="Calibri" w:hAnsi="Calibri" w:cs="Calibri"/>
            <w:i/>
            <w:iCs/>
            <w:sz w:val="17"/>
            <w:szCs w:val="17"/>
          </w:rPr>
          <w:t>The 8 March Principles for a Human Rights-Based Approach to Criminal Law Proscribing Conduct Associated with Sex, Reproduction, Drug Use, HIV, Homelessness and Poverty</w:t>
        </w:r>
      </w:hyperlink>
      <w:r w:rsidRPr="00BD57D3">
        <w:rPr>
          <w:rFonts w:ascii="Calibri" w:hAnsi="Calibri" w:cs="Calibri"/>
          <w:sz w:val="17"/>
          <w:szCs w:val="17"/>
        </w:rPr>
        <w:t xml:space="preserve">, 2023.  </w:t>
      </w:r>
    </w:p>
  </w:endnote>
  <w:endnote w:id="12">
    <w:p w14:paraId="2936052E" w14:textId="611B8329" w:rsidR="002134CE" w:rsidRPr="00BD57D3" w:rsidRDefault="002134CE" w:rsidP="00C54AA1">
      <w:pPr>
        <w:pStyle w:val="EndnoteText"/>
        <w:contextualSpacing/>
        <w:rPr>
          <w:rFonts w:ascii="Calibri" w:hAnsi="Calibri" w:cs="Calibri"/>
          <w:sz w:val="17"/>
          <w:szCs w:val="17"/>
        </w:rPr>
      </w:pPr>
      <w:r w:rsidRPr="00BD57D3">
        <w:rPr>
          <w:rStyle w:val="EndnoteReference"/>
          <w:rFonts w:ascii="Calibri" w:hAnsi="Calibri" w:cs="Calibri"/>
          <w:sz w:val="17"/>
          <w:szCs w:val="17"/>
        </w:rPr>
        <w:endnoteRef/>
      </w:r>
      <w:r w:rsidRPr="00BD57D3">
        <w:rPr>
          <w:rFonts w:ascii="Calibri" w:hAnsi="Calibri" w:cs="Calibri"/>
          <w:sz w:val="17"/>
          <w:szCs w:val="17"/>
        </w:rPr>
        <w:t xml:space="preserve"> Human Rights Watch, </w:t>
      </w:r>
      <w:hyperlink r:id="rId9" w:history="1">
        <w:r w:rsidRPr="00BD57D3">
          <w:rPr>
            <w:rStyle w:val="Hyperlink"/>
            <w:rFonts w:ascii="Calibri" w:hAnsi="Calibri" w:cs="Calibri"/>
            <w:i/>
            <w:iCs/>
            <w:sz w:val="17"/>
            <w:szCs w:val="17"/>
          </w:rPr>
          <w:t>Why Sex Work Should be Decriminalized</w:t>
        </w:r>
      </w:hyperlink>
      <w:r w:rsidRPr="00BD57D3">
        <w:rPr>
          <w:rFonts w:ascii="Calibri" w:hAnsi="Calibri" w:cs="Calibri"/>
          <w:sz w:val="17"/>
          <w:szCs w:val="17"/>
        </w:rPr>
        <w:t xml:space="preserve">, August 2019. </w:t>
      </w:r>
    </w:p>
  </w:endnote>
  <w:endnote w:id="13">
    <w:p w14:paraId="55CC8B08" w14:textId="004D6400" w:rsidR="002134CE" w:rsidRPr="00BD57D3" w:rsidRDefault="002134CE" w:rsidP="00C54AA1">
      <w:pPr>
        <w:pStyle w:val="EndnoteText"/>
        <w:contextualSpacing/>
        <w:rPr>
          <w:rFonts w:ascii="Calibri" w:hAnsi="Calibri" w:cs="Calibri"/>
          <w:sz w:val="17"/>
          <w:szCs w:val="17"/>
        </w:rPr>
      </w:pPr>
      <w:r w:rsidRPr="00BD57D3">
        <w:rPr>
          <w:rStyle w:val="EndnoteReference"/>
          <w:rFonts w:ascii="Calibri" w:hAnsi="Calibri" w:cs="Calibri"/>
          <w:sz w:val="17"/>
          <w:szCs w:val="17"/>
        </w:rPr>
        <w:endnoteRef/>
      </w:r>
      <w:r w:rsidRPr="00BD57D3">
        <w:rPr>
          <w:rFonts w:ascii="Calibri" w:hAnsi="Calibri" w:cs="Calibri"/>
          <w:sz w:val="17"/>
          <w:szCs w:val="17"/>
        </w:rPr>
        <w:t xml:space="preserve"> UNAIDS, </w:t>
      </w:r>
      <w:hyperlink r:id="rId10" w:history="1">
        <w:r w:rsidRPr="00BD57D3">
          <w:rPr>
            <w:rStyle w:val="Hyperlink"/>
            <w:rFonts w:ascii="Calibri" w:hAnsi="Calibri" w:cs="Calibri"/>
            <w:i/>
            <w:iCs/>
            <w:sz w:val="17"/>
            <w:szCs w:val="17"/>
          </w:rPr>
          <w:t>UNAIDS Guidance Note on HIV and Sex Work</w:t>
        </w:r>
      </w:hyperlink>
      <w:r w:rsidRPr="00BD57D3">
        <w:rPr>
          <w:rFonts w:ascii="Calibri" w:hAnsi="Calibri" w:cs="Calibri"/>
          <w:sz w:val="17"/>
          <w:szCs w:val="17"/>
        </w:rPr>
        <w:t xml:space="preserve">, April 2012.   </w:t>
      </w:r>
    </w:p>
  </w:endnote>
  <w:endnote w:id="14">
    <w:p w14:paraId="4484659E" w14:textId="6E9D71AE" w:rsidR="002134CE" w:rsidRPr="00BD57D3" w:rsidRDefault="002134CE" w:rsidP="00C54AA1">
      <w:pPr>
        <w:pStyle w:val="EndnoteText"/>
        <w:contextualSpacing/>
        <w:rPr>
          <w:rFonts w:ascii="Calibri" w:hAnsi="Calibri" w:cs="Calibri"/>
          <w:sz w:val="17"/>
          <w:szCs w:val="17"/>
        </w:rPr>
      </w:pPr>
      <w:r w:rsidRPr="00BD57D3">
        <w:rPr>
          <w:rStyle w:val="EndnoteReference"/>
          <w:rFonts w:ascii="Calibri" w:hAnsi="Calibri" w:cs="Calibri"/>
          <w:sz w:val="17"/>
          <w:szCs w:val="17"/>
        </w:rPr>
        <w:endnoteRef/>
      </w:r>
      <w:r w:rsidRPr="00BD57D3">
        <w:rPr>
          <w:rFonts w:ascii="Calibri" w:hAnsi="Calibri" w:cs="Calibri"/>
          <w:sz w:val="17"/>
          <w:szCs w:val="17"/>
        </w:rPr>
        <w:t xml:space="preserve"> International Community of Women Living with HIV,</w:t>
      </w:r>
      <w:r w:rsidRPr="00BD57D3">
        <w:rPr>
          <w:rFonts w:ascii="Calibri" w:hAnsi="Calibri" w:cs="Calibri"/>
          <w:i/>
          <w:iCs/>
          <w:sz w:val="17"/>
          <w:szCs w:val="17"/>
        </w:rPr>
        <w:t xml:space="preserve"> </w:t>
      </w:r>
      <w:hyperlink r:id="rId11" w:history="1">
        <w:r w:rsidRPr="00BD57D3">
          <w:rPr>
            <w:rStyle w:val="Hyperlink"/>
            <w:rFonts w:ascii="Calibri" w:hAnsi="Calibri" w:cs="Calibri"/>
            <w:i/>
            <w:iCs/>
            <w:sz w:val="17"/>
            <w:szCs w:val="17"/>
          </w:rPr>
          <w:t>Sex Workers, Sex Work and HIV</w:t>
        </w:r>
      </w:hyperlink>
      <w:r w:rsidRPr="00BD57D3">
        <w:rPr>
          <w:rFonts w:ascii="Calibri" w:hAnsi="Calibri" w:cs="Calibri"/>
          <w:i/>
          <w:iCs/>
          <w:sz w:val="17"/>
          <w:szCs w:val="17"/>
        </w:rPr>
        <w:t xml:space="preserve">, </w:t>
      </w:r>
      <w:r w:rsidRPr="00BD57D3">
        <w:rPr>
          <w:rFonts w:ascii="Calibri" w:hAnsi="Calibri" w:cs="Calibri"/>
          <w:sz w:val="17"/>
          <w:szCs w:val="17"/>
        </w:rPr>
        <w:t xml:space="preserve">undated.  </w:t>
      </w:r>
    </w:p>
  </w:endnote>
  <w:endnote w:id="15">
    <w:p w14:paraId="602EB9FA" w14:textId="47C49BFF" w:rsidR="002134CE" w:rsidRPr="00BD57D3" w:rsidRDefault="002134CE" w:rsidP="00C54AA1">
      <w:pPr>
        <w:pStyle w:val="EndnoteText"/>
        <w:contextualSpacing/>
        <w:rPr>
          <w:rFonts w:ascii="Calibri" w:hAnsi="Calibri" w:cs="Calibri"/>
          <w:sz w:val="17"/>
          <w:szCs w:val="17"/>
        </w:rPr>
      </w:pPr>
      <w:r w:rsidRPr="00BD57D3">
        <w:rPr>
          <w:rStyle w:val="EndnoteReference"/>
          <w:rFonts w:ascii="Calibri" w:hAnsi="Calibri" w:cs="Calibri"/>
          <w:sz w:val="17"/>
          <w:szCs w:val="17"/>
        </w:rPr>
        <w:endnoteRef/>
      </w:r>
      <w:r w:rsidRPr="00BD57D3">
        <w:rPr>
          <w:rFonts w:ascii="Calibri" w:hAnsi="Calibri" w:cs="Calibri"/>
          <w:sz w:val="17"/>
          <w:szCs w:val="17"/>
        </w:rPr>
        <w:t xml:space="preserve"> Global Alliance against Traffic in Women, </w:t>
      </w:r>
      <w:hyperlink r:id="rId12" w:history="1">
        <w:r w:rsidRPr="00BD57D3">
          <w:rPr>
            <w:rStyle w:val="Hyperlink"/>
            <w:rFonts w:ascii="Calibri" w:hAnsi="Calibri" w:cs="Calibri"/>
            <w:i/>
            <w:iCs/>
            <w:sz w:val="17"/>
            <w:szCs w:val="17"/>
          </w:rPr>
          <w:t>Criminalising Clients Endangers Sex Workers and Creates Barriers to Exiting Sex Work: Lessons Learned from the Anti-Trafficking Industry: Brief to the Senate Legal and Constitutional Affairs Committee on Bill C-36: Protection of Communities and Exploited Persons Act</w:t>
        </w:r>
      </w:hyperlink>
      <w:r w:rsidRPr="00BD57D3">
        <w:rPr>
          <w:rFonts w:ascii="Calibri" w:hAnsi="Calibri" w:cs="Calibri"/>
          <w:sz w:val="17"/>
          <w:szCs w:val="17"/>
        </w:rPr>
        <w:t xml:space="preserve">, September 8, 2014.  </w:t>
      </w:r>
    </w:p>
  </w:endnote>
  <w:endnote w:id="16">
    <w:p w14:paraId="2E3B9D46" w14:textId="5F341CA8" w:rsidR="002134CE" w:rsidRPr="00BD57D3" w:rsidRDefault="002134CE" w:rsidP="00C54AA1">
      <w:pPr>
        <w:pStyle w:val="EndnoteText"/>
        <w:contextualSpacing/>
        <w:rPr>
          <w:rFonts w:ascii="Calibri" w:hAnsi="Calibri" w:cs="Calibri"/>
          <w:sz w:val="17"/>
          <w:szCs w:val="17"/>
        </w:rPr>
      </w:pPr>
      <w:r w:rsidRPr="00BD57D3">
        <w:rPr>
          <w:rStyle w:val="EndnoteReference"/>
          <w:rFonts w:ascii="Calibri" w:hAnsi="Calibri" w:cs="Calibri"/>
          <w:sz w:val="17"/>
          <w:szCs w:val="17"/>
        </w:rPr>
        <w:endnoteRef/>
      </w:r>
      <w:r w:rsidRPr="00BD57D3">
        <w:rPr>
          <w:rFonts w:ascii="Calibri" w:hAnsi="Calibri" w:cs="Calibri"/>
          <w:sz w:val="17"/>
          <w:szCs w:val="17"/>
        </w:rPr>
        <w:t xml:space="preserve"> Global Commission on HIV and the Law, </w:t>
      </w:r>
      <w:hyperlink r:id="rId13" w:history="1">
        <w:r w:rsidRPr="00BD57D3">
          <w:rPr>
            <w:rStyle w:val="Hyperlink"/>
            <w:rFonts w:ascii="Calibri" w:hAnsi="Calibri" w:cs="Calibri"/>
            <w:i/>
            <w:iCs/>
            <w:sz w:val="17"/>
            <w:szCs w:val="17"/>
          </w:rPr>
          <w:t>Risks, Rights &amp; Health</w:t>
        </w:r>
      </w:hyperlink>
      <w:r w:rsidRPr="00BD57D3">
        <w:rPr>
          <w:rFonts w:ascii="Calibri" w:hAnsi="Calibri" w:cs="Calibri"/>
          <w:sz w:val="17"/>
          <w:szCs w:val="17"/>
        </w:rPr>
        <w:t>, July 2012.</w:t>
      </w:r>
    </w:p>
  </w:endnote>
  <w:endnote w:id="17">
    <w:p w14:paraId="53CF80A7" w14:textId="77777777" w:rsidR="002134CE" w:rsidRPr="00BD57D3" w:rsidRDefault="002134CE" w:rsidP="00C54AA1">
      <w:pPr>
        <w:pStyle w:val="EndnoteText"/>
        <w:spacing w:afterLines="50" w:after="120"/>
        <w:contextualSpacing/>
        <w:rPr>
          <w:rFonts w:ascii="Calibri" w:hAnsi="Calibri" w:cs="Calibri"/>
          <w:sz w:val="17"/>
          <w:szCs w:val="17"/>
        </w:rPr>
      </w:pPr>
      <w:r w:rsidRPr="00BD57D3">
        <w:rPr>
          <w:rStyle w:val="EndnoteReference"/>
          <w:rFonts w:ascii="Calibri" w:hAnsi="Calibri" w:cs="Calibri"/>
          <w:sz w:val="17"/>
          <w:szCs w:val="17"/>
        </w:rPr>
        <w:endnoteRef/>
      </w:r>
      <w:r w:rsidRPr="00BD57D3">
        <w:rPr>
          <w:rFonts w:ascii="Calibri" w:hAnsi="Calibri" w:cs="Calibri"/>
          <w:sz w:val="17"/>
          <w:szCs w:val="17"/>
        </w:rPr>
        <w:t xml:space="preserve"> M. Decker et al., “Human rights violations against sex workers: burden and effect on HIV,” </w:t>
      </w:r>
      <w:r w:rsidRPr="00BD57D3">
        <w:rPr>
          <w:rFonts w:ascii="Calibri" w:hAnsi="Calibri" w:cs="Calibri"/>
          <w:i/>
          <w:sz w:val="17"/>
          <w:szCs w:val="17"/>
        </w:rPr>
        <w:t xml:space="preserve">Lancet </w:t>
      </w:r>
      <w:r w:rsidRPr="00BD57D3">
        <w:rPr>
          <w:rFonts w:ascii="Calibri" w:hAnsi="Calibri" w:cs="Calibri"/>
          <w:sz w:val="17"/>
          <w:szCs w:val="17"/>
        </w:rPr>
        <w:t>3</w:t>
      </w:r>
      <w:r w:rsidRPr="00BD57D3">
        <w:rPr>
          <w:rFonts w:ascii="Calibri" w:hAnsi="Calibri" w:cs="Calibri"/>
          <w:sz w:val="17"/>
          <w:szCs w:val="17"/>
          <w:shd w:val="clear" w:color="auto" w:fill="FFFFFF"/>
        </w:rPr>
        <w:t>85:9963 (2015):</w:t>
      </w:r>
      <w:r w:rsidRPr="00BD57D3">
        <w:rPr>
          <w:rFonts w:ascii="Calibri" w:hAnsi="Calibri" w:cs="Calibri"/>
          <w:sz w:val="17"/>
          <w:szCs w:val="17"/>
        </w:rPr>
        <w:t xml:space="preserve"> pp. </w:t>
      </w:r>
      <w:r w:rsidRPr="00BD57D3">
        <w:rPr>
          <w:rFonts w:ascii="Calibri" w:hAnsi="Calibri" w:cs="Calibri"/>
          <w:sz w:val="17"/>
          <w:szCs w:val="17"/>
          <w:shd w:val="clear" w:color="auto" w:fill="FFFFFF"/>
        </w:rPr>
        <w:t>186–199.</w:t>
      </w:r>
    </w:p>
  </w:endnote>
  <w:endnote w:id="18">
    <w:p w14:paraId="51515180" w14:textId="35812625" w:rsidR="002134CE" w:rsidRPr="00BD57D3" w:rsidRDefault="002134CE" w:rsidP="00C54AA1">
      <w:pPr>
        <w:pStyle w:val="EndnoteText"/>
        <w:contextualSpacing/>
        <w:rPr>
          <w:rFonts w:ascii="Calibri" w:hAnsi="Calibri" w:cs="Calibri"/>
          <w:sz w:val="17"/>
          <w:szCs w:val="17"/>
        </w:rPr>
      </w:pPr>
      <w:r w:rsidRPr="00BD57D3">
        <w:rPr>
          <w:rStyle w:val="EndnoteReference"/>
          <w:rFonts w:ascii="Calibri" w:hAnsi="Calibri" w:cs="Calibri"/>
          <w:sz w:val="17"/>
          <w:szCs w:val="17"/>
        </w:rPr>
        <w:endnoteRef/>
      </w:r>
      <w:r w:rsidRPr="00BD57D3">
        <w:rPr>
          <w:rFonts w:ascii="Calibri" w:hAnsi="Calibri" w:cs="Calibri"/>
          <w:sz w:val="17"/>
          <w:szCs w:val="17"/>
        </w:rPr>
        <w:t xml:space="preserve"> See, for example, court decisions in Canada (</w:t>
      </w:r>
      <w:r w:rsidRPr="00BD57D3">
        <w:rPr>
          <w:rFonts w:ascii="Calibri" w:hAnsi="Calibri" w:cs="Calibri"/>
          <w:i/>
          <w:iCs/>
          <w:sz w:val="17"/>
          <w:szCs w:val="17"/>
        </w:rPr>
        <w:t>R v Al-Rawi</w:t>
      </w:r>
      <w:r w:rsidRPr="00BD57D3">
        <w:rPr>
          <w:rFonts w:ascii="Calibri" w:hAnsi="Calibri" w:cs="Calibri"/>
          <w:sz w:val="17"/>
          <w:szCs w:val="17"/>
        </w:rPr>
        <w:t xml:space="preserve"> [2018] N.S.J. No. 18; </w:t>
      </w:r>
      <w:r w:rsidRPr="00BD57D3">
        <w:rPr>
          <w:rFonts w:ascii="Calibri" w:hAnsi="Calibri" w:cs="Calibri"/>
          <w:i/>
          <w:iCs/>
          <w:sz w:val="17"/>
          <w:szCs w:val="17"/>
        </w:rPr>
        <w:t>R v F.(G.)</w:t>
      </w:r>
      <w:r w:rsidRPr="00BD57D3">
        <w:rPr>
          <w:rFonts w:ascii="Calibri" w:hAnsi="Calibri" w:cs="Calibri"/>
          <w:sz w:val="17"/>
          <w:szCs w:val="17"/>
        </w:rPr>
        <w:t xml:space="preserve"> [2021] SCJ No.20); </w:t>
      </w:r>
      <w:r w:rsidRPr="00BD57D3">
        <w:rPr>
          <w:rFonts w:ascii="Calibri" w:hAnsi="Calibri" w:cs="Calibri"/>
          <w:i/>
          <w:iCs/>
          <w:sz w:val="17"/>
          <w:szCs w:val="17"/>
        </w:rPr>
        <w:t>R. v. Ewanchuk</w:t>
      </w:r>
      <w:r w:rsidRPr="00BD57D3">
        <w:rPr>
          <w:rFonts w:ascii="Calibri" w:hAnsi="Calibri" w:cs="Calibri"/>
          <w:sz w:val="17"/>
          <w:szCs w:val="17"/>
        </w:rPr>
        <w:t xml:space="preserve"> [1999] SCJ No. 10); </w:t>
      </w:r>
      <w:r w:rsidRPr="00BD57D3">
        <w:rPr>
          <w:rFonts w:ascii="Calibri" w:hAnsi="Calibri" w:cs="Calibri"/>
          <w:i/>
          <w:iCs/>
          <w:sz w:val="17"/>
          <w:szCs w:val="17"/>
        </w:rPr>
        <w:t>R. v. Hutchinson</w:t>
      </w:r>
      <w:r w:rsidRPr="00BD57D3">
        <w:rPr>
          <w:rFonts w:ascii="Calibri" w:hAnsi="Calibri" w:cs="Calibri"/>
          <w:sz w:val="17"/>
          <w:szCs w:val="17"/>
        </w:rPr>
        <w:t xml:space="preserve"> [2014] SCJ No. 19); and </w:t>
      </w:r>
      <w:r w:rsidRPr="00BD57D3">
        <w:rPr>
          <w:rFonts w:ascii="Calibri" w:hAnsi="Calibri" w:cs="Calibri"/>
          <w:i/>
          <w:iCs/>
          <w:sz w:val="17"/>
          <w:szCs w:val="17"/>
        </w:rPr>
        <w:t>R. v. Kirkpatrick</w:t>
      </w:r>
      <w:r w:rsidRPr="00BD57D3">
        <w:rPr>
          <w:rFonts w:ascii="Calibri" w:hAnsi="Calibri" w:cs="Calibri"/>
          <w:sz w:val="17"/>
          <w:szCs w:val="17"/>
        </w:rPr>
        <w:t xml:space="preserve"> [2022] No. 33)) and the United Kingdom (</w:t>
      </w:r>
      <w:r w:rsidRPr="00BD57D3">
        <w:rPr>
          <w:rFonts w:ascii="Calibri" w:hAnsi="Calibri" w:cs="Calibri"/>
          <w:i/>
          <w:iCs/>
          <w:sz w:val="17"/>
          <w:szCs w:val="17"/>
        </w:rPr>
        <w:t>R(F) v DPP</w:t>
      </w:r>
      <w:r w:rsidRPr="00BD57D3">
        <w:rPr>
          <w:rFonts w:ascii="Calibri" w:hAnsi="Calibri" w:cs="Calibri"/>
          <w:sz w:val="17"/>
          <w:szCs w:val="17"/>
        </w:rPr>
        <w:t xml:space="preserve"> (2014 Q.B. 581); </w:t>
      </w:r>
      <w:r w:rsidRPr="00BD57D3">
        <w:rPr>
          <w:rFonts w:ascii="Calibri" w:hAnsi="Calibri" w:cs="Calibri"/>
          <w:i/>
          <w:iCs/>
          <w:sz w:val="17"/>
          <w:szCs w:val="17"/>
        </w:rPr>
        <w:t xml:space="preserve">Assange v Swedish Prosecution Authority </w:t>
      </w:r>
      <w:r w:rsidRPr="00BD57D3">
        <w:rPr>
          <w:rFonts w:ascii="Calibri" w:hAnsi="Calibri" w:cs="Calibri"/>
          <w:sz w:val="17"/>
          <w:szCs w:val="17"/>
        </w:rPr>
        <w:t xml:space="preserve">(SCUK)); </w:t>
      </w:r>
      <w:r w:rsidRPr="00BD57D3">
        <w:rPr>
          <w:rFonts w:ascii="Calibri" w:hAnsi="Calibri" w:cs="Calibri"/>
          <w:i/>
          <w:iCs/>
          <w:sz w:val="17"/>
          <w:szCs w:val="17"/>
        </w:rPr>
        <w:t xml:space="preserve">R v Malone </w:t>
      </w:r>
      <w:r w:rsidRPr="00BD57D3">
        <w:rPr>
          <w:rFonts w:ascii="Calibri" w:hAnsi="Calibri" w:cs="Calibri"/>
          <w:sz w:val="17"/>
          <w:szCs w:val="17"/>
        </w:rPr>
        <w:t>(1998 2 Cr App R 447).</w:t>
      </w:r>
    </w:p>
  </w:endnote>
  <w:endnote w:id="19">
    <w:p w14:paraId="17E666E0" w14:textId="51F91FD5" w:rsidR="002134CE" w:rsidRPr="00BD57D3" w:rsidRDefault="002134CE" w:rsidP="00C54AA1">
      <w:pPr>
        <w:pStyle w:val="EndnoteText"/>
        <w:contextualSpacing/>
        <w:rPr>
          <w:rFonts w:ascii="Calibri" w:hAnsi="Calibri" w:cs="Calibri"/>
          <w:sz w:val="17"/>
          <w:szCs w:val="17"/>
        </w:rPr>
      </w:pPr>
      <w:r w:rsidRPr="00BD57D3">
        <w:rPr>
          <w:rStyle w:val="EndnoteReference"/>
          <w:rFonts w:ascii="Calibri" w:hAnsi="Calibri" w:cs="Calibri"/>
          <w:sz w:val="17"/>
          <w:szCs w:val="17"/>
        </w:rPr>
        <w:endnoteRef/>
      </w:r>
      <w:r w:rsidRPr="00BD57D3">
        <w:rPr>
          <w:rFonts w:ascii="Calibri" w:hAnsi="Calibri" w:cs="Calibri"/>
          <w:sz w:val="17"/>
          <w:szCs w:val="17"/>
        </w:rPr>
        <w:t xml:space="preserve"> Global Commission on HIV and the Law, </w:t>
      </w:r>
      <w:r w:rsidRPr="00BD57D3">
        <w:rPr>
          <w:rFonts w:ascii="Calibri" w:hAnsi="Calibri" w:cs="Calibri"/>
          <w:i/>
          <w:iCs/>
          <w:sz w:val="17"/>
          <w:szCs w:val="17"/>
        </w:rPr>
        <w:t>Risks, Rights &amp; Health</w:t>
      </w:r>
      <w:r w:rsidRPr="00BD57D3">
        <w:rPr>
          <w:rFonts w:ascii="Calibri" w:hAnsi="Calibri" w:cs="Calibri"/>
          <w:sz w:val="17"/>
          <w:szCs w:val="17"/>
        </w:rPr>
        <w:t xml:space="preserve">, </w:t>
      </w:r>
      <w:r w:rsidR="00FA48B1" w:rsidRPr="00BD57D3">
        <w:rPr>
          <w:rFonts w:ascii="Calibri" w:hAnsi="Calibri" w:cs="Calibri"/>
          <w:sz w:val="17"/>
          <w:szCs w:val="17"/>
        </w:rPr>
        <w:t>supra</w:t>
      </w:r>
      <w:r w:rsidRPr="00BD57D3">
        <w:rPr>
          <w:rFonts w:ascii="Calibri" w:hAnsi="Calibri" w:cs="Calibri"/>
          <w:sz w:val="17"/>
          <w:szCs w:val="17"/>
        </w:rPr>
        <w:t xml:space="preserve"> at p. 38.</w:t>
      </w:r>
    </w:p>
  </w:endnote>
  <w:endnote w:id="20">
    <w:p w14:paraId="76E9C95B" w14:textId="0B97EA38" w:rsidR="002134CE" w:rsidRPr="00BD57D3" w:rsidRDefault="002134CE" w:rsidP="00C54AA1">
      <w:pPr>
        <w:pStyle w:val="EndnoteText"/>
        <w:contextualSpacing/>
        <w:rPr>
          <w:rFonts w:ascii="Calibri" w:hAnsi="Calibri" w:cs="Calibri"/>
          <w:sz w:val="17"/>
          <w:szCs w:val="17"/>
        </w:rPr>
      </w:pPr>
      <w:r w:rsidRPr="00BD57D3">
        <w:rPr>
          <w:rStyle w:val="EndnoteReference"/>
          <w:rFonts w:ascii="Calibri" w:hAnsi="Calibri" w:cs="Calibri"/>
          <w:sz w:val="17"/>
          <w:szCs w:val="17"/>
        </w:rPr>
        <w:endnoteRef/>
      </w:r>
      <w:r w:rsidRPr="00BD57D3">
        <w:rPr>
          <w:rFonts w:ascii="Calibri" w:hAnsi="Calibri" w:cs="Calibri"/>
          <w:sz w:val="17"/>
          <w:szCs w:val="17"/>
        </w:rPr>
        <w:t xml:space="preserve"> G. Ellison et al., </w:t>
      </w:r>
      <w:hyperlink r:id="rId14" w:history="1">
        <w:r w:rsidRPr="00BD57D3">
          <w:rPr>
            <w:rStyle w:val="Hyperlink"/>
            <w:rFonts w:ascii="Calibri" w:hAnsi="Calibri" w:cs="Calibri"/>
            <w:i/>
            <w:iCs/>
            <w:sz w:val="17"/>
            <w:szCs w:val="17"/>
          </w:rPr>
          <w:t>A Review of the Criminalisation of Paying for Sexual Services in Northern Ireland</w:t>
        </w:r>
      </w:hyperlink>
      <w:r w:rsidRPr="00BD57D3">
        <w:rPr>
          <w:rFonts w:ascii="Calibri" w:hAnsi="Calibri" w:cs="Calibri"/>
          <w:sz w:val="17"/>
          <w:szCs w:val="17"/>
        </w:rPr>
        <w:t>, September 2019</w:t>
      </w:r>
      <w:r w:rsidR="00FA48B1" w:rsidRPr="00BD57D3">
        <w:rPr>
          <w:rFonts w:ascii="Calibri" w:hAnsi="Calibri" w:cs="Calibri"/>
          <w:sz w:val="17"/>
          <w:szCs w:val="17"/>
        </w:rPr>
        <w:t>;</w:t>
      </w:r>
      <w:r w:rsidR="00F865C9" w:rsidRPr="00BD57D3">
        <w:rPr>
          <w:rFonts w:ascii="Calibri" w:hAnsi="Calibri" w:cs="Calibri"/>
          <w:sz w:val="17"/>
          <w:szCs w:val="17"/>
        </w:rPr>
        <w:t xml:space="preserve"> </w:t>
      </w:r>
      <w:r w:rsidRPr="00BD57D3">
        <w:rPr>
          <w:rFonts w:ascii="Calibri" w:hAnsi="Calibri" w:cs="Calibri"/>
          <w:sz w:val="17"/>
          <w:szCs w:val="17"/>
        </w:rPr>
        <w:t xml:space="preserve">Department of Justice, </w:t>
      </w:r>
      <w:hyperlink r:id="rId15" w:history="1">
        <w:r w:rsidRPr="00BD57D3">
          <w:rPr>
            <w:rStyle w:val="Hyperlink"/>
            <w:rFonts w:ascii="Calibri" w:hAnsi="Calibri" w:cs="Calibri"/>
            <w:i/>
            <w:iCs/>
            <w:sz w:val="17"/>
            <w:szCs w:val="17"/>
          </w:rPr>
          <w:t>Assessment of Review of Operation of Article 64A of the Sexual Offences Order (Northern Ireland) 2008: Offence of Purchasing Sexual Services</w:t>
        </w:r>
      </w:hyperlink>
      <w:r w:rsidRPr="00BD57D3">
        <w:rPr>
          <w:rFonts w:ascii="Calibri" w:hAnsi="Calibri" w:cs="Calibri"/>
          <w:sz w:val="17"/>
          <w:szCs w:val="17"/>
        </w:rPr>
        <w:t>, September 2019</w:t>
      </w:r>
      <w:r w:rsidR="00FA48B1" w:rsidRPr="00BD57D3">
        <w:rPr>
          <w:rFonts w:ascii="Calibri" w:hAnsi="Calibri" w:cs="Calibri"/>
          <w:sz w:val="17"/>
          <w:szCs w:val="17"/>
        </w:rPr>
        <w:t>;</w:t>
      </w:r>
      <w:r w:rsidRPr="00BD57D3">
        <w:rPr>
          <w:rFonts w:ascii="Calibri" w:hAnsi="Calibri" w:cs="Calibri"/>
          <w:sz w:val="17"/>
          <w:szCs w:val="17"/>
        </w:rPr>
        <w:t xml:space="preserve"> and Amnesty International, </w:t>
      </w:r>
      <w:hyperlink r:id="rId16" w:history="1">
        <w:r w:rsidRPr="00BD57D3">
          <w:rPr>
            <w:rStyle w:val="Hyperlink"/>
            <w:rFonts w:ascii="Calibri" w:hAnsi="Calibri" w:cs="Calibri"/>
            <w:i/>
            <w:iCs/>
            <w:sz w:val="17"/>
            <w:szCs w:val="17"/>
          </w:rPr>
          <w:t>“We live within a violent system”: Structural violence against sex workers in Ireland</w:t>
        </w:r>
      </w:hyperlink>
      <w:r w:rsidRPr="00BD57D3">
        <w:rPr>
          <w:rFonts w:ascii="Calibri" w:hAnsi="Calibri" w:cs="Calibri"/>
          <w:sz w:val="17"/>
          <w:szCs w:val="17"/>
        </w:rPr>
        <w:t xml:space="preserve">, January 2022. </w:t>
      </w:r>
    </w:p>
  </w:endnote>
  <w:endnote w:id="21">
    <w:p w14:paraId="6913F4E7" w14:textId="5E01189E" w:rsidR="002134CE" w:rsidRPr="00BD57D3" w:rsidRDefault="002134CE" w:rsidP="00C54AA1">
      <w:pPr>
        <w:pStyle w:val="EndnoteText"/>
        <w:contextualSpacing/>
        <w:rPr>
          <w:rFonts w:ascii="Calibri" w:hAnsi="Calibri" w:cs="Calibri"/>
          <w:sz w:val="17"/>
          <w:szCs w:val="17"/>
        </w:rPr>
      </w:pPr>
      <w:r w:rsidRPr="00BD57D3">
        <w:rPr>
          <w:rStyle w:val="EndnoteReference"/>
          <w:rFonts w:ascii="Calibri" w:hAnsi="Calibri" w:cs="Calibri"/>
          <w:sz w:val="17"/>
          <w:szCs w:val="17"/>
        </w:rPr>
        <w:endnoteRef/>
      </w:r>
      <w:r w:rsidRPr="00BD57D3">
        <w:rPr>
          <w:rFonts w:ascii="Calibri" w:hAnsi="Calibri" w:cs="Calibri"/>
          <w:sz w:val="17"/>
          <w:szCs w:val="17"/>
        </w:rPr>
        <w:t xml:space="preserve"> Amnesty International, </w:t>
      </w:r>
      <w:r w:rsidRPr="00BD57D3">
        <w:rPr>
          <w:rFonts w:ascii="Calibri" w:hAnsi="Calibri" w:cs="Calibri"/>
          <w:i/>
          <w:iCs/>
          <w:sz w:val="17"/>
          <w:szCs w:val="17"/>
        </w:rPr>
        <w:t>Norway: The human cost of ‘crushing’ the market: Criminalization of sex work in Norway</w:t>
      </w:r>
      <w:r w:rsidRPr="00BD57D3">
        <w:rPr>
          <w:rFonts w:ascii="Calibri" w:hAnsi="Calibri" w:cs="Calibri"/>
          <w:sz w:val="17"/>
          <w:szCs w:val="17"/>
        </w:rPr>
        <w:t xml:space="preserve">, </w:t>
      </w:r>
      <w:r w:rsidR="00F865C9" w:rsidRPr="00BD57D3">
        <w:rPr>
          <w:rFonts w:ascii="Calibri" w:hAnsi="Calibri" w:cs="Calibri"/>
          <w:sz w:val="17"/>
          <w:szCs w:val="17"/>
        </w:rPr>
        <w:t>supra,</w:t>
      </w:r>
      <w:r w:rsidRPr="00BD57D3">
        <w:rPr>
          <w:rFonts w:ascii="Calibri" w:hAnsi="Calibri" w:cs="Calibri"/>
          <w:sz w:val="17"/>
          <w:szCs w:val="17"/>
        </w:rPr>
        <w:t xml:space="preserve"> and N. </w:t>
      </w:r>
      <w:r w:rsidRPr="00BD57D3">
        <w:rPr>
          <w:rFonts w:ascii="Calibri" w:hAnsi="Calibri" w:cs="Calibri"/>
          <w:sz w:val="17"/>
          <w:szCs w:val="17"/>
        </w:rPr>
        <w:t>Vuolajärvi, “</w:t>
      </w:r>
      <w:hyperlink r:id="rId17" w:history="1">
        <w:r w:rsidRPr="00BD57D3">
          <w:rPr>
            <w:rStyle w:val="Hyperlink"/>
            <w:rFonts w:ascii="Calibri" w:hAnsi="Calibri" w:cs="Calibri"/>
            <w:sz w:val="17"/>
            <w:szCs w:val="17"/>
          </w:rPr>
          <w:t>Criminalising the Sex Buyer: Experiences from the Nordic Region</w:t>
        </w:r>
      </w:hyperlink>
      <w:r w:rsidRPr="00BD57D3">
        <w:rPr>
          <w:rFonts w:ascii="Calibri" w:hAnsi="Calibri" w:cs="Calibri"/>
          <w:sz w:val="17"/>
          <w:szCs w:val="17"/>
        </w:rPr>
        <w:t xml:space="preserve">,” </w:t>
      </w:r>
      <w:r w:rsidRPr="00BD57D3">
        <w:rPr>
          <w:rFonts w:ascii="Calibri" w:hAnsi="Calibri" w:cs="Calibri"/>
          <w:i/>
          <w:iCs/>
          <w:sz w:val="17"/>
          <w:szCs w:val="17"/>
        </w:rPr>
        <w:t>Centre for Women, Peace + Security, Research at LSE</w:t>
      </w:r>
      <w:r w:rsidRPr="00BD57D3">
        <w:rPr>
          <w:rFonts w:ascii="Calibri" w:hAnsi="Calibri" w:cs="Calibri"/>
          <w:sz w:val="17"/>
          <w:szCs w:val="17"/>
        </w:rPr>
        <w:t xml:space="preserve">, June 2022. </w:t>
      </w:r>
    </w:p>
  </w:endnote>
  <w:endnote w:id="22">
    <w:p w14:paraId="347798D8" w14:textId="6EAE561B" w:rsidR="002134CE" w:rsidRPr="00BD57D3" w:rsidRDefault="002134CE" w:rsidP="00C54AA1">
      <w:pPr>
        <w:pStyle w:val="EndnoteText"/>
        <w:contextualSpacing/>
        <w:rPr>
          <w:rFonts w:ascii="Calibri" w:hAnsi="Calibri" w:cs="Calibri"/>
          <w:sz w:val="17"/>
          <w:szCs w:val="17"/>
        </w:rPr>
      </w:pPr>
      <w:r w:rsidRPr="00BD57D3">
        <w:rPr>
          <w:rStyle w:val="EndnoteReference"/>
          <w:rFonts w:ascii="Calibri" w:hAnsi="Calibri" w:cs="Calibri"/>
          <w:sz w:val="17"/>
          <w:szCs w:val="17"/>
        </w:rPr>
        <w:endnoteRef/>
      </w:r>
      <w:r w:rsidRPr="00BD57D3">
        <w:rPr>
          <w:rFonts w:ascii="Calibri" w:hAnsi="Calibri" w:cs="Calibri"/>
          <w:sz w:val="17"/>
          <w:szCs w:val="17"/>
        </w:rPr>
        <w:t xml:space="preserve"> N. </w:t>
      </w:r>
      <w:r w:rsidRPr="00BD57D3">
        <w:rPr>
          <w:rFonts w:ascii="Calibri" w:hAnsi="Calibri" w:cs="Calibri"/>
          <w:sz w:val="17"/>
          <w:szCs w:val="17"/>
        </w:rPr>
        <w:t>Vuolajärvi, “Criminalising the Sex Buyer: Experiences from the Nordic Region,” ibid.</w:t>
      </w:r>
    </w:p>
  </w:endnote>
  <w:endnote w:id="23">
    <w:p w14:paraId="3C442AA0" w14:textId="6B1A6107" w:rsidR="002134CE" w:rsidRPr="00BD57D3" w:rsidRDefault="002134CE" w:rsidP="00C54AA1">
      <w:pPr>
        <w:pStyle w:val="EndnoteText"/>
        <w:contextualSpacing/>
        <w:rPr>
          <w:rFonts w:ascii="Calibri" w:hAnsi="Calibri" w:cs="Calibri"/>
          <w:sz w:val="17"/>
          <w:szCs w:val="17"/>
        </w:rPr>
      </w:pPr>
      <w:r w:rsidRPr="00BD57D3">
        <w:rPr>
          <w:rStyle w:val="EndnoteReference"/>
          <w:rFonts w:ascii="Calibri" w:hAnsi="Calibri" w:cs="Calibri"/>
          <w:sz w:val="17"/>
          <w:szCs w:val="17"/>
        </w:rPr>
        <w:endnoteRef/>
      </w:r>
      <w:r w:rsidRPr="00BD57D3">
        <w:rPr>
          <w:rFonts w:ascii="Calibri" w:hAnsi="Calibri" w:cs="Calibri"/>
          <w:sz w:val="17"/>
          <w:szCs w:val="17"/>
        </w:rPr>
        <w:t xml:space="preserve"> B. McBride et. al. “Harms of third party criminalisation under end-demand legislation: undermining sex workers’ safety and rights,” </w:t>
      </w:r>
      <w:r w:rsidRPr="00BD57D3">
        <w:rPr>
          <w:rFonts w:ascii="Calibri" w:hAnsi="Calibri" w:cs="Calibri"/>
          <w:i/>
          <w:iCs/>
          <w:sz w:val="17"/>
          <w:szCs w:val="17"/>
        </w:rPr>
        <w:t xml:space="preserve">Cult Health Sex </w:t>
      </w:r>
      <w:r w:rsidRPr="00BD57D3">
        <w:rPr>
          <w:rFonts w:ascii="Calibri" w:hAnsi="Calibri" w:cs="Calibri"/>
          <w:sz w:val="17"/>
          <w:szCs w:val="17"/>
        </w:rPr>
        <w:t xml:space="preserve">23, no. 9, September 2021, </w:t>
      </w:r>
      <w:r w:rsidRPr="00BD57D3">
        <w:rPr>
          <w:rFonts w:ascii="Calibri" w:hAnsi="Calibri" w:cs="Calibri"/>
          <w:sz w:val="17"/>
          <w:szCs w:val="17"/>
        </w:rPr>
        <w:t>doi: </w:t>
      </w:r>
      <w:hyperlink r:id="rId18" w:tgtFrame="_blank" w:history="1">
        <w:r w:rsidRPr="00BD57D3">
          <w:rPr>
            <w:rStyle w:val="Hyperlink"/>
            <w:rFonts w:ascii="Calibri" w:hAnsi="Calibri" w:cs="Calibri"/>
            <w:sz w:val="17"/>
            <w:szCs w:val="17"/>
          </w:rPr>
          <w:t>10.1080/13691058.2020.1767305</w:t>
        </w:r>
      </w:hyperlink>
      <w:r w:rsidRPr="00BD57D3">
        <w:rPr>
          <w:rFonts w:ascii="Calibri" w:hAnsi="Calibri" w:cs="Calibri"/>
          <w:sz w:val="17"/>
          <w:szCs w:val="17"/>
        </w:rPr>
        <w:t xml:space="preserve"> and E. Argento et al., “The impact of end-demand legislation on sex workers' access to health and sex worker-led services: A community-based prospective cohort study in Canada,” </w:t>
      </w:r>
      <w:r w:rsidRPr="00BD57D3">
        <w:rPr>
          <w:rFonts w:ascii="Calibri" w:hAnsi="Calibri" w:cs="Calibri"/>
          <w:i/>
          <w:iCs/>
          <w:sz w:val="17"/>
          <w:szCs w:val="17"/>
        </w:rPr>
        <w:t>PLoS One</w:t>
      </w:r>
      <w:r w:rsidRPr="00BD57D3">
        <w:rPr>
          <w:rFonts w:ascii="Calibri" w:hAnsi="Calibri" w:cs="Calibri"/>
          <w:sz w:val="17"/>
          <w:szCs w:val="17"/>
        </w:rPr>
        <w:t xml:space="preserve"> 15(4), April 6, 2020:e0225783. doi: 10.1371/journal.pone.0225783.</w:t>
      </w:r>
    </w:p>
  </w:endnote>
  <w:endnote w:id="24">
    <w:p w14:paraId="0E2BB932" w14:textId="51B6C3B4" w:rsidR="002134CE" w:rsidRPr="00BD57D3" w:rsidRDefault="002134CE" w:rsidP="00C54AA1">
      <w:pPr>
        <w:pStyle w:val="EndnoteText"/>
        <w:contextualSpacing/>
        <w:rPr>
          <w:rFonts w:ascii="Calibri" w:hAnsi="Calibri" w:cs="Calibri"/>
          <w:sz w:val="17"/>
          <w:szCs w:val="17"/>
        </w:rPr>
      </w:pPr>
      <w:r w:rsidRPr="00BD57D3">
        <w:rPr>
          <w:rStyle w:val="EndnoteReference"/>
          <w:rFonts w:ascii="Calibri" w:hAnsi="Calibri" w:cs="Calibri"/>
          <w:sz w:val="17"/>
          <w:szCs w:val="17"/>
        </w:rPr>
        <w:endnoteRef/>
      </w:r>
      <w:r w:rsidRPr="00BD57D3">
        <w:rPr>
          <w:rFonts w:ascii="Calibri" w:hAnsi="Calibri" w:cs="Calibri"/>
          <w:sz w:val="17"/>
          <w:szCs w:val="17"/>
        </w:rPr>
        <w:t xml:space="preserve"> UN Working Group on discrimination against women and girls, supra.</w:t>
      </w:r>
    </w:p>
  </w:endnote>
  <w:endnote w:id="25">
    <w:p w14:paraId="049B35F4" w14:textId="6874C4CA" w:rsidR="002134CE" w:rsidRPr="00BD57D3" w:rsidRDefault="002134CE" w:rsidP="00C54AA1">
      <w:pPr>
        <w:pStyle w:val="EndnoteText"/>
        <w:contextualSpacing/>
        <w:rPr>
          <w:rFonts w:ascii="Calibri" w:hAnsi="Calibri" w:cs="Calibri"/>
          <w:sz w:val="17"/>
          <w:szCs w:val="17"/>
        </w:rPr>
      </w:pPr>
      <w:r w:rsidRPr="00BD57D3">
        <w:rPr>
          <w:rStyle w:val="EndnoteReference"/>
          <w:rFonts w:ascii="Calibri" w:hAnsi="Calibri" w:cs="Calibri"/>
          <w:sz w:val="17"/>
          <w:szCs w:val="17"/>
        </w:rPr>
        <w:endnoteRef/>
      </w:r>
      <w:r w:rsidRPr="00BD57D3">
        <w:rPr>
          <w:rFonts w:ascii="Calibri" w:hAnsi="Calibri" w:cs="Calibri"/>
          <w:sz w:val="17"/>
          <w:szCs w:val="17"/>
        </w:rPr>
        <w:t xml:space="preserve"> G. Abel et al., </w:t>
      </w:r>
      <w:hyperlink r:id="rId19" w:history="1">
        <w:r w:rsidRPr="00BD57D3">
          <w:rPr>
            <w:rStyle w:val="Hyperlink"/>
            <w:rFonts w:ascii="Calibri" w:hAnsi="Calibri" w:cs="Calibri"/>
            <w:i/>
            <w:iCs/>
            <w:sz w:val="17"/>
            <w:szCs w:val="17"/>
          </w:rPr>
          <w:t>The Impact of the Prostitution Reform Act on the Health and Safety Practices of Sex Workers: Report to the Prostitution Law Review Committee</w:t>
        </w:r>
      </w:hyperlink>
      <w:r w:rsidRPr="00BD57D3">
        <w:rPr>
          <w:rFonts w:ascii="Calibri" w:hAnsi="Calibri" w:cs="Calibri"/>
          <w:sz w:val="17"/>
          <w:szCs w:val="17"/>
        </w:rPr>
        <w:t xml:space="preserve">, November 2007 and L. Armstrong, “‘I Can Lead the Life That I Want to Lead’: Social Harm, Human Needs and the </w:t>
      </w:r>
      <w:r w:rsidRPr="00BD57D3">
        <w:rPr>
          <w:rFonts w:ascii="Calibri" w:hAnsi="Calibri" w:cs="Calibri"/>
          <w:sz w:val="17"/>
          <w:szCs w:val="17"/>
        </w:rPr>
        <w:t xml:space="preserve">Decriminlisation of Sex Work in Aotearoa/New Zealand,” </w:t>
      </w:r>
      <w:r w:rsidRPr="00BD57D3">
        <w:rPr>
          <w:rFonts w:ascii="Calibri" w:hAnsi="Calibri" w:cs="Calibri"/>
          <w:i/>
          <w:iCs/>
          <w:sz w:val="17"/>
          <w:szCs w:val="17"/>
        </w:rPr>
        <w:t xml:space="preserve">Sexuality Research &amp; Social Policy </w:t>
      </w:r>
      <w:r w:rsidRPr="00BD57D3">
        <w:rPr>
          <w:rFonts w:ascii="Calibri" w:hAnsi="Calibri" w:cs="Calibri"/>
          <w:sz w:val="17"/>
          <w:szCs w:val="17"/>
        </w:rPr>
        <w:t xml:space="preserve">18 (2021): 941-951, </w:t>
      </w:r>
      <w:hyperlink r:id="rId20" w:history="1">
        <w:r w:rsidRPr="00BD57D3">
          <w:rPr>
            <w:rStyle w:val="Hyperlink"/>
            <w:rFonts w:ascii="Calibri" w:hAnsi="Calibri" w:cs="Calibri"/>
            <w:sz w:val="17"/>
            <w:szCs w:val="17"/>
          </w:rPr>
          <w:t>https://doi.org/10.1007/s13178-021-00605-7</w:t>
        </w:r>
      </w:hyperlink>
      <w:r w:rsidRPr="00BD57D3">
        <w:rPr>
          <w:rFonts w:ascii="Calibri" w:hAnsi="Calibri" w:cs="Calibri"/>
          <w:sz w:val="17"/>
          <w:szCs w:val="17"/>
        </w:rPr>
        <w:t xml:space="preserve">. </w:t>
      </w:r>
    </w:p>
  </w:endnote>
  <w:endnote w:id="26">
    <w:p w14:paraId="1CC9EA6D" w14:textId="77777777" w:rsidR="002134CE" w:rsidRPr="00BD57D3" w:rsidRDefault="002134CE" w:rsidP="00C54AA1">
      <w:pPr>
        <w:pStyle w:val="EndnoteText"/>
        <w:spacing w:afterLines="50" w:after="120"/>
        <w:contextualSpacing/>
        <w:rPr>
          <w:rFonts w:ascii="Calibri" w:hAnsi="Calibri" w:cs="Calibri"/>
          <w:sz w:val="17"/>
          <w:szCs w:val="17"/>
        </w:rPr>
      </w:pPr>
      <w:r w:rsidRPr="00BD57D3">
        <w:rPr>
          <w:rStyle w:val="EndnoteReference"/>
          <w:rFonts w:ascii="Calibri" w:hAnsi="Calibri" w:cs="Calibri"/>
          <w:sz w:val="17"/>
          <w:szCs w:val="17"/>
        </w:rPr>
        <w:endnoteRef/>
      </w:r>
      <w:r w:rsidRPr="00BD57D3">
        <w:rPr>
          <w:rFonts w:ascii="Calibri" w:hAnsi="Calibri" w:cs="Calibri"/>
          <w:sz w:val="17"/>
          <w:szCs w:val="17"/>
        </w:rPr>
        <w:t xml:space="preserve"> Human Rights Council, </w:t>
      </w:r>
      <w:r w:rsidRPr="00BD57D3">
        <w:rPr>
          <w:rFonts w:ascii="Calibri" w:hAnsi="Calibri" w:cs="Calibri"/>
          <w:i/>
          <w:sz w:val="17"/>
          <w:szCs w:val="17"/>
        </w:rPr>
        <w:t>Report of the Special Rapporteur on the right of everyone to the enjoyment of the highest attainable standard of physical and mental health, Anand Grover</w:t>
      </w:r>
      <w:r w:rsidRPr="00BD57D3">
        <w:rPr>
          <w:rFonts w:ascii="Calibri" w:hAnsi="Calibri" w:cs="Calibri"/>
          <w:sz w:val="17"/>
          <w:szCs w:val="17"/>
        </w:rPr>
        <w:t xml:space="preserve">, UN Doc. A/HRC/14/20, 2010; Human Rights Council, </w:t>
      </w:r>
      <w:r w:rsidRPr="00BD57D3">
        <w:rPr>
          <w:rFonts w:ascii="Calibri" w:hAnsi="Calibri" w:cs="Calibri"/>
          <w:i/>
          <w:sz w:val="17"/>
          <w:szCs w:val="17"/>
        </w:rPr>
        <w:t>Report of the Special Rapporteur on the right of everyone to the enjoyment of the highest attainable standard of physical and mental health, Anand Grover</w:t>
      </w:r>
      <w:r w:rsidRPr="00BD57D3">
        <w:rPr>
          <w:rFonts w:ascii="Calibri" w:hAnsi="Calibri" w:cs="Calibri"/>
          <w:sz w:val="17"/>
          <w:szCs w:val="17"/>
        </w:rPr>
        <w:t>, UN Doc. A/HRC/23/41, 2013.</w:t>
      </w:r>
    </w:p>
  </w:endnote>
  <w:endnote w:id="27">
    <w:p w14:paraId="09332839" w14:textId="77777777" w:rsidR="002134CE" w:rsidRPr="00BD57D3" w:rsidRDefault="002134CE" w:rsidP="00C54AA1">
      <w:pPr>
        <w:pStyle w:val="EndnoteText"/>
        <w:spacing w:afterLines="50" w:after="120"/>
        <w:contextualSpacing/>
        <w:rPr>
          <w:rFonts w:ascii="Calibri" w:hAnsi="Calibri" w:cs="Calibri"/>
          <w:sz w:val="17"/>
          <w:szCs w:val="17"/>
        </w:rPr>
      </w:pPr>
      <w:r w:rsidRPr="00BD57D3">
        <w:rPr>
          <w:rStyle w:val="EndnoteReference"/>
          <w:rFonts w:ascii="Calibri" w:hAnsi="Calibri" w:cs="Calibri"/>
          <w:sz w:val="17"/>
          <w:szCs w:val="17"/>
        </w:rPr>
        <w:endnoteRef/>
      </w:r>
      <w:r w:rsidRPr="00BD57D3">
        <w:rPr>
          <w:rFonts w:ascii="Calibri" w:hAnsi="Calibri" w:cs="Calibri"/>
          <w:sz w:val="17"/>
          <w:szCs w:val="17"/>
        </w:rPr>
        <w:t xml:space="preserve"> Human Rights Council, </w:t>
      </w:r>
      <w:r w:rsidRPr="00BD57D3">
        <w:rPr>
          <w:rFonts w:ascii="Calibri" w:hAnsi="Calibri" w:cs="Calibri"/>
          <w:i/>
          <w:sz w:val="17"/>
          <w:szCs w:val="17"/>
        </w:rPr>
        <w:t>Report of the Special Rapporteur on violence against women, its causes and consequences, Rashida Manjo</w:t>
      </w:r>
      <w:r w:rsidRPr="00BD57D3">
        <w:rPr>
          <w:rFonts w:ascii="Calibri" w:hAnsi="Calibri" w:cs="Calibri"/>
          <w:sz w:val="17"/>
          <w:szCs w:val="17"/>
        </w:rPr>
        <w:t>o, UN Doc. A/HRC/26/38/Add.1, 2014.</w:t>
      </w:r>
    </w:p>
  </w:endnote>
  <w:endnote w:id="28">
    <w:p w14:paraId="0A9AD745" w14:textId="77777777" w:rsidR="002134CE" w:rsidRPr="00BD57D3" w:rsidRDefault="002134CE" w:rsidP="00C54AA1">
      <w:pPr>
        <w:pStyle w:val="EndnoteText"/>
        <w:spacing w:afterLines="50" w:after="120"/>
        <w:contextualSpacing/>
        <w:rPr>
          <w:rFonts w:ascii="Calibri" w:hAnsi="Calibri" w:cs="Calibri"/>
          <w:b/>
          <w:sz w:val="17"/>
          <w:szCs w:val="17"/>
        </w:rPr>
      </w:pPr>
      <w:r w:rsidRPr="00BD57D3">
        <w:rPr>
          <w:rStyle w:val="EndnoteReference"/>
          <w:rFonts w:ascii="Calibri" w:hAnsi="Calibri" w:cs="Calibri"/>
          <w:sz w:val="17"/>
          <w:szCs w:val="17"/>
        </w:rPr>
        <w:endnoteRef/>
      </w:r>
      <w:r w:rsidRPr="00BD57D3">
        <w:rPr>
          <w:rFonts w:ascii="Calibri" w:hAnsi="Calibri" w:cs="Calibri"/>
          <w:sz w:val="17"/>
          <w:szCs w:val="17"/>
        </w:rPr>
        <w:t xml:space="preserve"> UN Women, </w:t>
      </w:r>
      <w:r w:rsidRPr="00BD57D3">
        <w:rPr>
          <w:rFonts w:ascii="Calibri" w:hAnsi="Calibri" w:cs="Calibri"/>
          <w:i/>
          <w:sz w:val="17"/>
          <w:szCs w:val="17"/>
        </w:rPr>
        <w:t>Note on Sex Work, Sexual Exploitation and Trafficking</w:t>
      </w:r>
      <w:r w:rsidRPr="00BD57D3">
        <w:rPr>
          <w:rFonts w:ascii="Calibri" w:hAnsi="Calibri" w:cs="Calibri"/>
          <w:sz w:val="17"/>
          <w:szCs w:val="17"/>
        </w:rPr>
        <w:t xml:space="preserve">, October 9, 2013. </w:t>
      </w:r>
    </w:p>
  </w:endnote>
  <w:endnote w:id="29">
    <w:p w14:paraId="08D31568" w14:textId="5C2EBFBB" w:rsidR="002134CE" w:rsidRPr="00BD57D3" w:rsidRDefault="002134CE" w:rsidP="00C54AA1">
      <w:pPr>
        <w:pStyle w:val="EndnoteText"/>
        <w:contextualSpacing/>
        <w:rPr>
          <w:rStyle w:val="Hyperlink"/>
          <w:rFonts w:ascii="Calibri" w:hAnsi="Calibri" w:cs="Calibri"/>
          <w:i/>
          <w:iCs/>
          <w:sz w:val="17"/>
          <w:szCs w:val="17"/>
        </w:rPr>
      </w:pPr>
      <w:r w:rsidRPr="00BD57D3">
        <w:rPr>
          <w:rStyle w:val="EndnoteReference"/>
          <w:rFonts w:ascii="Calibri" w:hAnsi="Calibri" w:cs="Calibri"/>
          <w:sz w:val="17"/>
          <w:szCs w:val="17"/>
        </w:rPr>
        <w:endnoteRef/>
      </w:r>
      <w:r w:rsidRPr="00BD57D3">
        <w:rPr>
          <w:rFonts w:ascii="Calibri" w:hAnsi="Calibri" w:cs="Calibri"/>
          <w:sz w:val="17"/>
          <w:szCs w:val="17"/>
        </w:rPr>
        <w:t xml:space="preserve"> UNAIDS, UNHCR, UNICEF, WFP, UNDP, UNFPA, UN Women, ILO, UNESCO, WHO, OHCHR, IOM, </w:t>
      </w:r>
      <w:r w:rsidR="002F0B9E" w:rsidRPr="00BD57D3">
        <w:rPr>
          <w:rFonts w:ascii="Calibri" w:hAnsi="Calibri" w:cs="Calibri"/>
          <w:i/>
          <w:iCs/>
          <w:sz w:val="17"/>
          <w:szCs w:val="17"/>
        </w:rPr>
        <w:fldChar w:fldCharType="begin"/>
      </w:r>
      <w:r w:rsidR="002F0B9E" w:rsidRPr="00BD57D3">
        <w:rPr>
          <w:rFonts w:ascii="Calibri" w:hAnsi="Calibri" w:cs="Calibri"/>
          <w:i/>
          <w:iCs/>
          <w:sz w:val="17"/>
          <w:szCs w:val="17"/>
        </w:rPr>
        <w:instrText>HYPERLINK "https://www.unaids.org/en/resources/documents/2017/ending-discrimination-in-health-care-settings"</w:instrText>
      </w:r>
      <w:r w:rsidR="002F0B9E" w:rsidRPr="00BD57D3">
        <w:rPr>
          <w:rFonts w:ascii="Calibri" w:hAnsi="Calibri" w:cs="Calibri"/>
          <w:i/>
          <w:iCs/>
          <w:sz w:val="17"/>
          <w:szCs w:val="17"/>
        </w:rPr>
      </w:r>
      <w:r w:rsidR="002F0B9E" w:rsidRPr="00BD57D3">
        <w:rPr>
          <w:rFonts w:ascii="Calibri" w:hAnsi="Calibri" w:cs="Calibri"/>
          <w:i/>
          <w:iCs/>
          <w:sz w:val="17"/>
          <w:szCs w:val="17"/>
        </w:rPr>
        <w:fldChar w:fldCharType="separate"/>
      </w:r>
      <w:r w:rsidRPr="00BD57D3">
        <w:rPr>
          <w:rStyle w:val="Hyperlink"/>
          <w:rFonts w:ascii="Calibri" w:hAnsi="Calibri" w:cs="Calibri"/>
          <w:i/>
          <w:iCs/>
          <w:sz w:val="17"/>
          <w:szCs w:val="17"/>
        </w:rPr>
        <w:t>Joint United</w:t>
      </w:r>
    </w:p>
    <w:p w14:paraId="3C33C6D8" w14:textId="09E0E8C4" w:rsidR="002134CE" w:rsidRPr="00BD57D3" w:rsidRDefault="002134CE" w:rsidP="00C54AA1">
      <w:pPr>
        <w:pStyle w:val="EndnoteText"/>
        <w:contextualSpacing/>
        <w:rPr>
          <w:rFonts w:ascii="Calibri" w:hAnsi="Calibri" w:cs="Calibri"/>
          <w:sz w:val="17"/>
          <w:szCs w:val="17"/>
        </w:rPr>
      </w:pPr>
      <w:r w:rsidRPr="00BD57D3">
        <w:rPr>
          <w:rStyle w:val="Hyperlink"/>
          <w:rFonts w:ascii="Calibri" w:hAnsi="Calibri" w:cs="Calibri"/>
          <w:i/>
          <w:iCs/>
          <w:sz w:val="17"/>
          <w:szCs w:val="17"/>
        </w:rPr>
        <w:t>Nations Statement on Ending Discrimination in Healthcare Settings</w:t>
      </w:r>
      <w:r w:rsidR="002F0B9E" w:rsidRPr="00BD57D3">
        <w:rPr>
          <w:rFonts w:ascii="Calibri" w:hAnsi="Calibri" w:cs="Calibri"/>
          <w:i/>
          <w:iCs/>
          <w:sz w:val="17"/>
          <w:szCs w:val="17"/>
        </w:rPr>
        <w:fldChar w:fldCharType="end"/>
      </w:r>
      <w:r w:rsidRPr="00BD57D3">
        <w:rPr>
          <w:rFonts w:ascii="Calibri" w:hAnsi="Calibri" w:cs="Calibri"/>
          <w:sz w:val="17"/>
          <w:szCs w:val="17"/>
        </w:rPr>
        <w:t xml:space="preserve">, </w:t>
      </w:r>
      <w:r w:rsidR="00814F3D" w:rsidRPr="00BD57D3">
        <w:rPr>
          <w:rFonts w:ascii="Calibri" w:hAnsi="Calibri" w:cs="Calibri"/>
          <w:sz w:val="17"/>
          <w:szCs w:val="17"/>
        </w:rPr>
        <w:t xml:space="preserve">June 27, 2017, </w:t>
      </w:r>
      <w:r w:rsidRPr="00BD57D3">
        <w:rPr>
          <w:rFonts w:ascii="Calibri" w:hAnsi="Calibri" w:cs="Calibri"/>
          <w:sz w:val="17"/>
          <w:szCs w:val="17"/>
        </w:rPr>
        <w:t>at p.</w:t>
      </w:r>
      <w:r w:rsidR="00814F3D" w:rsidRPr="00BD57D3">
        <w:rPr>
          <w:rFonts w:ascii="Calibri" w:hAnsi="Calibri" w:cs="Calibri"/>
          <w:sz w:val="17"/>
          <w:szCs w:val="17"/>
        </w:rPr>
        <w:t xml:space="preserve"> </w:t>
      </w:r>
      <w:r w:rsidRPr="00BD57D3">
        <w:rPr>
          <w:rFonts w:ascii="Calibri" w:hAnsi="Calibri" w:cs="Calibri"/>
          <w:sz w:val="17"/>
          <w:szCs w:val="17"/>
        </w:rPr>
        <w:t>3.</w:t>
      </w:r>
    </w:p>
  </w:endnote>
  <w:endnote w:id="30">
    <w:p w14:paraId="2960BE37" w14:textId="1C498900" w:rsidR="002134CE" w:rsidRPr="00BD57D3" w:rsidRDefault="002134CE" w:rsidP="00C54AA1">
      <w:pPr>
        <w:pStyle w:val="EndnoteText"/>
        <w:contextualSpacing/>
        <w:rPr>
          <w:rFonts w:ascii="Calibri" w:hAnsi="Calibri" w:cs="Calibri"/>
          <w:sz w:val="17"/>
          <w:szCs w:val="17"/>
        </w:rPr>
      </w:pPr>
      <w:r w:rsidRPr="00BD57D3">
        <w:rPr>
          <w:rStyle w:val="EndnoteReference"/>
          <w:rFonts w:ascii="Calibri" w:hAnsi="Calibri" w:cs="Calibri"/>
          <w:sz w:val="17"/>
          <w:szCs w:val="17"/>
        </w:rPr>
        <w:endnoteRef/>
      </w:r>
      <w:r w:rsidRPr="00BD57D3">
        <w:rPr>
          <w:rFonts w:ascii="Calibri" w:hAnsi="Calibri" w:cs="Calibri"/>
          <w:sz w:val="17"/>
          <w:szCs w:val="17"/>
        </w:rPr>
        <w:t xml:space="preserve"> </w:t>
      </w:r>
      <w:r w:rsidR="002F0B9E" w:rsidRPr="00BD57D3">
        <w:rPr>
          <w:rFonts w:ascii="Calibri" w:hAnsi="Calibri" w:cs="Calibri"/>
          <w:sz w:val="17"/>
          <w:szCs w:val="17"/>
        </w:rPr>
        <w:t>UN Working Group on discrimination against women and girls, supra</w:t>
      </w:r>
      <w:r w:rsidRPr="00BD57D3">
        <w:rPr>
          <w:rFonts w:ascii="Calibri" w:hAnsi="Calibri" w:cs="Calibri"/>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iragino Kaku Gothic Pro W3">
    <w:altName w:val="Malgun Gothic Semilight"/>
    <w:charset w:val="80"/>
    <w:family w:val="swiss"/>
    <w:pitch w:val="variable"/>
    <w:sig w:usb0="E00002FF" w:usb1="7AC7FFFF" w:usb2="00000012" w:usb3="00000000" w:csb0="0002000D" w:csb1="00000000"/>
  </w:font>
  <w:font w:name="Amnesty Trade Gothic Cn">
    <w:altName w:val="Times New Roman"/>
    <w:charset w:val="00"/>
    <w:family w:val="swiss"/>
    <w:pitch w:val="variable"/>
    <w:sig w:usb0="800000AF" w:usb1="5000204A" w:usb2="00000000" w:usb3="00000000" w:csb0="0000009B" w:csb1="00000000"/>
  </w:font>
  <w:font w:name="Times">
    <w:altName w:val="Times New Roman"/>
    <w:panose1 w:val="02020603050405020304"/>
    <w:charset w:val="00"/>
    <w:family w:val="roman"/>
    <w:pitch w:val="variable"/>
    <w:sig w:usb0="E0002EFF" w:usb1="C000785B" w:usb2="00000009" w:usb3="00000000" w:csb0="000001FF" w:csb1="00000000"/>
  </w:font>
  <w:font w:name="Futura Lt BT">
    <w:altName w:val="Arial"/>
    <w:charset w:val="00"/>
    <w:family w:val="swiss"/>
    <w:pitch w:val="variable"/>
    <w:sig w:usb0="800008E7" w:usb1="00000000" w:usb2="00000000" w:usb3="00000000" w:csb0="000001FB"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199028"/>
      <w:docPartObj>
        <w:docPartGallery w:val="Page Numbers (Bottom of Page)"/>
        <w:docPartUnique/>
      </w:docPartObj>
    </w:sdtPr>
    <w:sdtEndPr>
      <w:rPr>
        <w:noProof/>
      </w:rPr>
    </w:sdtEndPr>
    <w:sdtContent>
      <w:p w14:paraId="7364389B" w14:textId="6BB163EC" w:rsidR="00951EBB" w:rsidRDefault="00951E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C02E80" w14:textId="77777777" w:rsidR="00566DBE" w:rsidRPr="005E3B17" w:rsidRDefault="00566DBE" w:rsidP="00BE59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252653"/>
      <w:docPartObj>
        <w:docPartGallery w:val="Page Numbers (Bottom of Page)"/>
        <w:docPartUnique/>
      </w:docPartObj>
    </w:sdtPr>
    <w:sdtEndPr>
      <w:rPr>
        <w:noProof/>
      </w:rPr>
    </w:sdtEndPr>
    <w:sdtContent>
      <w:p w14:paraId="46F4D35E" w14:textId="5EF830A6" w:rsidR="00951EBB" w:rsidRDefault="00951E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9B582B" w14:textId="289A2464" w:rsidR="00566DBE" w:rsidRPr="00893E5F" w:rsidRDefault="00566DBE" w:rsidP="00020F8D">
    <w:pPr>
      <w:tabs>
        <w:tab w:val="left" w:pos="5669"/>
      </w:tabs>
      <w:rPr>
        <w:rFonts w:ascii="Futura Lt BT" w:hAnsi="Futura Lt BT"/>
        <w:color w:val="7F7F7F"/>
        <w:szCs w:val="2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61364" w14:textId="77777777" w:rsidR="00C00727" w:rsidRDefault="00C00727" w:rsidP="006A6401">
      <w:r>
        <w:separator/>
      </w:r>
    </w:p>
  </w:footnote>
  <w:footnote w:type="continuationSeparator" w:id="0">
    <w:p w14:paraId="26782015" w14:textId="77777777" w:rsidR="00C00727" w:rsidRDefault="00C00727" w:rsidP="006A6401">
      <w:r>
        <w:continuationSeparator/>
      </w:r>
    </w:p>
  </w:footnote>
  <w:footnote w:type="continuationNotice" w:id="1">
    <w:p w14:paraId="58BBFAF6" w14:textId="77777777" w:rsidR="004623D4" w:rsidRDefault="004623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6271" w14:textId="36D1C0BA" w:rsidR="00E82D9A" w:rsidRDefault="00E82D9A" w:rsidP="00670ED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E06F" w14:textId="27DB731E" w:rsidR="00566DBE" w:rsidRDefault="00B96158" w:rsidP="00B96158">
    <w:pPr>
      <w:pStyle w:val="Header"/>
      <w:jc w:val="center"/>
    </w:pPr>
    <w:r>
      <w:rPr>
        <w:noProof/>
      </w:rPr>
      <w:drawing>
        <wp:inline distT="0" distB="0" distL="0" distR="0" wp14:anchorId="28DC0DAE" wp14:editId="1F1039F4">
          <wp:extent cx="1812925" cy="752922"/>
          <wp:effectExtent l="0" t="0" r="0" b="9525"/>
          <wp:docPr id="536373675" name="Picture 1" descr="A red ribbo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373675" name="Picture 1" descr="A red ribbon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7782" cy="75493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BE02454"/>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BF67BB0"/>
    <w:multiLevelType w:val="hybridMultilevel"/>
    <w:tmpl w:val="AA7CD9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A5142A"/>
    <w:multiLevelType w:val="hybridMultilevel"/>
    <w:tmpl w:val="7FF0B6F0"/>
    <w:lvl w:ilvl="0" w:tplc="10090003">
      <w:start w:val="1"/>
      <w:numFmt w:val="bullet"/>
      <w:lvlText w:val="o"/>
      <w:lvlJc w:val="left"/>
      <w:pPr>
        <w:ind w:left="785" w:hanging="360"/>
      </w:pPr>
      <w:rPr>
        <w:rFonts w:ascii="Courier New" w:hAnsi="Courier New" w:cs="Courier New"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3CD5253"/>
    <w:multiLevelType w:val="hybridMultilevel"/>
    <w:tmpl w:val="1848C3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C366E13"/>
    <w:multiLevelType w:val="hybridMultilevel"/>
    <w:tmpl w:val="EDDA65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EA70BE"/>
    <w:multiLevelType w:val="hybridMultilevel"/>
    <w:tmpl w:val="0E6A6A4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340555FA"/>
    <w:multiLevelType w:val="multilevel"/>
    <w:tmpl w:val="3A50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D00149"/>
    <w:multiLevelType w:val="hybridMultilevel"/>
    <w:tmpl w:val="EBF825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801342D"/>
    <w:multiLevelType w:val="multilevel"/>
    <w:tmpl w:val="CF10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C465BD"/>
    <w:multiLevelType w:val="hybridMultilevel"/>
    <w:tmpl w:val="2102A5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785"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30A2366"/>
    <w:multiLevelType w:val="hybridMultilevel"/>
    <w:tmpl w:val="825C625E"/>
    <w:lvl w:ilvl="0" w:tplc="0409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40F4121"/>
    <w:multiLevelType w:val="hybridMultilevel"/>
    <w:tmpl w:val="BF3E3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0FF3D26"/>
    <w:multiLevelType w:val="hybridMultilevel"/>
    <w:tmpl w:val="7772C99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46D4B03"/>
    <w:multiLevelType w:val="hybridMultilevel"/>
    <w:tmpl w:val="001CA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7EC7492"/>
    <w:multiLevelType w:val="hybridMultilevel"/>
    <w:tmpl w:val="B65C79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26919480">
    <w:abstractNumId w:val="0"/>
  </w:num>
  <w:num w:numId="2" w16cid:durableId="2032948696">
    <w:abstractNumId w:val="2"/>
  </w:num>
  <w:num w:numId="3" w16cid:durableId="118185669">
    <w:abstractNumId w:val="10"/>
  </w:num>
  <w:num w:numId="4" w16cid:durableId="2070110207">
    <w:abstractNumId w:val="12"/>
  </w:num>
  <w:num w:numId="5" w16cid:durableId="247351476">
    <w:abstractNumId w:val="3"/>
  </w:num>
  <w:num w:numId="6" w16cid:durableId="1974403351">
    <w:abstractNumId w:val="9"/>
  </w:num>
  <w:num w:numId="7" w16cid:durableId="70127048">
    <w:abstractNumId w:val="14"/>
  </w:num>
  <w:num w:numId="8" w16cid:durableId="1817841010">
    <w:abstractNumId w:val="5"/>
  </w:num>
  <w:num w:numId="9" w16cid:durableId="2123526863">
    <w:abstractNumId w:val="8"/>
  </w:num>
  <w:num w:numId="10" w16cid:durableId="1035347860">
    <w:abstractNumId w:val="4"/>
  </w:num>
  <w:num w:numId="11" w16cid:durableId="168378201">
    <w:abstractNumId w:val="13"/>
  </w:num>
  <w:num w:numId="12" w16cid:durableId="104883387">
    <w:abstractNumId w:val="7"/>
  </w:num>
  <w:num w:numId="13" w16cid:durableId="71247305">
    <w:abstractNumId w:val="11"/>
  </w:num>
  <w:num w:numId="14" w16cid:durableId="543710331">
    <w:abstractNumId w:val="6"/>
  </w:num>
  <w:num w:numId="15" w16cid:durableId="995033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401"/>
    <w:rsid w:val="000047B3"/>
    <w:rsid w:val="0001172C"/>
    <w:rsid w:val="00011C0F"/>
    <w:rsid w:val="00014C7E"/>
    <w:rsid w:val="00017AF0"/>
    <w:rsid w:val="000267CC"/>
    <w:rsid w:val="0003565D"/>
    <w:rsid w:val="00040281"/>
    <w:rsid w:val="00040682"/>
    <w:rsid w:val="00042D84"/>
    <w:rsid w:val="00062978"/>
    <w:rsid w:val="00066BB5"/>
    <w:rsid w:val="000853FC"/>
    <w:rsid w:val="000A627D"/>
    <w:rsid w:val="000A7BB7"/>
    <w:rsid w:val="000B1103"/>
    <w:rsid w:val="000C1667"/>
    <w:rsid w:val="000C5FA9"/>
    <w:rsid w:val="000D58BC"/>
    <w:rsid w:val="000D5A83"/>
    <w:rsid w:val="000D7695"/>
    <w:rsid w:val="000E097A"/>
    <w:rsid w:val="000F26C8"/>
    <w:rsid w:val="000F3391"/>
    <w:rsid w:val="000F4592"/>
    <w:rsid w:val="00100A42"/>
    <w:rsid w:val="00105348"/>
    <w:rsid w:val="00106F83"/>
    <w:rsid w:val="00107A46"/>
    <w:rsid w:val="001119E5"/>
    <w:rsid w:val="00112ED1"/>
    <w:rsid w:val="00116750"/>
    <w:rsid w:val="00121BF0"/>
    <w:rsid w:val="001245ED"/>
    <w:rsid w:val="00130FAF"/>
    <w:rsid w:val="00132273"/>
    <w:rsid w:val="001335B3"/>
    <w:rsid w:val="0014286D"/>
    <w:rsid w:val="00142E0D"/>
    <w:rsid w:val="001474D7"/>
    <w:rsid w:val="001667DC"/>
    <w:rsid w:val="0017309E"/>
    <w:rsid w:val="00176B36"/>
    <w:rsid w:val="001849B0"/>
    <w:rsid w:val="00193E50"/>
    <w:rsid w:val="001943F4"/>
    <w:rsid w:val="001A016D"/>
    <w:rsid w:val="001A34EA"/>
    <w:rsid w:val="001A5E91"/>
    <w:rsid w:val="001A7928"/>
    <w:rsid w:val="001A792F"/>
    <w:rsid w:val="001B2514"/>
    <w:rsid w:val="001C57D5"/>
    <w:rsid w:val="001D4052"/>
    <w:rsid w:val="001D4C7C"/>
    <w:rsid w:val="001D690D"/>
    <w:rsid w:val="001E0472"/>
    <w:rsid w:val="001F088C"/>
    <w:rsid w:val="001F6835"/>
    <w:rsid w:val="001F6A38"/>
    <w:rsid w:val="00202BFD"/>
    <w:rsid w:val="002078D5"/>
    <w:rsid w:val="002134CE"/>
    <w:rsid w:val="00214959"/>
    <w:rsid w:val="00220C44"/>
    <w:rsid w:val="00223518"/>
    <w:rsid w:val="002245DA"/>
    <w:rsid w:val="00242782"/>
    <w:rsid w:val="00243449"/>
    <w:rsid w:val="00245A8A"/>
    <w:rsid w:val="00246A60"/>
    <w:rsid w:val="00252B2D"/>
    <w:rsid w:val="0026009B"/>
    <w:rsid w:val="00261BDF"/>
    <w:rsid w:val="00262425"/>
    <w:rsid w:val="00263264"/>
    <w:rsid w:val="00265A97"/>
    <w:rsid w:val="0027482B"/>
    <w:rsid w:val="002761E0"/>
    <w:rsid w:val="00277E96"/>
    <w:rsid w:val="00277ED8"/>
    <w:rsid w:val="002834B4"/>
    <w:rsid w:val="00285A89"/>
    <w:rsid w:val="00285D04"/>
    <w:rsid w:val="00287661"/>
    <w:rsid w:val="00293330"/>
    <w:rsid w:val="002A0029"/>
    <w:rsid w:val="002A1763"/>
    <w:rsid w:val="002C020F"/>
    <w:rsid w:val="002C296C"/>
    <w:rsid w:val="002D4845"/>
    <w:rsid w:val="002E0D2F"/>
    <w:rsid w:val="002E2EAB"/>
    <w:rsid w:val="002E4908"/>
    <w:rsid w:val="002E5B3D"/>
    <w:rsid w:val="002F017C"/>
    <w:rsid w:val="002F04A9"/>
    <w:rsid w:val="002F0B9E"/>
    <w:rsid w:val="002F2BE5"/>
    <w:rsid w:val="00300193"/>
    <w:rsid w:val="00315652"/>
    <w:rsid w:val="00323BB6"/>
    <w:rsid w:val="00331086"/>
    <w:rsid w:val="00347D6B"/>
    <w:rsid w:val="00352223"/>
    <w:rsid w:val="00355163"/>
    <w:rsid w:val="003666C0"/>
    <w:rsid w:val="003757F7"/>
    <w:rsid w:val="00375B6B"/>
    <w:rsid w:val="0038548F"/>
    <w:rsid w:val="003937E2"/>
    <w:rsid w:val="00394118"/>
    <w:rsid w:val="003A2C61"/>
    <w:rsid w:val="003A45EB"/>
    <w:rsid w:val="003A4B38"/>
    <w:rsid w:val="003A6F29"/>
    <w:rsid w:val="003B583A"/>
    <w:rsid w:val="003B5E18"/>
    <w:rsid w:val="003C0BD2"/>
    <w:rsid w:val="003C2D91"/>
    <w:rsid w:val="003C5DEF"/>
    <w:rsid w:val="003C5E6F"/>
    <w:rsid w:val="003D00DB"/>
    <w:rsid w:val="003D41F9"/>
    <w:rsid w:val="003D59E4"/>
    <w:rsid w:val="003D6576"/>
    <w:rsid w:val="003E06E6"/>
    <w:rsid w:val="003E5CCB"/>
    <w:rsid w:val="003E76C6"/>
    <w:rsid w:val="003E7B73"/>
    <w:rsid w:val="003F58FC"/>
    <w:rsid w:val="00405C33"/>
    <w:rsid w:val="0041208C"/>
    <w:rsid w:val="00417447"/>
    <w:rsid w:val="00432B0B"/>
    <w:rsid w:val="00434129"/>
    <w:rsid w:val="00435A93"/>
    <w:rsid w:val="00440846"/>
    <w:rsid w:val="00441B62"/>
    <w:rsid w:val="00445279"/>
    <w:rsid w:val="004506A8"/>
    <w:rsid w:val="0045336D"/>
    <w:rsid w:val="00454F9D"/>
    <w:rsid w:val="0045697E"/>
    <w:rsid w:val="00457CFD"/>
    <w:rsid w:val="0046125B"/>
    <w:rsid w:val="004623D4"/>
    <w:rsid w:val="004703AB"/>
    <w:rsid w:val="004706DB"/>
    <w:rsid w:val="00473DE5"/>
    <w:rsid w:val="0047478D"/>
    <w:rsid w:val="00475AAD"/>
    <w:rsid w:val="004937BC"/>
    <w:rsid w:val="004976FF"/>
    <w:rsid w:val="004A09A7"/>
    <w:rsid w:val="004A1AF8"/>
    <w:rsid w:val="004A2DE1"/>
    <w:rsid w:val="004A2DF8"/>
    <w:rsid w:val="004A6934"/>
    <w:rsid w:val="004B73EF"/>
    <w:rsid w:val="004B78FA"/>
    <w:rsid w:val="004C1358"/>
    <w:rsid w:val="004C3805"/>
    <w:rsid w:val="004C3A39"/>
    <w:rsid w:val="004C5899"/>
    <w:rsid w:val="004D752C"/>
    <w:rsid w:val="004F6875"/>
    <w:rsid w:val="004F7EEA"/>
    <w:rsid w:val="005016E7"/>
    <w:rsid w:val="0050245C"/>
    <w:rsid w:val="0050251A"/>
    <w:rsid w:val="00502917"/>
    <w:rsid w:val="00503A38"/>
    <w:rsid w:val="0051006F"/>
    <w:rsid w:val="005114AD"/>
    <w:rsid w:val="0051678C"/>
    <w:rsid w:val="005245A7"/>
    <w:rsid w:val="00525074"/>
    <w:rsid w:val="00530217"/>
    <w:rsid w:val="00532DC2"/>
    <w:rsid w:val="00532F1A"/>
    <w:rsid w:val="00533A06"/>
    <w:rsid w:val="00535090"/>
    <w:rsid w:val="00535605"/>
    <w:rsid w:val="005404EA"/>
    <w:rsid w:val="00541DE7"/>
    <w:rsid w:val="0054304F"/>
    <w:rsid w:val="00547604"/>
    <w:rsid w:val="005477B9"/>
    <w:rsid w:val="005504C8"/>
    <w:rsid w:val="005517E2"/>
    <w:rsid w:val="005642AB"/>
    <w:rsid w:val="00566DBE"/>
    <w:rsid w:val="005718B2"/>
    <w:rsid w:val="00574604"/>
    <w:rsid w:val="00580BE2"/>
    <w:rsid w:val="00584489"/>
    <w:rsid w:val="005870B4"/>
    <w:rsid w:val="00590967"/>
    <w:rsid w:val="005949B0"/>
    <w:rsid w:val="00595E37"/>
    <w:rsid w:val="005A0BC9"/>
    <w:rsid w:val="005A32C0"/>
    <w:rsid w:val="005B0B27"/>
    <w:rsid w:val="005B53F9"/>
    <w:rsid w:val="005C007C"/>
    <w:rsid w:val="005C443A"/>
    <w:rsid w:val="005C798A"/>
    <w:rsid w:val="005D0496"/>
    <w:rsid w:val="005D5364"/>
    <w:rsid w:val="005D6DEA"/>
    <w:rsid w:val="005E4C79"/>
    <w:rsid w:val="005F2037"/>
    <w:rsid w:val="005F41BD"/>
    <w:rsid w:val="00605D4A"/>
    <w:rsid w:val="00610CFE"/>
    <w:rsid w:val="00610EE4"/>
    <w:rsid w:val="00612621"/>
    <w:rsid w:val="0061395F"/>
    <w:rsid w:val="006243DA"/>
    <w:rsid w:val="00625B7A"/>
    <w:rsid w:val="00630117"/>
    <w:rsid w:val="006366FB"/>
    <w:rsid w:val="0064701F"/>
    <w:rsid w:val="006535DE"/>
    <w:rsid w:val="00664D6C"/>
    <w:rsid w:val="00670ED9"/>
    <w:rsid w:val="00676E47"/>
    <w:rsid w:val="0068381B"/>
    <w:rsid w:val="00691448"/>
    <w:rsid w:val="006A2838"/>
    <w:rsid w:val="006A6401"/>
    <w:rsid w:val="006B3631"/>
    <w:rsid w:val="006B3CBD"/>
    <w:rsid w:val="006C1502"/>
    <w:rsid w:val="006C1F41"/>
    <w:rsid w:val="006C3CC0"/>
    <w:rsid w:val="006E783C"/>
    <w:rsid w:val="006E7C96"/>
    <w:rsid w:val="006F088C"/>
    <w:rsid w:val="006F186E"/>
    <w:rsid w:val="00717160"/>
    <w:rsid w:val="00722111"/>
    <w:rsid w:val="0072294C"/>
    <w:rsid w:val="0072437E"/>
    <w:rsid w:val="00740F50"/>
    <w:rsid w:val="00744C12"/>
    <w:rsid w:val="00756A09"/>
    <w:rsid w:val="00760446"/>
    <w:rsid w:val="00776092"/>
    <w:rsid w:val="007819A0"/>
    <w:rsid w:val="00786E28"/>
    <w:rsid w:val="007924CD"/>
    <w:rsid w:val="007A6B93"/>
    <w:rsid w:val="007B11E4"/>
    <w:rsid w:val="007B2583"/>
    <w:rsid w:val="007B4904"/>
    <w:rsid w:val="007B5A3B"/>
    <w:rsid w:val="007C0DF5"/>
    <w:rsid w:val="007C5831"/>
    <w:rsid w:val="007C6640"/>
    <w:rsid w:val="007C7FC7"/>
    <w:rsid w:val="007D1850"/>
    <w:rsid w:val="007D46D9"/>
    <w:rsid w:val="007D4E6F"/>
    <w:rsid w:val="007E0FE5"/>
    <w:rsid w:val="007E23D2"/>
    <w:rsid w:val="007E6927"/>
    <w:rsid w:val="007F0445"/>
    <w:rsid w:val="007F13A0"/>
    <w:rsid w:val="007F4221"/>
    <w:rsid w:val="007F48CF"/>
    <w:rsid w:val="00805222"/>
    <w:rsid w:val="008104ED"/>
    <w:rsid w:val="00813892"/>
    <w:rsid w:val="00814F3D"/>
    <w:rsid w:val="00815774"/>
    <w:rsid w:val="0081663A"/>
    <w:rsid w:val="0082063C"/>
    <w:rsid w:val="00824978"/>
    <w:rsid w:val="00824B07"/>
    <w:rsid w:val="008252F7"/>
    <w:rsid w:val="008264A8"/>
    <w:rsid w:val="0082702E"/>
    <w:rsid w:val="00830665"/>
    <w:rsid w:val="008328E0"/>
    <w:rsid w:val="00845601"/>
    <w:rsid w:val="00855F34"/>
    <w:rsid w:val="008600E3"/>
    <w:rsid w:val="00860426"/>
    <w:rsid w:val="00860663"/>
    <w:rsid w:val="00865B14"/>
    <w:rsid w:val="0087643A"/>
    <w:rsid w:val="00877899"/>
    <w:rsid w:val="0087790D"/>
    <w:rsid w:val="00892D0C"/>
    <w:rsid w:val="00894B9D"/>
    <w:rsid w:val="008C297B"/>
    <w:rsid w:val="008C4A86"/>
    <w:rsid w:val="008D07DD"/>
    <w:rsid w:val="008D42DA"/>
    <w:rsid w:val="008E7232"/>
    <w:rsid w:val="008F2AA9"/>
    <w:rsid w:val="008F3998"/>
    <w:rsid w:val="008F5F6C"/>
    <w:rsid w:val="008F7F3C"/>
    <w:rsid w:val="009004D1"/>
    <w:rsid w:val="009133E5"/>
    <w:rsid w:val="00917635"/>
    <w:rsid w:val="0092133F"/>
    <w:rsid w:val="009304D5"/>
    <w:rsid w:val="00932FF7"/>
    <w:rsid w:val="00933F10"/>
    <w:rsid w:val="00947443"/>
    <w:rsid w:val="00950875"/>
    <w:rsid w:val="00950D44"/>
    <w:rsid w:val="00951EBB"/>
    <w:rsid w:val="00952EFD"/>
    <w:rsid w:val="009627AE"/>
    <w:rsid w:val="00965EA6"/>
    <w:rsid w:val="00970A86"/>
    <w:rsid w:val="00970F68"/>
    <w:rsid w:val="00972AA5"/>
    <w:rsid w:val="00973253"/>
    <w:rsid w:val="009745EE"/>
    <w:rsid w:val="00975807"/>
    <w:rsid w:val="00980D0A"/>
    <w:rsid w:val="00983076"/>
    <w:rsid w:val="009978BF"/>
    <w:rsid w:val="009A52FE"/>
    <w:rsid w:val="009A7902"/>
    <w:rsid w:val="009B6954"/>
    <w:rsid w:val="009C0B40"/>
    <w:rsid w:val="009C1E48"/>
    <w:rsid w:val="009C7DB9"/>
    <w:rsid w:val="009D1793"/>
    <w:rsid w:val="009D6715"/>
    <w:rsid w:val="009D6831"/>
    <w:rsid w:val="009E5DCC"/>
    <w:rsid w:val="009E659A"/>
    <w:rsid w:val="009E717E"/>
    <w:rsid w:val="009E7991"/>
    <w:rsid w:val="009E7B2A"/>
    <w:rsid w:val="009F15CB"/>
    <w:rsid w:val="009F18AF"/>
    <w:rsid w:val="00A06449"/>
    <w:rsid w:val="00A20C78"/>
    <w:rsid w:val="00A222B2"/>
    <w:rsid w:val="00A24D4F"/>
    <w:rsid w:val="00A312F2"/>
    <w:rsid w:val="00A3476E"/>
    <w:rsid w:val="00A36FF6"/>
    <w:rsid w:val="00A43761"/>
    <w:rsid w:val="00A50206"/>
    <w:rsid w:val="00A51260"/>
    <w:rsid w:val="00A516C5"/>
    <w:rsid w:val="00A6152D"/>
    <w:rsid w:val="00A619DA"/>
    <w:rsid w:val="00A72EB2"/>
    <w:rsid w:val="00A730DC"/>
    <w:rsid w:val="00A82B16"/>
    <w:rsid w:val="00A85D81"/>
    <w:rsid w:val="00A86BB0"/>
    <w:rsid w:val="00A87476"/>
    <w:rsid w:val="00A94008"/>
    <w:rsid w:val="00AB6A7D"/>
    <w:rsid w:val="00AC65B6"/>
    <w:rsid w:val="00AD1FC9"/>
    <w:rsid w:val="00AD2C3C"/>
    <w:rsid w:val="00AE5E7F"/>
    <w:rsid w:val="00AF053A"/>
    <w:rsid w:val="00AF10FB"/>
    <w:rsid w:val="00AF5B46"/>
    <w:rsid w:val="00AF70E8"/>
    <w:rsid w:val="00B2290F"/>
    <w:rsid w:val="00B22989"/>
    <w:rsid w:val="00B335E5"/>
    <w:rsid w:val="00B34BC3"/>
    <w:rsid w:val="00B35698"/>
    <w:rsid w:val="00B37BBB"/>
    <w:rsid w:val="00B43799"/>
    <w:rsid w:val="00B462BC"/>
    <w:rsid w:val="00B54AB6"/>
    <w:rsid w:val="00B558C2"/>
    <w:rsid w:val="00B6052E"/>
    <w:rsid w:val="00B62971"/>
    <w:rsid w:val="00B7071D"/>
    <w:rsid w:val="00B72082"/>
    <w:rsid w:val="00B72EF3"/>
    <w:rsid w:val="00B7763A"/>
    <w:rsid w:val="00B850D8"/>
    <w:rsid w:val="00B91458"/>
    <w:rsid w:val="00B96158"/>
    <w:rsid w:val="00B97AE9"/>
    <w:rsid w:val="00BA0885"/>
    <w:rsid w:val="00BA5794"/>
    <w:rsid w:val="00BA5A6D"/>
    <w:rsid w:val="00BA6C93"/>
    <w:rsid w:val="00BB049B"/>
    <w:rsid w:val="00BB38AD"/>
    <w:rsid w:val="00BB4DD2"/>
    <w:rsid w:val="00BC0489"/>
    <w:rsid w:val="00BC15AF"/>
    <w:rsid w:val="00BC42FE"/>
    <w:rsid w:val="00BC5CAC"/>
    <w:rsid w:val="00BD0780"/>
    <w:rsid w:val="00BD32AC"/>
    <w:rsid w:val="00BD57D3"/>
    <w:rsid w:val="00BD62E7"/>
    <w:rsid w:val="00BE1637"/>
    <w:rsid w:val="00BE49B5"/>
    <w:rsid w:val="00BF2922"/>
    <w:rsid w:val="00BF62C6"/>
    <w:rsid w:val="00C00727"/>
    <w:rsid w:val="00C01354"/>
    <w:rsid w:val="00C13499"/>
    <w:rsid w:val="00C26B42"/>
    <w:rsid w:val="00C27CF0"/>
    <w:rsid w:val="00C303A2"/>
    <w:rsid w:val="00C4025A"/>
    <w:rsid w:val="00C458F6"/>
    <w:rsid w:val="00C506CA"/>
    <w:rsid w:val="00C510DD"/>
    <w:rsid w:val="00C54871"/>
    <w:rsid w:val="00C54AA1"/>
    <w:rsid w:val="00C62B4D"/>
    <w:rsid w:val="00C654E6"/>
    <w:rsid w:val="00C6738E"/>
    <w:rsid w:val="00C72079"/>
    <w:rsid w:val="00C723AA"/>
    <w:rsid w:val="00C736D1"/>
    <w:rsid w:val="00C76E2C"/>
    <w:rsid w:val="00C802C1"/>
    <w:rsid w:val="00C80641"/>
    <w:rsid w:val="00C84DFD"/>
    <w:rsid w:val="00C92301"/>
    <w:rsid w:val="00C94A7C"/>
    <w:rsid w:val="00C95223"/>
    <w:rsid w:val="00C9701D"/>
    <w:rsid w:val="00CA683A"/>
    <w:rsid w:val="00CC0283"/>
    <w:rsid w:val="00CC3E67"/>
    <w:rsid w:val="00CC412A"/>
    <w:rsid w:val="00CD1EF5"/>
    <w:rsid w:val="00CD4587"/>
    <w:rsid w:val="00CE0F09"/>
    <w:rsid w:val="00CE6707"/>
    <w:rsid w:val="00CF2880"/>
    <w:rsid w:val="00CF7A14"/>
    <w:rsid w:val="00D01EDA"/>
    <w:rsid w:val="00D03728"/>
    <w:rsid w:val="00D05C0D"/>
    <w:rsid w:val="00D10FA2"/>
    <w:rsid w:val="00D11A8B"/>
    <w:rsid w:val="00D1700B"/>
    <w:rsid w:val="00D17016"/>
    <w:rsid w:val="00D17072"/>
    <w:rsid w:val="00D26668"/>
    <w:rsid w:val="00D31FF2"/>
    <w:rsid w:val="00D328D7"/>
    <w:rsid w:val="00D3620C"/>
    <w:rsid w:val="00D37D63"/>
    <w:rsid w:val="00D37F94"/>
    <w:rsid w:val="00D40023"/>
    <w:rsid w:val="00D460FA"/>
    <w:rsid w:val="00D53633"/>
    <w:rsid w:val="00D55A69"/>
    <w:rsid w:val="00D603FB"/>
    <w:rsid w:val="00D62219"/>
    <w:rsid w:val="00D62A63"/>
    <w:rsid w:val="00D670EE"/>
    <w:rsid w:val="00D81F81"/>
    <w:rsid w:val="00D84A90"/>
    <w:rsid w:val="00D90415"/>
    <w:rsid w:val="00D90AF7"/>
    <w:rsid w:val="00D964AE"/>
    <w:rsid w:val="00DB226F"/>
    <w:rsid w:val="00DB24FC"/>
    <w:rsid w:val="00DC381B"/>
    <w:rsid w:val="00DC6B0D"/>
    <w:rsid w:val="00DC7210"/>
    <w:rsid w:val="00DD09A7"/>
    <w:rsid w:val="00DD42D1"/>
    <w:rsid w:val="00DD6700"/>
    <w:rsid w:val="00DD748F"/>
    <w:rsid w:val="00DE16F7"/>
    <w:rsid w:val="00DE2E54"/>
    <w:rsid w:val="00DE622E"/>
    <w:rsid w:val="00DF02A5"/>
    <w:rsid w:val="00DF131B"/>
    <w:rsid w:val="00DF4DFA"/>
    <w:rsid w:val="00DF7FF1"/>
    <w:rsid w:val="00E02752"/>
    <w:rsid w:val="00E15C17"/>
    <w:rsid w:val="00E16414"/>
    <w:rsid w:val="00E16B80"/>
    <w:rsid w:val="00E22AB7"/>
    <w:rsid w:val="00E23F50"/>
    <w:rsid w:val="00E33E8F"/>
    <w:rsid w:val="00E47521"/>
    <w:rsid w:val="00E501C5"/>
    <w:rsid w:val="00E56AF6"/>
    <w:rsid w:val="00E56E3B"/>
    <w:rsid w:val="00E605E3"/>
    <w:rsid w:val="00E610A8"/>
    <w:rsid w:val="00E74257"/>
    <w:rsid w:val="00E80CFB"/>
    <w:rsid w:val="00E82D9A"/>
    <w:rsid w:val="00E85D5A"/>
    <w:rsid w:val="00EA6AB1"/>
    <w:rsid w:val="00EB697F"/>
    <w:rsid w:val="00EC0118"/>
    <w:rsid w:val="00EC172E"/>
    <w:rsid w:val="00EC54A0"/>
    <w:rsid w:val="00ED52DA"/>
    <w:rsid w:val="00EE1D71"/>
    <w:rsid w:val="00EE262A"/>
    <w:rsid w:val="00EE6DF8"/>
    <w:rsid w:val="00EE7FED"/>
    <w:rsid w:val="00F103FC"/>
    <w:rsid w:val="00F23045"/>
    <w:rsid w:val="00F247B2"/>
    <w:rsid w:val="00F305DF"/>
    <w:rsid w:val="00F32032"/>
    <w:rsid w:val="00F3394F"/>
    <w:rsid w:val="00F34950"/>
    <w:rsid w:val="00F36CB0"/>
    <w:rsid w:val="00F47698"/>
    <w:rsid w:val="00F47949"/>
    <w:rsid w:val="00F55B0F"/>
    <w:rsid w:val="00F55D3D"/>
    <w:rsid w:val="00F56FC2"/>
    <w:rsid w:val="00F578D7"/>
    <w:rsid w:val="00F61A60"/>
    <w:rsid w:val="00F61DD6"/>
    <w:rsid w:val="00F62FC7"/>
    <w:rsid w:val="00F65573"/>
    <w:rsid w:val="00F72BD9"/>
    <w:rsid w:val="00F771A4"/>
    <w:rsid w:val="00F820BE"/>
    <w:rsid w:val="00F82B65"/>
    <w:rsid w:val="00F83162"/>
    <w:rsid w:val="00F84CC7"/>
    <w:rsid w:val="00F865C9"/>
    <w:rsid w:val="00F9346F"/>
    <w:rsid w:val="00F96A48"/>
    <w:rsid w:val="00FA48B1"/>
    <w:rsid w:val="00FA50DB"/>
    <w:rsid w:val="00FB0001"/>
    <w:rsid w:val="00FB3309"/>
    <w:rsid w:val="00FB487B"/>
    <w:rsid w:val="00FB7F50"/>
    <w:rsid w:val="00FC2AC0"/>
    <w:rsid w:val="00FC7E38"/>
    <w:rsid w:val="00FD4E95"/>
    <w:rsid w:val="00FE0782"/>
    <w:rsid w:val="00FE3EE9"/>
    <w:rsid w:val="00FE4B5E"/>
    <w:rsid w:val="00FE5A46"/>
    <w:rsid w:val="00FE7252"/>
    <w:rsid w:val="00FF137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E6D5DB"/>
  <w15:chartTrackingRefBased/>
  <w15:docId w15:val="{43731590-D7FE-4057-BBC2-56466DDB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3FC"/>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6A6401"/>
    <w:pPr>
      <w:keepNext/>
      <w:numPr>
        <w:numId w:val="1"/>
      </w:numPr>
      <w:suppressAutoHyphens/>
      <w:outlineLvl w:val="0"/>
    </w:pPr>
    <w:rPr>
      <w:rFonts w:eastAsia="Hiragino Kaku Gothic Pro W3" w:cs="Arial"/>
      <w:b/>
      <w:caps/>
      <w:color w:val="000000"/>
      <w:kern w:val="1"/>
      <w:sz w:val="36"/>
      <w:szCs w:val="36"/>
      <w:lang w:val="en-US" w:eastAsia="ar-SA"/>
    </w:rPr>
  </w:style>
  <w:style w:type="paragraph" w:styleId="Heading2">
    <w:name w:val="heading 2"/>
    <w:basedOn w:val="Normal"/>
    <w:next w:val="Normal"/>
    <w:link w:val="Heading2Char"/>
    <w:qFormat/>
    <w:rsid w:val="006A6401"/>
    <w:pPr>
      <w:keepNext/>
      <w:numPr>
        <w:ilvl w:val="1"/>
        <w:numId w:val="1"/>
      </w:numPr>
      <w:suppressAutoHyphens/>
      <w:outlineLvl w:val="1"/>
    </w:pPr>
    <w:rPr>
      <w:rFonts w:eastAsia="Hiragino Kaku Gothic Pro W3" w:cs="Arial"/>
      <w:caps/>
      <w:color w:val="000000"/>
      <w:sz w:val="26"/>
      <w:szCs w:val="28"/>
      <w:lang w:val="en-US" w:eastAsia="ar-SA"/>
    </w:rPr>
  </w:style>
  <w:style w:type="paragraph" w:styleId="Heading3">
    <w:name w:val="heading 3"/>
    <w:basedOn w:val="Normal"/>
    <w:next w:val="Normal"/>
    <w:link w:val="Heading3Char"/>
    <w:qFormat/>
    <w:rsid w:val="006A6401"/>
    <w:pPr>
      <w:keepNext/>
      <w:numPr>
        <w:ilvl w:val="2"/>
        <w:numId w:val="1"/>
      </w:numPr>
      <w:suppressAutoHyphens/>
      <w:outlineLvl w:val="2"/>
    </w:pPr>
    <w:rPr>
      <w:rFonts w:ascii="Amnesty Trade Gothic Cn" w:eastAsia="Hiragino Kaku Gothic Pro W3" w:hAnsi="Amnesty Trade Gothic Cn" w:cs="Arial"/>
      <w:caps/>
      <w:color w:val="000000"/>
      <w:sz w:val="20"/>
      <w:szCs w:val="26"/>
      <w:lang w:val="en-US" w:eastAsia="ar-SA"/>
    </w:rPr>
  </w:style>
  <w:style w:type="paragraph" w:styleId="Heading4">
    <w:name w:val="heading 4"/>
    <w:basedOn w:val="Normal"/>
    <w:next w:val="Normal"/>
    <w:link w:val="Heading4Char"/>
    <w:qFormat/>
    <w:rsid w:val="006A6401"/>
    <w:pPr>
      <w:widowControl w:val="0"/>
      <w:numPr>
        <w:ilvl w:val="3"/>
        <w:numId w:val="1"/>
      </w:numPr>
      <w:suppressAutoHyphens/>
      <w:outlineLvl w:val="3"/>
    </w:pPr>
    <w:rPr>
      <w:rFonts w:eastAsia="Hiragino Kaku Gothic Pro W3" w:cs="Arial"/>
      <w:color w:val="000000"/>
      <w:lang w:val="en-US" w:eastAsia="ar-SA"/>
    </w:rPr>
  </w:style>
  <w:style w:type="paragraph" w:styleId="Heading5">
    <w:name w:val="heading 5"/>
    <w:basedOn w:val="Heading4"/>
    <w:next w:val="Normal"/>
    <w:link w:val="Heading5Char"/>
    <w:qFormat/>
    <w:rsid w:val="006A6401"/>
    <w:pPr>
      <w:numPr>
        <w:ilvl w:val="4"/>
      </w:numPr>
      <w:outlineLvl w:val="4"/>
    </w:pPr>
  </w:style>
  <w:style w:type="paragraph" w:styleId="Heading6">
    <w:name w:val="heading 6"/>
    <w:basedOn w:val="Heading5"/>
    <w:next w:val="Normal"/>
    <w:link w:val="Heading6Char"/>
    <w:qFormat/>
    <w:rsid w:val="006A6401"/>
    <w:pPr>
      <w:numPr>
        <w:ilvl w:val="5"/>
      </w:numPr>
      <w:outlineLvl w:val="5"/>
    </w:pPr>
  </w:style>
  <w:style w:type="paragraph" w:styleId="Heading7">
    <w:name w:val="heading 7"/>
    <w:basedOn w:val="Heading6"/>
    <w:next w:val="Normal"/>
    <w:link w:val="Heading7Char"/>
    <w:qFormat/>
    <w:rsid w:val="006A6401"/>
    <w:pPr>
      <w:numPr>
        <w:ilvl w:val="6"/>
      </w:numPr>
      <w:outlineLvl w:val="6"/>
    </w:pPr>
  </w:style>
  <w:style w:type="paragraph" w:styleId="Heading8">
    <w:name w:val="heading 8"/>
    <w:basedOn w:val="Heading7"/>
    <w:next w:val="Normal"/>
    <w:link w:val="Heading8Char"/>
    <w:qFormat/>
    <w:rsid w:val="006A6401"/>
    <w:pPr>
      <w:numPr>
        <w:ilvl w:val="7"/>
      </w:numPr>
      <w:outlineLvl w:val="7"/>
    </w:pPr>
  </w:style>
  <w:style w:type="paragraph" w:styleId="Heading9">
    <w:name w:val="heading 9"/>
    <w:basedOn w:val="Heading8"/>
    <w:next w:val="Normal"/>
    <w:link w:val="Heading9Char"/>
    <w:qFormat/>
    <w:rsid w:val="006A640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6401"/>
    <w:rPr>
      <w:rFonts w:ascii="Arial" w:eastAsia="Hiragino Kaku Gothic Pro W3" w:hAnsi="Arial" w:cs="Arial"/>
      <w:b/>
      <w:caps/>
      <w:color w:val="000000"/>
      <w:kern w:val="1"/>
      <w:sz w:val="36"/>
      <w:szCs w:val="36"/>
      <w:lang w:val="en-US" w:eastAsia="ar-SA"/>
    </w:rPr>
  </w:style>
  <w:style w:type="character" w:customStyle="1" w:styleId="Heading2Char">
    <w:name w:val="Heading 2 Char"/>
    <w:basedOn w:val="DefaultParagraphFont"/>
    <w:link w:val="Heading2"/>
    <w:rsid w:val="006A6401"/>
    <w:rPr>
      <w:rFonts w:ascii="Arial" w:eastAsia="Hiragino Kaku Gothic Pro W3" w:hAnsi="Arial" w:cs="Arial"/>
      <w:caps/>
      <w:color w:val="000000"/>
      <w:sz w:val="26"/>
      <w:szCs w:val="28"/>
      <w:lang w:val="en-US" w:eastAsia="ar-SA"/>
    </w:rPr>
  </w:style>
  <w:style w:type="character" w:customStyle="1" w:styleId="Heading3Char">
    <w:name w:val="Heading 3 Char"/>
    <w:basedOn w:val="DefaultParagraphFont"/>
    <w:link w:val="Heading3"/>
    <w:rsid w:val="006A6401"/>
    <w:rPr>
      <w:rFonts w:ascii="Amnesty Trade Gothic Cn" w:eastAsia="Hiragino Kaku Gothic Pro W3" w:hAnsi="Amnesty Trade Gothic Cn" w:cs="Arial"/>
      <w:caps/>
      <w:color w:val="000000"/>
      <w:sz w:val="20"/>
      <w:szCs w:val="26"/>
      <w:lang w:val="en-US" w:eastAsia="ar-SA"/>
    </w:rPr>
  </w:style>
  <w:style w:type="character" w:customStyle="1" w:styleId="Heading4Char">
    <w:name w:val="Heading 4 Char"/>
    <w:basedOn w:val="DefaultParagraphFont"/>
    <w:link w:val="Heading4"/>
    <w:rsid w:val="006A6401"/>
    <w:rPr>
      <w:rFonts w:ascii="Arial" w:eastAsia="Hiragino Kaku Gothic Pro W3" w:hAnsi="Arial" w:cs="Arial"/>
      <w:color w:val="000000"/>
      <w:szCs w:val="24"/>
      <w:lang w:val="en-US" w:eastAsia="ar-SA"/>
    </w:rPr>
  </w:style>
  <w:style w:type="character" w:customStyle="1" w:styleId="Heading5Char">
    <w:name w:val="Heading 5 Char"/>
    <w:basedOn w:val="DefaultParagraphFont"/>
    <w:link w:val="Heading5"/>
    <w:rsid w:val="006A6401"/>
    <w:rPr>
      <w:rFonts w:ascii="Arial" w:eastAsia="Hiragino Kaku Gothic Pro W3" w:hAnsi="Arial" w:cs="Arial"/>
      <w:color w:val="000000"/>
      <w:szCs w:val="24"/>
      <w:lang w:val="en-US" w:eastAsia="ar-SA"/>
    </w:rPr>
  </w:style>
  <w:style w:type="character" w:customStyle="1" w:styleId="Heading6Char">
    <w:name w:val="Heading 6 Char"/>
    <w:basedOn w:val="DefaultParagraphFont"/>
    <w:link w:val="Heading6"/>
    <w:rsid w:val="006A6401"/>
    <w:rPr>
      <w:rFonts w:ascii="Arial" w:eastAsia="Hiragino Kaku Gothic Pro W3" w:hAnsi="Arial" w:cs="Arial"/>
      <w:color w:val="000000"/>
      <w:szCs w:val="24"/>
      <w:lang w:val="en-US" w:eastAsia="ar-SA"/>
    </w:rPr>
  </w:style>
  <w:style w:type="character" w:customStyle="1" w:styleId="Heading7Char">
    <w:name w:val="Heading 7 Char"/>
    <w:basedOn w:val="DefaultParagraphFont"/>
    <w:link w:val="Heading7"/>
    <w:rsid w:val="006A6401"/>
    <w:rPr>
      <w:rFonts w:ascii="Arial" w:eastAsia="Hiragino Kaku Gothic Pro W3" w:hAnsi="Arial" w:cs="Arial"/>
      <w:color w:val="000000"/>
      <w:szCs w:val="24"/>
      <w:lang w:val="en-US" w:eastAsia="ar-SA"/>
    </w:rPr>
  </w:style>
  <w:style w:type="character" w:customStyle="1" w:styleId="Heading8Char">
    <w:name w:val="Heading 8 Char"/>
    <w:basedOn w:val="DefaultParagraphFont"/>
    <w:link w:val="Heading8"/>
    <w:rsid w:val="006A6401"/>
    <w:rPr>
      <w:rFonts w:ascii="Arial" w:eastAsia="Hiragino Kaku Gothic Pro W3" w:hAnsi="Arial" w:cs="Arial"/>
      <w:color w:val="000000"/>
      <w:szCs w:val="24"/>
      <w:lang w:val="en-US" w:eastAsia="ar-SA"/>
    </w:rPr>
  </w:style>
  <w:style w:type="character" w:customStyle="1" w:styleId="Heading9Char">
    <w:name w:val="Heading 9 Char"/>
    <w:basedOn w:val="DefaultParagraphFont"/>
    <w:link w:val="Heading9"/>
    <w:rsid w:val="006A6401"/>
    <w:rPr>
      <w:rFonts w:ascii="Arial" w:eastAsia="Hiragino Kaku Gothic Pro W3" w:hAnsi="Arial" w:cs="Arial"/>
      <w:color w:val="000000"/>
      <w:szCs w:val="24"/>
      <w:lang w:val="en-US" w:eastAsia="ar-SA"/>
    </w:rPr>
  </w:style>
  <w:style w:type="paragraph" w:styleId="Header">
    <w:name w:val="header"/>
    <w:basedOn w:val="Normal"/>
    <w:link w:val="HeaderChar"/>
    <w:uiPriority w:val="99"/>
    <w:rsid w:val="006A6401"/>
    <w:pPr>
      <w:tabs>
        <w:tab w:val="center" w:pos="4320"/>
        <w:tab w:val="right" w:pos="8640"/>
      </w:tabs>
    </w:pPr>
  </w:style>
  <w:style w:type="character" w:customStyle="1" w:styleId="HeaderChar">
    <w:name w:val="Header Char"/>
    <w:basedOn w:val="DefaultParagraphFont"/>
    <w:link w:val="Header"/>
    <w:uiPriority w:val="99"/>
    <w:rsid w:val="006A6401"/>
    <w:rPr>
      <w:rFonts w:ascii="Arial" w:eastAsia="Times New Roman" w:hAnsi="Arial" w:cs="Times New Roman"/>
      <w:szCs w:val="24"/>
    </w:rPr>
  </w:style>
  <w:style w:type="paragraph" w:styleId="Footer">
    <w:name w:val="footer"/>
    <w:basedOn w:val="Normal"/>
    <w:link w:val="FooterChar"/>
    <w:uiPriority w:val="99"/>
    <w:rsid w:val="006A6401"/>
    <w:pPr>
      <w:tabs>
        <w:tab w:val="center" w:pos="4320"/>
        <w:tab w:val="right" w:pos="8640"/>
      </w:tabs>
    </w:pPr>
  </w:style>
  <w:style w:type="character" w:customStyle="1" w:styleId="FooterChar">
    <w:name w:val="Footer Char"/>
    <w:basedOn w:val="DefaultParagraphFont"/>
    <w:link w:val="Footer"/>
    <w:uiPriority w:val="99"/>
    <w:rsid w:val="006A6401"/>
    <w:rPr>
      <w:rFonts w:ascii="Arial" w:eastAsia="Times New Roman" w:hAnsi="Arial" w:cs="Times New Roman"/>
      <w:szCs w:val="24"/>
    </w:rPr>
  </w:style>
  <w:style w:type="paragraph" w:styleId="ListParagraph">
    <w:name w:val="List Paragraph"/>
    <w:basedOn w:val="Normal"/>
    <w:uiPriority w:val="34"/>
    <w:qFormat/>
    <w:rsid w:val="006A6401"/>
    <w:pPr>
      <w:widowControl w:val="0"/>
      <w:suppressAutoHyphens/>
      <w:ind w:left="720"/>
      <w:contextualSpacing/>
    </w:pPr>
    <w:rPr>
      <w:rFonts w:eastAsia="Hiragino Kaku Gothic Pro W3" w:cs="Arial"/>
      <w:color w:val="000000"/>
      <w:lang w:val="en-US" w:eastAsia="ar-SA"/>
    </w:rPr>
  </w:style>
  <w:style w:type="character" w:styleId="Emphasis">
    <w:name w:val="Emphasis"/>
    <w:basedOn w:val="DefaultParagraphFont"/>
    <w:uiPriority w:val="20"/>
    <w:qFormat/>
    <w:rsid w:val="006A6401"/>
    <w:rPr>
      <w:i/>
      <w:iCs/>
    </w:rPr>
  </w:style>
  <w:style w:type="paragraph" w:customStyle="1" w:styleId="Default">
    <w:name w:val="Default"/>
    <w:rsid w:val="006A6401"/>
    <w:pPr>
      <w:autoSpaceDE w:val="0"/>
      <w:autoSpaceDN w:val="0"/>
      <w:adjustRightInd w:val="0"/>
      <w:spacing w:after="0" w:line="240" w:lineRule="auto"/>
    </w:pPr>
    <w:rPr>
      <w:rFonts w:ascii="Times" w:eastAsia="Times New Roman" w:hAnsi="Times" w:cs="Times"/>
      <w:color w:val="000000"/>
      <w:sz w:val="24"/>
      <w:szCs w:val="24"/>
      <w:lang w:val="fr-CA" w:eastAsia="en-CA"/>
    </w:rPr>
  </w:style>
  <w:style w:type="paragraph" w:styleId="EndnoteText">
    <w:name w:val="endnote text"/>
    <w:basedOn w:val="Normal"/>
    <w:link w:val="EndnoteTextChar"/>
    <w:unhideWhenUsed/>
    <w:rsid w:val="006A6401"/>
  </w:style>
  <w:style w:type="character" w:customStyle="1" w:styleId="EndnoteTextChar">
    <w:name w:val="Endnote Text Char"/>
    <w:basedOn w:val="DefaultParagraphFont"/>
    <w:link w:val="EndnoteText"/>
    <w:rsid w:val="006A6401"/>
    <w:rPr>
      <w:rFonts w:ascii="Arial" w:eastAsia="Times New Roman" w:hAnsi="Arial" w:cs="Times New Roman"/>
      <w:szCs w:val="24"/>
    </w:rPr>
  </w:style>
  <w:style w:type="character" w:styleId="EndnoteReference">
    <w:name w:val="endnote reference"/>
    <w:basedOn w:val="DefaultParagraphFont"/>
    <w:unhideWhenUsed/>
    <w:rsid w:val="006A6401"/>
    <w:rPr>
      <w:vertAlign w:val="superscript"/>
    </w:rPr>
  </w:style>
  <w:style w:type="table" w:styleId="TableGrid">
    <w:name w:val="Table Grid"/>
    <w:basedOn w:val="TableNormal"/>
    <w:rsid w:val="006A6401"/>
    <w:pPr>
      <w:spacing w:after="0" w:line="240" w:lineRule="auto"/>
    </w:pPr>
    <w:rPr>
      <w:rFonts w:ascii="Times New Roman" w:eastAsia="Times New Roman" w:hAnsi="Times New Roman" w:cs="Times New Roma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yebrow">
    <w:name w:val="text--eyebrow"/>
    <w:basedOn w:val="Normal"/>
    <w:rsid w:val="00B7763A"/>
    <w:pPr>
      <w:spacing w:before="100" w:beforeAutospacing="1" w:after="100" w:afterAutospacing="1"/>
    </w:pPr>
    <w:rPr>
      <w:rFonts w:ascii="Times New Roman" w:hAnsi="Times New Roman"/>
      <w:sz w:val="24"/>
      <w:lang w:eastAsia="en-CA"/>
    </w:rPr>
  </w:style>
  <w:style w:type="paragraph" w:customStyle="1" w:styleId="text--body-copy">
    <w:name w:val="text--body-copy"/>
    <w:basedOn w:val="Normal"/>
    <w:rsid w:val="00B7763A"/>
    <w:pPr>
      <w:spacing w:before="100" w:beforeAutospacing="1" w:after="100" w:afterAutospacing="1"/>
    </w:pPr>
    <w:rPr>
      <w:rFonts w:ascii="Times New Roman" w:hAnsi="Times New Roman"/>
      <w:sz w:val="24"/>
      <w:lang w:eastAsia="en-CA"/>
    </w:rPr>
  </w:style>
  <w:style w:type="character" w:customStyle="1" w:styleId="txt-bold">
    <w:name w:val="txt-bold"/>
    <w:basedOn w:val="DefaultParagraphFont"/>
    <w:rsid w:val="00B7763A"/>
  </w:style>
  <w:style w:type="character" w:customStyle="1" w:styleId="text--body-copy1">
    <w:name w:val="text--body-copy1"/>
    <w:basedOn w:val="DefaultParagraphFont"/>
    <w:rsid w:val="00B7763A"/>
  </w:style>
  <w:style w:type="paragraph" w:styleId="NormalWeb">
    <w:name w:val="Normal (Web)"/>
    <w:basedOn w:val="Normal"/>
    <w:uiPriority w:val="99"/>
    <w:semiHidden/>
    <w:unhideWhenUsed/>
    <w:rsid w:val="00B7763A"/>
    <w:pPr>
      <w:spacing w:before="100" w:beforeAutospacing="1" w:after="100" w:afterAutospacing="1"/>
    </w:pPr>
    <w:rPr>
      <w:rFonts w:ascii="Times New Roman" w:hAnsi="Times New Roman"/>
      <w:sz w:val="24"/>
      <w:lang w:eastAsia="en-CA"/>
    </w:rPr>
  </w:style>
  <w:style w:type="character" w:styleId="Hyperlink">
    <w:name w:val="Hyperlink"/>
    <w:basedOn w:val="DefaultParagraphFont"/>
    <w:uiPriority w:val="99"/>
    <w:unhideWhenUsed/>
    <w:rsid w:val="00B7763A"/>
    <w:rPr>
      <w:color w:val="0000FF"/>
      <w:u w:val="single"/>
    </w:rPr>
  </w:style>
  <w:style w:type="character" w:styleId="Strong">
    <w:name w:val="Strong"/>
    <w:basedOn w:val="DefaultParagraphFont"/>
    <w:uiPriority w:val="22"/>
    <w:qFormat/>
    <w:rsid w:val="00B7763A"/>
    <w:rPr>
      <w:b/>
      <w:bCs/>
    </w:rPr>
  </w:style>
  <w:style w:type="character" w:styleId="CommentReference">
    <w:name w:val="annotation reference"/>
    <w:basedOn w:val="DefaultParagraphFont"/>
    <w:uiPriority w:val="99"/>
    <w:semiHidden/>
    <w:unhideWhenUsed/>
    <w:rsid w:val="006B3631"/>
    <w:rPr>
      <w:sz w:val="16"/>
      <w:szCs w:val="16"/>
    </w:rPr>
  </w:style>
  <w:style w:type="paragraph" w:styleId="CommentText">
    <w:name w:val="annotation text"/>
    <w:basedOn w:val="Normal"/>
    <w:link w:val="CommentTextChar"/>
    <w:uiPriority w:val="99"/>
    <w:unhideWhenUsed/>
    <w:rsid w:val="006B3631"/>
    <w:rPr>
      <w:sz w:val="20"/>
      <w:szCs w:val="20"/>
    </w:rPr>
  </w:style>
  <w:style w:type="character" w:customStyle="1" w:styleId="CommentTextChar">
    <w:name w:val="Comment Text Char"/>
    <w:basedOn w:val="DefaultParagraphFont"/>
    <w:link w:val="CommentText"/>
    <w:uiPriority w:val="99"/>
    <w:rsid w:val="006B363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B3631"/>
    <w:rPr>
      <w:b/>
      <w:bCs/>
    </w:rPr>
  </w:style>
  <w:style w:type="character" w:customStyle="1" w:styleId="CommentSubjectChar">
    <w:name w:val="Comment Subject Char"/>
    <w:basedOn w:val="CommentTextChar"/>
    <w:link w:val="CommentSubject"/>
    <w:uiPriority w:val="99"/>
    <w:semiHidden/>
    <w:rsid w:val="006B3631"/>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6B3631"/>
    <w:rPr>
      <w:color w:val="605E5C"/>
      <w:shd w:val="clear" w:color="auto" w:fill="E1DFDD"/>
    </w:rPr>
  </w:style>
  <w:style w:type="paragraph" w:styleId="FootnoteText">
    <w:name w:val="footnote text"/>
    <w:basedOn w:val="Normal"/>
    <w:link w:val="FootnoteTextChar"/>
    <w:uiPriority w:val="99"/>
    <w:unhideWhenUsed/>
    <w:rsid w:val="00E80CFB"/>
    <w:rPr>
      <w:sz w:val="20"/>
      <w:szCs w:val="20"/>
    </w:rPr>
  </w:style>
  <w:style w:type="character" w:customStyle="1" w:styleId="FootnoteTextChar">
    <w:name w:val="Footnote Text Char"/>
    <w:basedOn w:val="DefaultParagraphFont"/>
    <w:link w:val="FootnoteText"/>
    <w:uiPriority w:val="99"/>
    <w:rsid w:val="00E80CFB"/>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E80CFB"/>
    <w:rPr>
      <w:vertAlign w:val="superscript"/>
    </w:rPr>
  </w:style>
  <w:style w:type="character" w:styleId="FollowedHyperlink">
    <w:name w:val="FollowedHyperlink"/>
    <w:basedOn w:val="DefaultParagraphFont"/>
    <w:uiPriority w:val="99"/>
    <w:semiHidden/>
    <w:unhideWhenUsed/>
    <w:rsid w:val="00A06449"/>
    <w:rPr>
      <w:color w:val="954F72" w:themeColor="followedHyperlink"/>
      <w:u w:val="single"/>
    </w:rPr>
  </w:style>
  <w:style w:type="paragraph" w:styleId="Revision">
    <w:name w:val="Revision"/>
    <w:hidden/>
    <w:uiPriority w:val="99"/>
    <w:semiHidden/>
    <w:rsid w:val="00865B14"/>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6385">
      <w:bodyDiv w:val="1"/>
      <w:marLeft w:val="0"/>
      <w:marRight w:val="0"/>
      <w:marTop w:val="0"/>
      <w:marBottom w:val="0"/>
      <w:divBdr>
        <w:top w:val="none" w:sz="0" w:space="0" w:color="auto"/>
        <w:left w:val="none" w:sz="0" w:space="0" w:color="auto"/>
        <w:bottom w:val="none" w:sz="0" w:space="0" w:color="auto"/>
        <w:right w:val="none" w:sz="0" w:space="0" w:color="auto"/>
      </w:divBdr>
      <w:divsChild>
        <w:div w:id="798230739">
          <w:marLeft w:val="0"/>
          <w:marRight w:val="0"/>
          <w:marTop w:val="0"/>
          <w:marBottom w:val="0"/>
          <w:divBdr>
            <w:top w:val="none" w:sz="0" w:space="0" w:color="auto"/>
            <w:left w:val="none" w:sz="0" w:space="0" w:color="auto"/>
            <w:bottom w:val="none" w:sz="0" w:space="0" w:color="auto"/>
            <w:right w:val="none" w:sz="0" w:space="0" w:color="auto"/>
          </w:divBdr>
        </w:div>
      </w:divsChild>
    </w:div>
    <w:div w:id="399594231">
      <w:bodyDiv w:val="1"/>
      <w:marLeft w:val="0"/>
      <w:marRight w:val="0"/>
      <w:marTop w:val="0"/>
      <w:marBottom w:val="0"/>
      <w:divBdr>
        <w:top w:val="none" w:sz="0" w:space="0" w:color="auto"/>
        <w:left w:val="none" w:sz="0" w:space="0" w:color="auto"/>
        <w:bottom w:val="none" w:sz="0" w:space="0" w:color="auto"/>
        <w:right w:val="none" w:sz="0" w:space="0" w:color="auto"/>
      </w:divBdr>
    </w:div>
    <w:div w:id="819275533">
      <w:bodyDiv w:val="1"/>
      <w:marLeft w:val="0"/>
      <w:marRight w:val="0"/>
      <w:marTop w:val="0"/>
      <w:marBottom w:val="0"/>
      <w:divBdr>
        <w:top w:val="none" w:sz="0" w:space="0" w:color="auto"/>
        <w:left w:val="none" w:sz="0" w:space="0" w:color="auto"/>
        <w:bottom w:val="none" w:sz="0" w:space="0" w:color="auto"/>
        <w:right w:val="none" w:sz="0" w:space="0" w:color="auto"/>
      </w:divBdr>
      <w:divsChild>
        <w:div w:id="1464352143">
          <w:marLeft w:val="0"/>
          <w:marRight w:val="0"/>
          <w:marTop w:val="0"/>
          <w:marBottom w:val="0"/>
          <w:divBdr>
            <w:top w:val="none" w:sz="0" w:space="0" w:color="auto"/>
            <w:left w:val="none" w:sz="0" w:space="0" w:color="auto"/>
            <w:bottom w:val="none" w:sz="0" w:space="0" w:color="auto"/>
            <w:right w:val="none" w:sz="0" w:space="0" w:color="auto"/>
          </w:divBdr>
          <w:divsChild>
            <w:div w:id="1118570345">
              <w:marLeft w:val="0"/>
              <w:marRight w:val="0"/>
              <w:marTop w:val="0"/>
              <w:marBottom w:val="0"/>
              <w:divBdr>
                <w:top w:val="none" w:sz="0" w:space="0" w:color="auto"/>
                <w:left w:val="none" w:sz="0" w:space="0" w:color="auto"/>
                <w:bottom w:val="none" w:sz="0" w:space="0" w:color="auto"/>
                <w:right w:val="none" w:sz="0" w:space="0" w:color="auto"/>
              </w:divBdr>
              <w:divsChild>
                <w:div w:id="182327910">
                  <w:marLeft w:val="0"/>
                  <w:marRight w:val="0"/>
                  <w:marTop w:val="0"/>
                  <w:marBottom w:val="0"/>
                  <w:divBdr>
                    <w:top w:val="none" w:sz="0" w:space="0" w:color="auto"/>
                    <w:left w:val="none" w:sz="0" w:space="0" w:color="auto"/>
                    <w:bottom w:val="none" w:sz="0" w:space="0" w:color="auto"/>
                    <w:right w:val="none" w:sz="0" w:space="0" w:color="auto"/>
                  </w:divBdr>
                  <w:divsChild>
                    <w:div w:id="1041900176">
                      <w:marLeft w:val="0"/>
                      <w:marRight w:val="0"/>
                      <w:marTop w:val="0"/>
                      <w:marBottom w:val="0"/>
                      <w:divBdr>
                        <w:top w:val="none" w:sz="0" w:space="0" w:color="auto"/>
                        <w:left w:val="none" w:sz="0" w:space="0" w:color="auto"/>
                        <w:bottom w:val="none" w:sz="0" w:space="0" w:color="auto"/>
                        <w:right w:val="none" w:sz="0" w:space="0" w:color="auto"/>
                      </w:divBdr>
                      <w:divsChild>
                        <w:div w:id="1916937233">
                          <w:marLeft w:val="0"/>
                          <w:marRight w:val="0"/>
                          <w:marTop w:val="0"/>
                          <w:marBottom w:val="0"/>
                          <w:divBdr>
                            <w:top w:val="none" w:sz="0" w:space="0" w:color="auto"/>
                            <w:left w:val="none" w:sz="0" w:space="0" w:color="auto"/>
                            <w:bottom w:val="none" w:sz="0" w:space="0" w:color="auto"/>
                            <w:right w:val="none" w:sz="0" w:space="0" w:color="auto"/>
                          </w:divBdr>
                        </w:div>
                        <w:div w:id="8173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008808">
          <w:marLeft w:val="0"/>
          <w:marRight w:val="0"/>
          <w:marTop w:val="0"/>
          <w:marBottom w:val="0"/>
          <w:divBdr>
            <w:top w:val="none" w:sz="0" w:space="0" w:color="auto"/>
            <w:left w:val="none" w:sz="0" w:space="0" w:color="auto"/>
            <w:bottom w:val="none" w:sz="0" w:space="0" w:color="auto"/>
            <w:right w:val="none" w:sz="0" w:space="0" w:color="auto"/>
          </w:divBdr>
          <w:divsChild>
            <w:div w:id="1310473539">
              <w:marLeft w:val="0"/>
              <w:marRight w:val="0"/>
              <w:marTop w:val="100"/>
              <w:marBottom w:val="100"/>
              <w:divBdr>
                <w:top w:val="none" w:sz="0" w:space="0" w:color="auto"/>
                <w:left w:val="none" w:sz="0" w:space="0" w:color="auto"/>
                <w:bottom w:val="none" w:sz="0" w:space="0" w:color="auto"/>
                <w:right w:val="none" w:sz="0" w:space="0" w:color="auto"/>
              </w:divBdr>
              <w:divsChild>
                <w:div w:id="1021248163">
                  <w:marLeft w:val="0"/>
                  <w:marRight w:val="0"/>
                  <w:marTop w:val="0"/>
                  <w:marBottom w:val="0"/>
                  <w:divBdr>
                    <w:top w:val="none" w:sz="0" w:space="0" w:color="auto"/>
                    <w:left w:val="none" w:sz="0" w:space="0" w:color="auto"/>
                    <w:bottom w:val="none" w:sz="0" w:space="0" w:color="auto"/>
                    <w:right w:val="none" w:sz="0" w:space="0" w:color="auto"/>
                  </w:divBdr>
                </w:div>
                <w:div w:id="804201147">
                  <w:marLeft w:val="0"/>
                  <w:marRight w:val="0"/>
                  <w:marTop w:val="0"/>
                  <w:marBottom w:val="0"/>
                  <w:divBdr>
                    <w:top w:val="none" w:sz="0" w:space="0" w:color="auto"/>
                    <w:left w:val="none" w:sz="0" w:space="0" w:color="auto"/>
                    <w:bottom w:val="none" w:sz="0" w:space="0" w:color="auto"/>
                    <w:right w:val="none" w:sz="0" w:space="0" w:color="auto"/>
                  </w:divBdr>
                  <w:divsChild>
                    <w:div w:id="929462952">
                      <w:marLeft w:val="0"/>
                      <w:marRight w:val="0"/>
                      <w:marTop w:val="0"/>
                      <w:marBottom w:val="0"/>
                      <w:divBdr>
                        <w:top w:val="none" w:sz="0" w:space="0" w:color="auto"/>
                        <w:left w:val="none" w:sz="0" w:space="0" w:color="auto"/>
                        <w:bottom w:val="none" w:sz="0" w:space="0" w:color="auto"/>
                        <w:right w:val="none" w:sz="0" w:space="0" w:color="auto"/>
                      </w:divBdr>
                    </w:div>
                  </w:divsChild>
                </w:div>
                <w:div w:id="1935700652">
                  <w:marLeft w:val="0"/>
                  <w:marRight w:val="0"/>
                  <w:marTop w:val="0"/>
                  <w:marBottom w:val="0"/>
                  <w:divBdr>
                    <w:top w:val="none" w:sz="0" w:space="0" w:color="auto"/>
                    <w:left w:val="none" w:sz="0" w:space="0" w:color="auto"/>
                    <w:bottom w:val="none" w:sz="0" w:space="0" w:color="auto"/>
                    <w:right w:val="none" w:sz="0" w:space="0" w:color="auto"/>
                  </w:divBdr>
                  <w:divsChild>
                    <w:div w:id="167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06513">
      <w:bodyDiv w:val="1"/>
      <w:marLeft w:val="0"/>
      <w:marRight w:val="0"/>
      <w:marTop w:val="0"/>
      <w:marBottom w:val="0"/>
      <w:divBdr>
        <w:top w:val="none" w:sz="0" w:space="0" w:color="auto"/>
        <w:left w:val="none" w:sz="0" w:space="0" w:color="auto"/>
        <w:bottom w:val="none" w:sz="0" w:space="0" w:color="auto"/>
        <w:right w:val="none" w:sz="0" w:space="0" w:color="auto"/>
      </w:divBdr>
      <w:divsChild>
        <w:div w:id="1329669444">
          <w:marLeft w:val="0"/>
          <w:marRight w:val="0"/>
          <w:marTop w:val="0"/>
          <w:marBottom w:val="0"/>
          <w:divBdr>
            <w:top w:val="none" w:sz="0" w:space="0" w:color="auto"/>
            <w:left w:val="none" w:sz="0" w:space="0" w:color="auto"/>
            <w:bottom w:val="none" w:sz="0" w:space="0" w:color="auto"/>
            <w:right w:val="none" w:sz="0" w:space="0" w:color="auto"/>
          </w:divBdr>
        </w:div>
      </w:divsChild>
    </w:div>
    <w:div w:id="1023632937">
      <w:bodyDiv w:val="1"/>
      <w:marLeft w:val="0"/>
      <w:marRight w:val="0"/>
      <w:marTop w:val="0"/>
      <w:marBottom w:val="0"/>
      <w:divBdr>
        <w:top w:val="none" w:sz="0" w:space="0" w:color="auto"/>
        <w:left w:val="none" w:sz="0" w:space="0" w:color="auto"/>
        <w:bottom w:val="none" w:sz="0" w:space="0" w:color="auto"/>
        <w:right w:val="none" w:sz="0" w:space="0" w:color="auto"/>
      </w:divBdr>
      <w:divsChild>
        <w:div w:id="1384715617">
          <w:marLeft w:val="0"/>
          <w:marRight w:val="0"/>
          <w:marTop w:val="0"/>
          <w:marBottom w:val="0"/>
          <w:divBdr>
            <w:top w:val="none" w:sz="0" w:space="0" w:color="auto"/>
            <w:left w:val="none" w:sz="0" w:space="0" w:color="auto"/>
            <w:bottom w:val="none" w:sz="0" w:space="0" w:color="auto"/>
            <w:right w:val="none" w:sz="0" w:space="0" w:color="auto"/>
          </w:divBdr>
        </w:div>
      </w:divsChild>
    </w:div>
    <w:div w:id="1597864233">
      <w:bodyDiv w:val="1"/>
      <w:marLeft w:val="0"/>
      <w:marRight w:val="0"/>
      <w:marTop w:val="0"/>
      <w:marBottom w:val="0"/>
      <w:divBdr>
        <w:top w:val="none" w:sz="0" w:space="0" w:color="auto"/>
        <w:left w:val="none" w:sz="0" w:space="0" w:color="auto"/>
        <w:bottom w:val="none" w:sz="0" w:space="0" w:color="auto"/>
        <w:right w:val="none" w:sz="0" w:space="0" w:color="auto"/>
      </w:divBdr>
    </w:div>
    <w:div w:id="2061200962">
      <w:bodyDiv w:val="1"/>
      <w:marLeft w:val="0"/>
      <w:marRight w:val="0"/>
      <w:marTop w:val="0"/>
      <w:marBottom w:val="0"/>
      <w:divBdr>
        <w:top w:val="none" w:sz="0" w:space="0" w:color="auto"/>
        <w:left w:val="none" w:sz="0" w:space="0" w:color="auto"/>
        <w:bottom w:val="none" w:sz="0" w:space="0" w:color="auto"/>
        <w:right w:val="none" w:sz="0" w:space="0" w:color="auto"/>
      </w:divBdr>
      <w:divsChild>
        <w:div w:id="690642483">
          <w:marLeft w:val="0"/>
          <w:marRight w:val="0"/>
          <w:marTop w:val="0"/>
          <w:marBottom w:val="0"/>
          <w:divBdr>
            <w:top w:val="none" w:sz="0" w:space="0" w:color="auto"/>
            <w:left w:val="none" w:sz="0" w:space="0" w:color="auto"/>
            <w:bottom w:val="none" w:sz="0" w:space="0" w:color="auto"/>
            <w:right w:val="none" w:sz="0" w:space="0" w:color="auto"/>
          </w:divBdr>
        </w:div>
      </w:divsChild>
    </w:div>
    <w:div w:id="2088920568">
      <w:bodyDiv w:val="1"/>
      <w:marLeft w:val="0"/>
      <w:marRight w:val="0"/>
      <w:marTop w:val="0"/>
      <w:marBottom w:val="0"/>
      <w:divBdr>
        <w:top w:val="none" w:sz="0" w:space="0" w:color="auto"/>
        <w:left w:val="none" w:sz="0" w:space="0" w:color="auto"/>
        <w:bottom w:val="none" w:sz="0" w:space="0" w:color="auto"/>
        <w:right w:val="none" w:sz="0" w:space="0" w:color="auto"/>
      </w:divBdr>
      <w:divsChild>
        <w:div w:id="484202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icj2.wpenginepowered.com/wpcontent/uploads/2023/03/8-March-Principles-Report_final_print-version.pdf" TargetMode="External"/><Relationship Id="rId13" Type="http://schemas.openxmlformats.org/officeDocument/2006/relationships/hyperlink" Target="https://www.aidsdatahub.org/sites/default/files/resource/global-commission-hiv-law-risks-rights-health.pdf" TargetMode="External"/><Relationship Id="rId18" Type="http://schemas.openxmlformats.org/officeDocument/2006/relationships/hyperlink" Target="https://doi.org/10.1080%2F13691058.2020.1767305" TargetMode="External"/><Relationship Id="rId3" Type="http://schemas.openxmlformats.org/officeDocument/2006/relationships/hyperlink" Target="https://www.hrw.org/report/2019/08/07/why-sex-work-should-be-decriminalised-south-africa" TargetMode="External"/><Relationship Id="rId7" Type="http://schemas.openxmlformats.org/officeDocument/2006/relationships/hyperlink" Target="https://www.amnesty.org/en/documents/pol30/4062/2016/en/" TargetMode="External"/><Relationship Id="rId12" Type="http://schemas.openxmlformats.org/officeDocument/2006/relationships/hyperlink" Target="https://gaatw.org/advocacy/Bill_C-36-GAATW_brief.pdf" TargetMode="External"/><Relationship Id="rId17" Type="http://schemas.openxmlformats.org/officeDocument/2006/relationships/hyperlink" Target="https://www.lse.ac.uk/women-peace-security/assets/documents/2022/W922-0152-WPS-Policy-Paper-6-singles.pdf" TargetMode="External"/><Relationship Id="rId2" Type="http://schemas.openxmlformats.org/officeDocument/2006/relationships/hyperlink" Target="https://www.southernafricalitigationcentre.org/wp-content/uploads/2016/09/They-should-protect-us-pblctn.pdf" TargetMode="External"/><Relationship Id="rId16" Type="http://schemas.openxmlformats.org/officeDocument/2006/relationships/hyperlink" Target="https://www.amnesty.org/en/documents/eur29/5156/2022/en/" TargetMode="External"/><Relationship Id="rId20" Type="http://schemas.openxmlformats.org/officeDocument/2006/relationships/hyperlink" Target="https://doi.org/10.1007/s13178-021-00605-7" TargetMode="External"/><Relationship Id="rId1" Type="http://schemas.openxmlformats.org/officeDocument/2006/relationships/hyperlink" Target="https://www.amnesty.org/en/documents/eur36/4034/2016/en/" TargetMode="External"/><Relationship Id="rId6" Type="http://schemas.openxmlformats.org/officeDocument/2006/relationships/hyperlink" Target="https://undocs.org/A/HRC/WG.11/39/1" TargetMode="External"/><Relationship Id="rId11" Type="http://schemas.openxmlformats.org/officeDocument/2006/relationships/hyperlink" Target="https://www.wlhiv.org/_files/ugd/836bb6_9e6fe10606054489b8a047611471cae3.pdf" TargetMode="External"/><Relationship Id="rId5" Type="http://schemas.openxmlformats.org/officeDocument/2006/relationships/hyperlink" Target="https://www.ourcommons.ca/Content/Committee/441/JUST/Brief/BR11707078/br-external/ButterflyAsianAndMigrantSexWorkersSupportNetwork-e.pdf" TargetMode="External"/><Relationship Id="rId15" Type="http://schemas.openxmlformats.org/officeDocument/2006/relationships/hyperlink" Target="https://www.justice-ni.gov.uk/sites/default/files/publications/justice/assessment-of-impact-criminalisation-of-purchasing-sexual-services.pdf" TargetMode="External"/><Relationship Id="rId10" Type="http://schemas.openxmlformats.org/officeDocument/2006/relationships/hyperlink" Target="https://www.unaids.org/sites/default/files/media_asset/JC2306_UNAIDS-guidance-note-HIV-sex-work_en_0.pdf" TargetMode="External"/><Relationship Id="rId19" Type="http://schemas.openxmlformats.org/officeDocument/2006/relationships/hyperlink" Target="https://www.otago.ac.nz/__data/assets/pdf_file/0027/248760/pdf-811-kb-018607.pdf" TargetMode="External"/><Relationship Id="rId4" Type="http://schemas.openxmlformats.org/officeDocument/2006/relationships/hyperlink" Target="https://www.butterflysw.org/_files/ugd/5bd754_71be1154f6ff4bbb94a03ed7931a32df.pdf" TargetMode="External"/><Relationship Id="rId9" Type="http://schemas.openxmlformats.org/officeDocument/2006/relationships/hyperlink" Target="https://www.hrw.org/news/2019/08/07/why-sex-work-should-be-decriminalized" TargetMode="External"/><Relationship Id="rId14" Type="http://schemas.openxmlformats.org/officeDocument/2006/relationships/hyperlink" Target="https://www.justice-ni.gov.uk/sites/default/files/publications/justice/report-criminalisation-paying-for-sex.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HIV Legal Network</Contributor>
    <Filename xmlns="d42e65b2-cf21-49c1-b27d-d23f90380c0e" xsi:nil="true"/>
  </documentManagement>
</p:properties>
</file>

<file path=customXml/itemProps1.xml><?xml version="1.0" encoding="utf-8"?>
<ds:datastoreItem xmlns:ds="http://schemas.openxmlformats.org/officeDocument/2006/customXml" ds:itemID="{4581E18D-DF88-45D0-984B-A6F6E5B05954}"/>
</file>

<file path=customXml/itemProps2.xml><?xml version="1.0" encoding="utf-8"?>
<ds:datastoreItem xmlns:ds="http://schemas.openxmlformats.org/officeDocument/2006/customXml" ds:itemID="{F5EBB87E-B6E5-4D41-AA15-E9FF6191C76F}">
  <ds:schemaRefs>
    <ds:schemaRef ds:uri="http://schemas.openxmlformats.org/officeDocument/2006/bibliography"/>
  </ds:schemaRefs>
</ds:datastoreItem>
</file>

<file path=customXml/itemProps3.xml><?xml version="1.0" encoding="utf-8"?>
<ds:datastoreItem xmlns:ds="http://schemas.openxmlformats.org/officeDocument/2006/customXml" ds:itemID="{8A89D528-249E-483C-9D77-8C38367ED84C}">
  <ds:schemaRefs>
    <ds:schemaRef ds:uri="http://schemas.microsoft.com/sharepoint/v3/contenttype/forms"/>
  </ds:schemaRefs>
</ds:datastoreItem>
</file>

<file path=customXml/itemProps4.xml><?xml version="1.0" encoding="utf-8"?>
<ds:datastoreItem xmlns:ds="http://schemas.openxmlformats.org/officeDocument/2006/customXml" ds:itemID="{55C76BCA-5BF8-4BCB-B934-75B346BBFDFE}">
  <ds:schemaRefs>
    <ds:schemaRef ds:uri="http://schemas.microsoft.com/office/2006/metadata/properties"/>
    <ds:schemaRef ds:uri="http://schemas.microsoft.com/office/infopath/2007/PartnerControls"/>
    <ds:schemaRef ds:uri="80f08fdb-a6f9-40ba-9dfb-90ade4f0059c"/>
    <ds:schemaRef ds:uri="398acca0-6637-415b-bdb1-94c37335be48"/>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1981</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Ka Hon Chu</dc:creator>
  <cp:keywords/>
  <dc:description/>
  <cp:lastModifiedBy>Sandra Ka Hon Chu</cp:lastModifiedBy>
  <cp:revision>23</cp:revision>
  <dcterms:created xsi:type="dcterms:W3CDTF">2024-01-17T21:13:00Z</dcterms:created>
  <dcterms:modified xsi:type="dcterms:W3CDTF">2024-01-18T19:59:00Z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