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10B0" w14:textId="387A8BA0" w:rsidR="00F42B7D" w:rsidRDefault="00F42B7D" w:rsidP="00607808">
      <w:pPr>
        <w:rPr>
          <w:rFonts w:cstheme="minorHAnsi"/>
          <w:b/>
          <w:bCs/>
        </w:rPr>
      </w:pPr>
      <w:r w:rsidRPr="000B2E87">
        <w:rPr>
          <w:rFonts w:ascii="Times New Roman" w:hAnsi="Times New Roman" w:cs="Times New Roman"/>
          <w:noProof/>
          <w:sz w:val="23"/>
          <w:szCs w:val="23"/>
          <w:lang w:val="en-US"/>
        </w:rPr>
        <w:drawing>
          <wp:inline distT="0" distB="0" distL="0" distR="0" wp14:anchorId="504B4C72" wp14:editId="0958B111">
            <wp:extent cx="3549600" cy="720000"/>
            <wp:effectExtent l="0" t="0" r="0" b="444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stretch>
                      <a:fillRect/>
                    </a:stretch>
                  </pic:blipFill>
                  <pic:spPr>
                    <a:xfrm>
                      <a:off x="0" y="0"/>
                      <a:ext cx="3549600" cy="720000"/>
                    </a:xfrm>
                    <a:prstGeom prst="rect">
                      <a:avLst/>
                    </a:prstGeom>
                  </pic:spPr>
                </pic:pic>
              </a:graphicData>
            </a:graphic>
          </wp:inline>
        </w:drawing>
      </w:r>
    </w:p>
    <w:p w14:paraId="01F1022D" w14:textId="77777777" w:rsidR="001E4FBB" w:rsidRDefault="001E4FBB" w:rsidP="00607808">
      <w:pPr>
        <w:rPr>
          <w:rFonts w:cstheme="minorHAnsi"/>
          <w:b/>
          <w:bCs/>
        </w:rPr>
      </w:pPr>
    </w:p>
    <w:p w14:paraId="1902F6BC" w14:textId="1F57AF69" w:rsidR="002F6005" w:rsidRDefault="00BC74DF" w:rsidP="00607808">
      <w:pPr>
        <w:rPr>
          <w:rFonts w:cstheme="minorHAnsi"/>
          <w:b/>
          <w:bCs/>
        </w:rPr>
      </w:pPr>
      <w:r>
        <w:rPr>
          <w:rFonts w:cstheme="minorHAnsi"/>
          <w:b/>
          <w:bCs/>
        </w:rPr>
        <w:t>C</w:t>
      </w:r>
      <w:r w:rsidR="002F6005" w:rsidRPr="00CE5DC3">
        <w:rPr>
          <w:rFonts w:cstheme="minorHAnsi"/>
          <w:b/>
          <w:bCs/>
        </w:rPr>
        <w:t xml:space="preserve">all for input to the report of the Special Rapporteur on violence against women and girls to the Human Rights Council on prostitution and violence against women and </w:t>
      </w:r>
      <w:proofErr w:type="gramStart"/>
      <w:r w:rsidR="002F6005" w:rsidRPr="00CE5DC3">
        <w:rPr>
          <w:rFonts w:cstheme="minorHAnsi"/>
          <w:b/>
          <w:bCs/>
        </w:rPr>
        <w:t>girls</w:t>
      </w:r>
      <w:proofErr w:type="gramEnd"/>
    </w:p>
    <w:p w14:paraId="797D2B5B" w14:textId="77777777" w:rsidR="00607808" w:rsidRPr="00CE5DC3" w:rsidRDefault="00607808" w:rsidP="00607808">
      <w:pPr>
        <w:rPr>
          <w:rFonts w:cstheme="minorHAnsi"/>
          <w:b/>
          <w:bCs/>
        </w:rPr>
      </w:pPr>
    </w:p>
    <w:p w14:paraId="6B19F582" w14:textId="1A2A5C26" w:rsidR="00BC74DF" w:rsidRDefault="00BC74DF" w:rsidP="00607808">
      <w:pPr>
        <w:rPr>
          <w:rFonts w:ascii="Calibri" w:eastAsia="Times New Roman" w:hAnsi="Calibri" w:cs="Calibri"/>
          <w:color w:val="212121"/>
        </w:rPr>
      </w:pPr>
      <w:r w:rsidRPr="00BC74DF">
        <w:rPr>
          <w:rFonts w:ascii="Calibri" w:eastAsia="Times New Roman" w:hAnsi="Calibri" w:cs="Calibri"/>
          <w:color w:val="212121"/>
        </w:rPr>
        <w:t xml:space="preserve">The Evangelical Fellowship of Canada (EFC) is the national association of evangelical Christian denominations, churches, post-secondary </w:t>
      </w:r>
      <w:proofErr w:type="gramStart"/>
      <w:r w:rsidRPr="00BC74DF">
        <w:rPr>
          <w:rFonts w:ascii="Calibri" w:eastAsia="Times New Roman" w:hAnsi="Calibri" w:cs="Calibri"/>
          <w:color w:val="212121"/>
        </w:rPr>
        <w:t>institutions</w:t>
      </w:r>
      <w:proofErr w:type="gramEnd"/>
      <w:r w:rsidRPr="00BC74DF">
        <w:rPr>
          <w:rFonts w:ascii="Calibri" w:eastAsia="Times New Roman" w:hAnsi="Calibri" w:cs="Calibri"/>
          <w:color w:val="212121"/>
        </w:rPr>
        <w:t xml:space="preserve"> and organizations in Canada. Established in 1964, the EFC provides a forum for collaboration and engagement among the roughly 1.7 million evangelicals who are part of its constituency.</w:t>
      </w:r>
    </w:p>
    <w:p w14:paraId="06DDBC39" w14:textId="77777777" w:rsidR="00607808" w:rsidRPr="00BC74DF" w:rsidRDefault="00607808" w:rsidP="00607808">
      <w:pPr>
        <w:rPr>
          <w:rFonts w:ascii="Calibri" w:eastAsia="Times New Roman" w:hAnsi="Calibri" w:cs="Calibri"/>
          <w:color w:val="212121"/>
        </w:rPr>
      </w:pPr>
    </w:p>
    <w:p w14:paraId="1C12F5BF" w14:textId="1705CF02" w:rsidR="002F7C43" w:rsidRPr="00607808" w:rsidRDefault="00BC74DF" w:rsidP="005A5AC4">
      <w:pPr>
        <w:pStyle w:val="NormalWeb"/>
        <w:spacing w:before="0" w:beforeAutospacing="0" w:after="0" w:afterAutospacing="0"/>
        <w:rPr>
          <w:rFonts w:asciiTheme="minorHAnsi" w:hAnsiTheme="minorHAnsi" w:cstheme="minorHAnsi"/>
        </w:rPr>
      </w:pPr>
      <w:r w:rsidRPr="005A5AC4">
        <w:rPr>
          <w:rFonts w:asciiTheme="minorHAnsi" w:hAnsiTheme="minorHAnsi" w:cstheme="minorHAnsi"/>
          <w:b/>
          <w:bCs/>
        </w:rPr>
        <w:t>Q.2</w:t>
      </w:r>
      <w:r w:rsidRPr="00607808">
        <w:rPr>
          <w:rFonts w:asciiTheme="minorHAnsi" w:hAnsiTheme="minorHAnsi" w:cstheme="minorHAnsi"/>
        </w:rPr>
        <w:br/>
      </w:r>
      <w:r w:rsidR="002F7C43" w:rsidRPr="00607808">
        <w:rPr>
          <w:rFonts w:asciiTheme="minorHAnsi" w:hAnsiTheme="minorHAnsi" w:cstheme="minorHAnsi"/>
        </w:rPr>
        <w:t xml:space="preserve">Prostitution is a system of exploitation that is based on structural </w:t>
      </w:r>
      <w:r w:rsidR="00BF1CB1" w:rsidRPr="00607808">
        <w:rPr>
          <w:rFonts w:asciiTheme="minorHAnsi" w:hAnsiTheme="minorHAnsi" w:cstheme="minorHAnsi"/>
        </w:rPr>
        <w:t xml:space="preserve">and gender </w:t>
      </w:r>
      <w:r w:rsidR="002F7C43" w:rsidRPr="00607808">
        <w:rPr>
          <w:rFonts w:asciiTheme="minorHAnsi" w:hAnsiTheme="minorHAnsi" w:cstheme="minorHAnsi"/>
        </w:rPr>
        <w:t>inequalities and preys on vulnerabilities.</w:t>
      </w:r>
    </w:p>
    <w:p w14:paraId="00482047" w14:textId="77777777" w:rsidR="00607808" w:rsidRDefault="00607808" w:rsidP="005A5AC4">
      <w:pPr>
        <w:pStyle w:val="NormalWeb"/>
        <w:spacing w:before="0" w:beforeAutospacing="0" w:after="0" w:afterAutospacing="0"/>
        <w:rPr>
          <w:rFonts w:asciiTheme="minorHAnsi" w:hAnsiTheme="minorHAnsi" w:cstheme="minorHAnsi"/>
        </w:rPr>
      </w:pPr>
    </w:p>
    <w:p w14:paraId="4129653B" w14:textId="6C341F0F" w:rsidR="004D4ED8" w:rsidRDefault="004D4ED8" w:rsidP="005A5AC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As </w:t>
      </w:r>
      <w:r w:rsidR="005830C2">
        <w:rPr>
          <w:rFonts w:asciiTheme="minorHAnsi" w:hAnsiTheme="minorHAnsi" w:cstheme="minorHAnsi"/>
        </w:rPr>
        <w:t xml:space="preserve">Justice Goldstein of the </w:t>
      </w:r>
      <w:r>
        <w:rPr>
          <w:rFonts w:asciiTheme="minorHAnsi" w:hAnsiTheme="minorHAnsi" w:cstheme="minorHAnsi"/>
        </w:rPr>
        <w:t xml:space="preserve">Ontario Superior Court of Justice </w:t>
      </w:r>
      <w:r w:rsidR="005830C2">
        <w:rPr>
          <w:rFonts w:asciiTheme="minorHAnsi" w:hAnsiTheme="minorHAnsi" w:cstheme="minorHAnsi"/>
        </w:rPr>
        <w:t xml:space="preserve">wrote </w:t>
      </w:r>
      <w:r>
        <w:rPr>
          <w:rFonts w:asciiTheme="minorHAnsi" w:hAnsiTheme="minorHAnsi" w:cstheme="minorHAnsi"/>
        </w:rPr>
        <w:t xml:space="preserve">in </w:t>
      </w:r>
      <w:r w:rsidR="000D3616">
        <w:rPr>
          <w:rFonts w:asciiTheme="minorHAnsi" w:hAnsiTheme="minorHAnsi" w:cstheme="minorHAnsi"/>
        </w:rPr>
        <w:t>the</w:t>
      </w:r>
      <w:r>
        <w:rPr>
          <w:rFonts w:asciiTheme="minorHAnsi" w:hAnsiTheme="minorHAnsi" w:cstheme="minorHAnsi"/>
        </w:rPr>
        <w:t xml:space="preserve"> 2023 </w:t>
      </w:r>
      <w:r w:rsidR="005830C2" w:rsidRPr="00607808">
        <w:rPr>
          <w:rFonts w:asciiTheme="minorHAnsi" w:hAnsiTheme="minorHAnsi" w:cstheme="minorHAnsi"/>
          <w:i/>
          <w:iCs/>
        </w:rPr>
        <w:t>C</w:t>
      </w:r>
      <w:r w:rsidR="00D67A84">
        <w:rPr>
          <w:rFonts w:asciiTheme="minorHAnsi" w:hAnsiTheme="minorHAnsi" w:cstheme="minorHAnsi"/>
          <w:i/>
          <w:iCs/>
        </w:rPr>
        <w:t xml:space="preserve">anadian </w:t>
      </w:r>
      <w:r w:rsidR="005830C2" w:rsidRPr="00607808">
        <w:rPr>
          <w:rFonts w:asciiTheme="minorHAnsi" w:hAnsiTheme="minorHAnsi" w:cstheme="minorHAnsi"/>
          <w:i/>
          <w:iCs/>
        </w:rPr>
        <w:t>A</w:t>
      </w:r>
      <w:r w:rsidR="00D67A84">
        <w:rPr>
          <w:rFonts w:asciiTheme="minorHAnsi" w:hAnsiTheme="minorHAnsi" w:cstheme="minorHAnsi"/>
          <w:i/>
          <w:iCs/>
        </w:rPr>
        <w:t xml:space="preserve">lliance for </w:t>
      </w:r>
      <w:r w:rsidR="005830C2" w:rsidRPr="00607808">
        <w:rPr>
          <w:rFonts w:asciiTheme="minorHAnsi" w:hAnsiTheme="minorHAnsi" w:cstheme="minorHAnsi"/>
          <w:i/>
          <w:iCs/>
        </w:rPr>
        <w:t>S</w:t>
      </w:r>
      <w:r w:rsidR="00D67A84">
        <w:rPr>
          <w:rFonts w:asciiTheme="minorHAnsi" w:hAnsiTheme="minorHAnsi" w:cstheme="minorHAnsi"/>
          <w:i/>
          <w:iCs/>
        </w:rPr>
        <w:t xml:space="preserve">ex </w:t>
      </w:r>
      <w:r w:rsidR="005830C2" w:rsidRPr="00607808">
        <w:rPr>
          <w:rFonts w:asciiTheme="minorHAnsi" w:hAnsiTheme="minorHAnsi" w:cstheme="minorHAnsi"/>
          <w:i/>
          <w:iCs/>
        </w:rPr>
        <w:t>W</w:t>
      </w:r>
      <w:r w:rsidR="00D67A84">
        <w:rPr>
          <w:rFonts w:asciiTheme="minorHAnsi" w:hAnsiTheme="minorHAnsi" w:cstheme="minorHAnsi"/>
          <w:i/>
          <w:iCs/>
        </w:rPr>
        <w:t xml:space="preserve">ork </w:t>
      </w:r>
      <w:r w:rsidR="005830C2" w:rsidRPr="00607808">
        <w:rPr>
          <w:rFonts w:asciiTheme="minorHAnsi" w:hAnsiTheme="minorHAnsi" w:cstheme="minorHAnsi"/>
          <w:i/>
          <w:iCs/>
        </w:rPr>
        <w:t>L</w:t>
      </w:r>
      <w:r w:rsidR="00D67A84">
        <w:rPr>
          <w:rFonts w:asciiTheme="minorHAnsi" w:hAnsiTheme="minorHAnsi" w:cstheme="minorHAnsi"/>
          <w:i/>
          <w:iCs/>
        </w:rPr>
        <w:t xml:space="preserve">aw </w:t>
      </w:r>
      <w:r w:rsidR="005830C2" w:rsidRPr="00607808">
        <w:rPr>
          <w:rFonts w:asciiTheme="minorHAnsi" w:hAnsiTheme="minorHAnsi" w:cstheme="minorHAnsi"/>
          <w:i/>
          <w:iCs/>
        </w:rPr>
        <w:t>R</w:t>
      </w:r>
      <w:r w:rsidR="00D67A84">
        <w:rPr>
          <w:rFonts w:asciiTheme="minorHAnsi" w:hAnsiTheme="minorHAnsi" w:cstheme="minorHAnsi"/>
          <w:i/>
          <w:iCs/>
        </w:rPr>
        <w:t>eform</w:t>
      </w:r>
      <w:r w:rsidR="005830C2" w:rsidRPr="00607808">
        <w:rPr>
          <w:rFonts w:asciiTheme="minorHAnsi" w:hAnsiTheme="minorHAnsi" w:cstheme="minorHAnsi"/>
          <w:i/>
          <w:iCs/>
        </w:rPr>
        <w:t xml:space="preserve"> v. </w:t>
      </w:r>
      <w:r w:rsidR="001C66A4">
        <w:rPr>
          <w:rFonts w:asciiTheme="minorHAnsi" w:hAnsiTheme="minorHAnsi" w:cstheme="minorHAnsi"/>
          <w:i/>
          <w:iCs/>
        </w:rPr>
        <w:t>Attorney General</w:t>
      </w:r>
      <w:r w:rsidR="00E877A5">
        <w:rPr>
          <w:rFonts w:asciiTheme="minorHAnsi" w:hAnsiTheme="minorHAnsi" w:cstheme="minorHAnsi"/>
          <w:i/>
          <w:iCs/>
        </w:rPr>
        <w:t xml:space="preserve"> </w:t>
      </w:r>
      <w:r w:rsidR="000D3616">
        <w:rPr>
          <w:rFonts w:asciiTheme="minorHAnsi" w:hAnsiTheme="minorHAnsi" w:cstheme="minorHAnsi"/>
          <w:i/>
          <w:iCs/>
        </w:rPr>
        <w:t>(CASWLR</w:t>
      </w:r>
      <w:r w:rsidR="005830C2">
        <w:rPr>
          <w:rFonts w:asciiTheme="minorHAnsi" w:hAnsiTheme="minorHAnsi" w:cstheme="minorHAnsi"/>
        </w:rPr>
        <w:t>)</w:t>
      </w:r>
      <w:r w:rsidR="000D3616">
        <w:rPr>
          <w:rFonts w:asciiTheme="minorHAnsi" w:hAnsiTheme="minorHAnsi" w:cstheme="minorHAnsi"/>
        </w:rPr>
        <w:t xml:space="preserve"> decision</w:t>
      </w:r>
      <w:r>
        <w:rPr>
          <w:rFonts w:asciiTheme="minorHAnsi" w:hAnsiTheme="minorHAnsi" w:cstheme="minorHAnsi"/>
        </w:rPr>
        <w:t>,</w:t>
      </w:r>
    </w:p>
    <w:p w14:paraId="49C6F444" w14:textId="68D506E0" w:rsidR="00A9269A" w:rsidRDefault="005830C2" w:rsidP="005A5AC4">
      <w:pPr>
        <w:pStyle w:val="NormalWeb"/>
        <w:spacing w:before="0" w:beforeAutospacing="0" w:after="0" w:afterAutospacing="0"/>
        <w:ind w:left="720"/>
        <w:rPr>
          <w:rFonts w:asciiTheme="minorHAnsi" w:hAnsiTheme="minorHAnsi" w:cstheme="minorHAnsi"/>
        </w:rPr>
      </w:pPr>
      <w:r>
        <w:rPr>
          <w:rFonts w:asciiTheme="minorHAnsi" w:hAnsiTheme="minorHAnsi" w:cstheme="minorHAnsi"/>
        </w:rPr>
        <w:t>…</w:t>
      </w:r>
      <w:r w:rsidR="004D4ED8" w:rsidRPr="00CE5DC3">
        <w:rPr>
          <w:rFonts w:asciiTheme="minorHAnsi" w:hAnsiTheme="minorHAnsi" w:cstheme="minorHAnsi"/>
        </w:rPr>
        <w:t xml:space="preserve"> exploiters and traffickers target those with pre-existing vulnerabilities. These vulnerabilities include addiction issues; poverty; cognitive ability; mental health issues; immigration issues; and medical conditions. There is also evidence that exploiters and traffickers specifically target youth in foster care, group homes, and youth </w:t>
      </w:r>
      <w:proofErr w:type="gramStart"/>
      <w:r w:rsidR="004D4ED8" w:rsidRPr="00CE5DC3">
        <w:rPr>
          <w:rFonts w:asciiTheme="minorHAnsi" w:hAnsiTheme="minorHAnsi" w:cstheme="minorHAnsi"/>
        </w:rPr>
        <w:t>correctional facilities</w:t>
      </w:r>
      <w:proofErr w:type="gramEnd"/>
      <w:r w:rsidR="004D4ED8" w:rsidRPr="00CE5DC3">
        <w:rPr>
          <w:rFonts w:asciiTheme="minorHAnsi" w:hAnsiTheme="minorHAnsi" w:cstheme="minorHAnsi"/>
        </w:rPr>
        <w:t>. Often these are young women and girls who have been in the child protection system or run away from home. Indigenous girls and women are especially vulnerable.</w:t>
      </w:r>
      <w:r w:rsidR="00A9269A">
        <w:rPr>
          <w:rStyle w:val="EndnoteReference"/>
          <w:rFonts w:asciiTheme="minorHAnsi" w:hAnsiTheme="minorHAnsi" w:cstheme="minorHAnsi"/>
        </w:rPr>
        <w:endnoteReference w:id="1"/>
      </w:r>
    </w:p>
    <w:p w14:paraId="5EEFBED2" w14:textId="77777777" w:rsidR="00A9269A" w:rsidRDefault="00A9269A" w:rsidP="005A5AC4">
      <w:pPr>
        <w:pStyle w:val="NormalWeb"/>
        <w:spacing w:before="0" w:beforeAutospacing="0" w:after="0" w:afterAutospacing="0"/>
        <w:rPr>
          <w:rFonts w:asciiTheme="minorHAnsi" w:hAnsiTheme="minorHAnsi" w:cstheme="minorHAnsi"/>
        </w:rPr>
      </w:pPr>
    </w:p>
    <w:p w14:paraId="1B31965E" w14:textId="4BAF8F0D" w:rsidR="00A9269A" w:rsidRDefault="00A9269A" w:rsidP="005A5AC4">
      <w:pPr>
        <w:pStyle w:val="NormalWeb"/>
        <w:spacing w:before="0" w:beforeAutospacing="0" w:after="0" w:afterAutospacing="0"/>
        <w:rPr>
          <w:rFonts w:asciiTheme="minorHAnsi" w:hAnsiTheme="minorHAnsi" w:cstheme="minorHAnsi"/>
        </w:rPr>
      </w:pPr>
      <w:proofErr w:type="gramStart"/>
      <w:r w:rsidRPr="00CE5DC3">
        <w:rPr>
          <w:rFonts w:asciiTheme="minorHAnsi" w:hAnsiTheme="minorHAnsi" w:cstheme="minorHAnsi"/>
        </w:rPr>
        <w:t>The vast majority of</w:t>
      </w:r>
      <w:proofErr w:type="gramEnd"/>
      <w:r w:rsidRPr="00CE5DC3">
        <w:rPr>
          <w:rFonts w:asciiTheme="minorHAnsi" w:hAnsiTheme="minorHAnsi" w:cstheme="minorHAnsi"/>
        </w:rPr>
        <w:t xml:space="preserve"> victims in </w:t>
      </w:r>
      <w:r>
        <w:rPr>
          <w:rFonts w:asciiTheme="minorHAnsi" w:hAnsiTheme="minorHAnsi" w:cstheme="minorHAnsi"/>
        </w:rPr>
        <w:t>prostitution</w:t>
      </w:r>
      <w:r w:rsidRPr="00CE5DC3">
        <w:rPr>
          <w:rFonts w:asciiTheme="minorHAnsi" w:hAnsiTheme="minorHAnsi" w:cstheme="minorHAnsi"/>
        </w:rPr>
        <w:t>-related offences in Canada are women</w:t>
      </w:r>
      <w:r>
        <w:rPr>
          <w:rFonts w:asciiTheme="minorHAnsi" w:hAnsiTheme="minorHAnsi" w:cstheme="minorHAnsi"/>
        </w:rPr>
        <w:t xml:space="preserve"> and girls. The </w:t>
      </w:r>
      <w:r w:rsidRPr="00BC74DF">
        <w:rPr>
          <w:rFonts w:asciiTheme="minorHAnsi" w:hAnsiTheme="minorHAnsi" w:cstheme="minorHAnsi"/>
          <w:i/>
          <w:iCs/>
        </w:rPr>
        <w:t>CASWLR</w:t>
      </w:r>
      <w:r>
        <w:rPr>
          <w:rFonts w:asciiTheme="minorHAnsi" w:hAnsiTheme="minorHAnsi" w:cstheme="minorHAnsi"/>
        </w:rPr>
        <w:t xml:space="preserve"> decision noted evidence </w:t>
      </w:r>
      <w:proofErr w:type="gramStart"/>
      <w:r>
        <w:rPr>
          <w:rFonts w:asciiTheme="minorHAnsi" w:hAnsiTheme="minorHAnsi" w:cstheme="minorHAnsi"/>
        </w:rPr>
        <w:t>that</w:t>
      </w:r>
      <w:r w:rsidR="00E877A5">
        <w:rPr>
          <w:rFonts w:asciiTheme="minorHAnsi" w:hAnsiTheme="minorHAnsi" w:cstheme="minorHAnsi"/>
        </w:rPr>
        <w:t xml:space="preserve"> </w:t>
      </w:r>
      <w:r>
        <w:rPr>
          <w:rFonts w:asciiTheme="minorHAnsi" w:hAnsiTheme="minorHAnsi" w:cstheme="minorHAnsi"/>
        </w:rPr>
        <w:t>”sex</w:t>
      </w:r>
      <w:proofErr w:type="gramEnd"/>
      <w:r>
        <w:rPr>
          <w:rFonts w:asciiTheme="minorHAnsi" w:hAnsiTheme="minorHAnsi" w:cstheme="minorHAnsi"/>
        </w:rPr>
        <w:t xml:space="preserve"> work is highly gendered - the overwhelming majority of sex workers are female, and the overwhelming majority of customers are male.”</w:t>
      </w:r>
      <w:r>
        <w:rPr>
          <w:rStyle w:val="EndnoteReference"/>
          <w:rFonts w:asciiTheme="minorHAnsi" w:hAnsiTheme="minorHAnsi" w:cstheme="minorHAnsi"/>
        </w:rPr>
        <w:endnoteReference w:id="2"/>
      </w:r>
    </w:p>
    <w:p w14:paraId="453BEB00" w14:textId="77777777" w:rsidR="00A9269A" w:rsidRDefault="00A9269A" w:rsidP="005A5AC4">
      <w:pPr>
        <w:pStyle w:val="NormalWeb"/>
        <w:spacing w:before="0" w:beforeAutospacing="0" w:after="0" w:afterAutospacing="0"/>
        <w:rPr>
          <w:rFonts w:asciiTheme="minorHAnsi" w:hAnsiTheme="minorHAnsi" w:cstheme="minorHAnsi"/>
        </w:rPr>
      </w:pPr>
    </w:p>
    <w:p w14:paraId="1B1FE651" w14:textId="36540A60" w:rsidR="00A9269A" w:rsidRDefault="00A9269A" w:rsidP="005A5AC4">
      <w:pPr>
        <w:pStyle w:val="NormalWeb"/>
        <w:spacing w:before="0" w:beforeAutospacing="0" w:after="0" w:afterAutospacing="0"/>
        <w:rPr>
          <w:rFonts w:asciiTheme="minorHAnsi" w:hAnsiTheme="minorHAnsi" w:cstheme="minorHAnsi"/>
        </w:rPr>
      </w:pPr>
      <w:r>
        <w:rPr>
          <w:rFonts w:asciiTheme="minorHAnsi" w:hAnsiTheme="minorHAnsi" w:cstheme="minorHAnsi"/>
        </w:rPr>
        <w:t>Statistics Canada reports that in police-reported incidents of sex-trade related crimes between 2015-2019, 94% of victims were women and girls.</w:t>
      </w:r>
      <w:r w:rsidRPr="00CE5DC3">
        <w:rPr>
          <w:rStyle w:val="EndnoteReference"/>
          <w:rFonts w:asciiTheme="minorHAnsi" w:hAnsiTheme="minorHAnsi" w:cstheme="minorHAnsi"/>
        </w:rPr>
        <w:endnoteReference w:id="3"/>
      </w:r>
      <w:r w:rsidRPr="00CE5DC3">
        <w:rPr>
          <w:rFonts w:asciiTheme="minorHAnsi" w:hAnsiTheme="minorHAnsi" w:cstheme="minorHAnsi"/>
        </w:rPr>
        <w:t xml:space="preserve"> </w:t>
      </w:r>
      <w:r>
        <w:rPr>
          <w:rFonts w:asciiTheme="minorHAnsi" w:hAnsiTheme="minorHAnsi" w:cstheme="minorHAnsi"/>
        </w:rPr>
        <w:t>T</w:t>
      </w:r>
      <w:r w:rsidRPr="00CE5DC3">
        <w:rPr>
          <w:rFonts w:asciiTheme="minorHAnsi" w:hAnsiTheme="minorHAnsi" w:cstheme="minorHAnsi"/>
        </w:rPr>
        <w:t xml:space="preserve">he median age of women victims </w:t>
      </w:r>
      <w:r>
        <w:rPr>
          <w:rFonts w:asciiTheme="minorHAnsi" w:hAnsiTheme="minorHAnsi" w:cstheme="minorHAnsi"/>
        </w:rPr>
        <w:t>is 18 years</w:t>
      </w:r>
      <w:r w:rsidRPr="00CE5DC3">
        <w:rPr>
          <w:rFonts w:asciiTheme="minorHAnsi" w:hAnsiTheme="minorHAnsi" w:cstheme="minorHAnsi"/>
        </w:rPr>
        <w:t>.</w:t>
      </w:r>
      <w:r>
        <w:rPr>
          <w:rFonts w:asciiTheme="minorHAnsi" w:hAnsiTheme="minorHAnsi" w:cstheme="minorHAnsi"/>
        </w:rPr>
        <w:t xml:space="preserve"> </w:t>
      </w:r>
      <w:r w:rsidRPr="00CE5DC3">
        <w:rPr>
          <w:rFonts w:asciiTheme="minorHAnsi" w:hAnsiTheme="minorHAnsi" w:cstheme="minorHAnsi"/>
        </w:rPr>
        <w:t>More than 4 in 10 victims in violent offences involving at least one sex-trade-related offence are 12- to 17-years old.</w:t>
      </w:r>
      <w:r w:rsidRPr="00CE5DC3">
        <w:rPr>
          <w:rStyle w:val="EndnoteReference"/>
          <w:rFonts w:asciiTheme="minorHAnsi" w:hAnsiTheme="minorHAnsi" w:cstheme="minorHAnsi"/>
        </w:rPr>
        <w:endnoteReference w:id="4"/>
      </w:r>
      <w:r w:rsidRPr="00CE5DC3">
        <w:rPr>
          <w:rFonts w:asciiTheme="minorHAnsi" w:hAnsiTheme="minorHAnsi" w:cstheme="minorHAnsi"/>
        </w:rPr>
        <w:t xml:space="preserve"> </w:t>
      </w:r>
    </w:p>
    <w:p w14:paraId="5A54CA76" w14:textId="77777777" w:rsidR="00A9269A" w:rsidRDefault="00A9269A" w:rsidP="005A5AC4">
      <w:pPr>
        <w:pStyle w:val="NormalWeb"/>
        <w:spacing w:before="0" w:beforeAutospacing="0" w:after="0" w:afterAutospacing="0"/>
        <w:rPr>
          <w:rFonts w:asciiTheme="minorHAnsi" w:hAnsiTheme="minorHAnsi" w:cstheme="minorHAnsi"/>
        </w:rPr>
      </w:pPr>
    </w:p>
    <w:p w14:paraId="5324DE26" w14:textId="46985F24" w:rsidR="006D61C8" w:rsidRPr="00CE5DC3" w:rsidRDefault="00A9269A" w:rsidP="005A5AC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w:t>
      </w:r>
      <w:r w:rsidRPr="00EC7F0B">
        <w:rPr>
          <w:rFonts w:asciiTheme="minorHAnsi" w:hAnsiTheme="minorHAnsi" w:cstheme="minorHAnsi"/>
          <w:i/>
          <w:iCs/>
        </w:rPr>
        <w:t>CASWLR</w:t>
      </w:r>
      <w:r>
        <w:rPr>
          <w:rFonts w:asciiTheme="minorHAnsi" w:hAnsiTheme="minorHAnsi" w:cstheme="minorHAnsi"/>
        </w:rPr>
        <w:t xml:space="preserve"> decision noted evidence </w:t>
      </w:r>
      <w:r w:rsidRPr="00CE5DC3">
        <w:rPr>
          <w:rFonts w:asciiTheme="minorHAnsi" w:hAnsiTheme="minorHAnsi" w:cstheme="minorHAnsi"/>
        </w:rPr>
        <w:t>from a survey of victims of procuring in Quebec</w:t>
      </w:r>
      <w:r>
        <w:rPr>
          <w:rFonts w:asciiTheme="minorHAnsi" w:hAnsiTheme="minorHAnsi" w:cstheme="minorHAnsi"/>
        </w:rPr>
        <w:t xml:space="preserve"> that 43.5% of the victims were minors, out </w:t>
      </w:r>
      <w:r w:rsidRPr="00CE5DC3">
        <w:rPr>
          <w:rFonts w:asciiTheme="minorHAnsi" w:hAnsiTheme="minorHAnsi" w:cstheme="minorHAnsi"/>
        </w:rPr>
        <w:t>of 292 cases analyzed in 2018 and 2019</w:t>
      </w:r>
      <w:r>
        <w:rPr>
          <w:rFonts w:asciiTheme="minorHAnsi" w:hAnsiTheme="minorHAnsi" w:cstheme="minorHAnsi"/>
        </w:rPr>
        <w:t>.</w:t>
      </w:r>
      <w:r>
        <w:rPr>
          <w:rStyle w:val="EndnoteReference"/>
          <w:rFonts w:asciiTheme="minorHAnsi" w:hAnsiTheme="minorHAnsi" w:cstheme="minorHAnsi"/>
        </w:rPr>
        <w:endnoteReference w:id="5"/>
      </w:r>
      <w:r w:rsidRPr="00CE5DC3">
        <w:rPr>
          <w:rFonts w:asciiTheme="minorHAnsi" w:hAnsiTheme="minorHAnsi" w:cstheme="minorHAnsi"/>
        </w:rPr>
        <w:t xml:space="preserve"> </w:t>
      </w:r>
    </w:p>
    <w:p w14:paraId="43981391" w14:textId="77777777" w:rsidR="00607808" w:rsidRDefault="00607808" w:rsidP="005A5AC4">
      <w:pPr>
        <w:pStyle w:val="NormalWeb"/>
        <w:spacing w:before="0" w:beforeAutospacing="0" w:after="0" w:afterAutospacing="0"/>
        <w:rPr>
          <w:rFonts w:asciiTheme="minorHAnsi" w:hAnsiTheme="minorHAnsi" w:cstheme="minorHAnsi"/>
        </w:rPr>
      </w:pPr>
    </w:p>
    <w:p w14:paraId="234412C8" w14:textId="3E865C8A" w:rsidR="004E656F" w:rsidRPr="00CE5DC3" w:rsidRDefault="005830C2" w:rsidP="005A5AC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Indigenous women and girls are highly overrepresented in the commercial sex trade. A key finding of fact from the </w:t>
      </w:r>
      <w:r w:rsidRPr="00BC74DF">
        <w:rPr>
          <w:rFonts w:asciiTheme="minorHAnsi" w:hAnsiTheme="minorHAnsi" w:cstheme="minorHAnsi"/>
          <w:i/>
          <w:iCs/>
        </w:rPr>
        <w:t xml:space="preserve">CASWLR </w:t>
      </w:r>
      <w:r>
        <w:rPr>
          <w:rFonts w:asciiTheme="minorHAnsi" w:hAnsiTheme="minorHAnsi" w:cstheme="minorHAnsi"/>
        </w:rPr>
        <w:t xml:space="preserve">decision was that </w:t>
      </w:r>
      <w:r w:rsidR="006D61C8">
        <w:rPr>
          <w:rFonts w:asciiTheme="minorHAnsi" w:hAnsiTheme="minorHAnsi" w:cstheme="minorHAnsi"/>
        </w:rPr>
        <w:t>s</w:t>
      </w:r>
      <w:r w:rsidR="006D61C8" w:rsidRPr="00CE5DC3">
        <w:rPr>
          <w:rFonts w:asciiTheme="minorHAnsi" w:hAnsiTheme="minorHAnsi" w:cstheme="minorHAnsi"/>
        </w:rPr>
        <w:t>ignificant numbers of sex workers come from marginalized and racialized groups</w:t>
      </w:r>
      <w:r w:rsidR="006D61C8">
        <w:rPr>
          <w:rFonts w:asciiTheme="minorHAnsi" w:hAnsiTheme="minorHAnsi" w:cstheme="minorHAnsi"/>
        </w:rPr>
        <w:t>, and that</w:t>
      </w:r>
      <w:r w:rsidR="006D61C8" w:rsidRPr="00CE5DC3">
        <w:rPr>
          <w:rFonts w:asciiTheme="minorHAnsi" w:hAnsiTheme="minorHAnsi" w:cstheme="minorHAnsi"/>
        </w:rPr>
        <w:t xml:space="preserve"> Indigenous women and girls make up a disproportionate number of those involved.</w:t>
      </w:r>
      <w:r w:rsidR="00A9269A">
        <w:rPr>
          <w:rStyle w:val="EndnoteReference"/>
          <w:rFonts w:asciiTheme="minorHAnsi" w:hAnsiTheme="minorHAnsi" w:cstheme="minorHAnsi"/>
        </w:rPr>
        <w:endnoteReference w:id="6"/>
      </w:r>
      <w:r w:rsidR="00A9269A" w:rsidRPr="0071305F">
        <w:rPr>
          <w:rFonts w:asciiTheme="minorHAnsi" w:hAnsiTheme="minorHAnsi" w:cstheme="minorHAnsi"/>
        </w:rPr>
        <w:t xml:space="preserve"> </w:t>
      </w:r>
    </w:p>
    <w:p w14:paraId="115F5DE6" w14:textId="77777777" w:rsidR="00607808" w:rsidRDefault="00607808" w:rsidP="00607808">
      <w:pPr>
        <w:pStyle w:val="NormalWeb"/>
        <w:spacing w:before="0" w:beforeAutospacing="0" w:after="0" w:afterAutospacing="0"/>
        <w:rPr>
          <w:rFonts w:asciiTheme="minorHAnsi" w:hAnsiTheme="minorHAnsi" w:cstheme="minorHAnsi"/>
        </w:rPr>
      </w:pPr>
    </w:p>
    <w:p w14:paraId="21F3A10B" w14:textId="06110BFE" w:rsidR="00A9269A" w:rsidRPr="00741F35" w:rsidRDefault="00097ADD" w:rsidP="00CA4D3D">
      <w:pPr>
        <w:pStyle w:val="ListParagraph"/>
        <w:spacing w:before="0" w:beforeAutospacing="0" w:after="0" w:afterAutospacing="0"/>
        <w:rPr>
          <w:rFonts w:asciiTheme="minorHAnsi" w:hAnsiTheme="minorHAnsi" w:cstheme="minorHAnsi"/>
          <w:color w:val="000000"/>
        </w:rPr>
      </w:pPr>
      <w:r>
        <w:rPr>
          <w:rFonts w:asciiTheme="minorHAnsi" w:hAnsiTheme="minorHAnsi" w:cstheme="minorHAnsi"/>
        </w:rPr>
        <w:lastRenderedPageBreak/>
        <w:t>T</w:t>
      </w:r>
      <w:r>
        <w:rPr>
          <w:rFonts w:asciiTheme="minorHAnsi" w:hAnsiTheme="minorHAnsi" w:cstheme="minorHAnsi"/>
          <w:color w:val="000000"/>
        </w:rPr>
        <w:t>h</w:t>
      </w:r>
      <w:r w:rsidR="00AF7627" w:rsidRPr="00CE5DC3">
        <w:rPr>
          <w:rFonts w:asciiTheme="minorHAnsi" w:hAnsiTheme="minorHAnsi" w:cstheme="minorHAnsi"/>
          <w:color w:val="000000"/>
        </w:rPr>
        <w:t xml:space="preserve">e Manitoba Court of Appeal </w:t>
      </w:r>
      <w:r w:rsidR="00CB6002" w:rsidRPr="00CE5DC3">
        <w:rPr>
          <w:rFonts w:asciiTheme="minorHAnsi" w:hAnsiTheme="minorHAnsi" w:cstheme="minorHAnsi"/>
          <w:color w:val="000000"/>
        </w:rPr>
        <w:t xml:space="preserve">in </w:t>
      </w:r>
      <w:r w:rsidR="00EE4E8B" w:rsidRPr="00CE5DC3">
        <w:rPr>
          <w:rFonts w:asciiTheme="minorHAnsi" w:hAnsiTheme="minorHAnsi" w:cstheme="minorHAnsi"/>
          <w:i/>
          <w:iCs/>
          <w:color w:val="000000"/>
        </w:rPr>
        <w:t>R v</w:t>
      </w:r>
      <w:r w:rsidR="00EE4E8B" w:rsidRPr="00CE5DC3">
        <w:rPr>
          <w:rFonts w:asciiTheme="minorHAnsi" w:hAnsiTheme="minorHAnsi" w:cstheme="minorHAnsi"/>
          <w:color w:val="000000"/>
        </w:rPr>
        <w:t xml:space="preserve"> </w:t>
      </w:r>
      <w:r w:rsidR="00AF7627" w:rsidRPr="00CE5DC3">
        <w:rPr>
          <w:rFonts w:asciiTheme="minorHAnsi" w:hAnsiTheme="minorHAnsi" w:cstheme="minorHAnsi"/>
          <w:i/>
          <w:iCs/>
          <w:color w:val="000000"/>
        </w:rPr>
        <w:t>Alcorn</w:t>
      </w:r>
      <w:r w:rsidR="00AF7627" w:rsidRPr="00CE5DC3">
        <w:rPr>
          <w:rFonts w:asciiTheme="minorHAnsi" w:hAnsiTheme="minorHAnsi" w:cstheme="minorHAnsi"/>
          <w:color w:val="000000"/>
        </w:rPr>
        <w:t xml:space="preserve"> (2021)</w:t>
      </w:r>
      <w:r>
        <w:rPr>
          <w:rFonts w:asciiTheme="minorHAnsi" w:hAnsiTheme="minorHAnsi" w:cstheme="minorHAnsi"/>
          <w:color w:val="000000"/>
        </w:rPr>
        <w:t xml:space="preserve"> stated that </w:t>
      </w:r>
      <w:r w:rsidR="00B8218A">
        <w:rPr>
          <w:rFonts w:asciiTheme="minorHAnsi" w:hAnsiTheme="minorHAnsi" w:cstheme="minorHAnsi"/>
          <w:color w:val="000000"/>
        </w:rPr>
        <w:t>m</w:t>
      </w:r>
      <w:r w:rsidR="003112BB" w:rsidRPr="00CE5DC3">
        <w:rPr>
          <w:rFonts w:asciiTheme="minorHAnsi" w:hAnsiTheme="minorHAnsi" w:cstheme="minorHAnsi"/>
          <w:color w:val="000000"/>
        </w:rPr>
        <w:t xml:space="preserve">ore than 70% of </w:t>
      </w:r>
      <w:r w:rsidR="00BC74DF">
        <w:rPr>
          <w:rFonts w:asciiTheme="minorHAnsi" w:hAnsiTheme="minorHAnsi" w:cstheme="minorHAnsi"/>
          <w:color w:val="000000"/>
        </w:rPr>
        <w:t xml:space="preserve">commercially sexually exploited </w:t>
      </w:r>
      <w:r w:rsidR="003112BB" w:rsidRPr="00CE5DC3">
        <w:rPr>
          <w:rFonts w:asciiTheme="minorHAnsi" w:hAnsiTheme="minorHAnsi" w:cstheme="minorHAnsi"/>
          <w:color w:val="000000"/>
        </w:rPr>
        <w:t>children in Manitoba are Indigenous</w:t>
      </w:r>
      <w:r w:rsidR="00741F35">
        <w:rPr>
          <w:rFonts w:asciiTheme="minorHAnsi" w:hAnsiTheme="minorHAnsi" w:cstheme="minorHAnsi"/>
          <w:color w:val="000000"/>
        </w:rPr>
        <w:t>.</w:t>
      </w:r>
      <w:r w:rsidR="00A9269A" w:rsidRPr="00CE5DC3">
        <w:rPr>
          <w:rStyle w:val="EndnoteReference"/>
          <w:rFonts w:asciiTheme="minorHAnsi" w:hAnsiTheme="minorHAnsi" w:cstheme="minorHAnsi"/>
          <w:color w:val="000000"/>
        </w:rPr>
        <w:endnoteReference w:id="7"/>
      </w:r>
      <w:r w:rsidR="00A9269A" w:rsidRPr="00CE5DC3">
        <w:rPr>
          <w:rFonts w:asciiTheme="minorHAnsi" w:hAnsiTheme="minorHAnsi" w:cstheme="minorHAnsi"/>
          <w:color w:val="000000"/>
        </w:rPr>
        <w:t xml:space="preserve"> </w:t>
      </w:r>
      <w:r w:rsidR="00A9269A">
        <w:rPr>
          <w:rFonts w:asciiTheme="minorHAnsi" w:hAnsiTheme="minorHAnsi" w:cstheme="minorHAnsi"/>
          <w:color w:val="000000"/>
        </w:rPr>
        <w:t>T</w:t>
      </w:r>
      <w:r w:rsidR="00A9269A" w:rsidRPr="00CE5DC3">
        <w:rPr>
          <w:rFonts w:asciiTheme="minorHAnsi" w:hAnsiTheme="minorHAnsi" w:cstheme="minorHAnsi"/>
          <w:color w:val="000000"/>
        </w:rPr>
        <w:t>he M</w:t>
      </w:r>
      <w:r w:rsidR="00A9269A">
        <w:rPr>
          <w:rFonts w:asciiTheme="minorHAnsi" w:hAnsiTheme="minorHAnsi" w:cstheme="minorHAnsi"/>
          <w:color w:val="000000"/>
        </w:rPr>
        <w:t>anitoba</w:t>
      </w:r>
      <w:r w:rsidR="00A9269A" w:rsidRPr="00CE5DC3">
        <w:rPr>
          <w:rFonts w:asciiTheme="minorHAnsi" w:hAnsiTheme="minorHAnsi" w:cstheme="minorHAnsi"/>
          <w:color w:val="000000"/>
        </w:rPr>
        <w:t xml:space="preserve"> Provincial Court in </w:t>
      </w:r>
      <w:r w:rsidR="00A9269A" w:rsidRPr="00CE5DC3">
        <w:rPr>
          <w:rFonts w:asciiTheme="minorHAnsi" w:hAnsiTheme="minorHAnsi" w:cstheme="minorHAnsi"/>
          <w:i/>
          <w:iCs/>
          <w:color w:val="000000"/>
        </w:rPr>
        <w:t xml:space="preserve">R v </w:t>
      </w:r>
      <w:proofErr w:type="spellStart"/>
      <w:r w:rsidR="00A9269A" w:rsidRPr="00CE5DC3">
        <w:rPr>
          <w:rFonts w:asciiTheme="minorHAnsi" w:hAnsiTheme="minorHAnsi" w:cstheme="minorHAnsi"/>
          <w:i/>
          <w:iCs/>
          <w:color w:val="000000"/>
        </w:rPr>
        <w:t>Gudmandson</w:t>
      </w:r>
      <w:proofErr w:type="spellEnd"/>
      <w:r w:rsidR="00A9269A">
        <w:rPr>
          <w:rFonts w:asciiTheme="minorHAnsi" w:hAnsiTheme="minorHAnsi" w:cstheme="minorHAnsi"/>
          <w:color w:val="000000"/>
        </w:rPr>
        <w:t xml:space="preserve"> (</w:t>
      </w:r>
      <w:r w:rsidR="00A9269A" w:rsidRPr="00CE5DC3">
        <w:rPr>
          <w:rFonts w:asciiTheme="minorHAnsi" w:hAnsiTheme="minorHAnsi" w:cstheme="minorHAnsi"/>
          <w:color w:val="000000"/>
        </w:rPr>
        <w:t>2018</w:t>
      </w:r>
      <w:r w:rsidR="00A9269A">
        <w:rPr>
          <w:rFonts w:asciiTheme="minorHAnsi" w:hAnsiTheme="minorHAnsi" w:cstheme="minorHAnsi"/>
          <w:color w:val="000000"/>
        </w:rPr>
        <w:t xml:space="preserve">) described the profile of women and girls affected by prostitution in Winnipeg: </w:t>
      </w:r>
    </w:p>
    <w:p w14:paraId="02F2CD67" w14:textId="423BADAB" w:rsidR="00A9269A" w:rsidRPr="00CE5DC3" w:rsidRDefault="00A9269A" w:rsidP="00CA4D3D">
      <w:pPr>
        <w:ind w:left="720"/>
        <w:rPr>
          <w:rFonts w:eastAsia="Times New Roman" w:cstheme="minorHAnsi"/>
          <w:color w:val="000000"/>
        </w:rPr>
      </w:pPr>
      <w:r>
        <w:rPr>
          <w:rFonts w:eastAsia="Times New Roman" w:cstheme="minorHAnsi"/>
          <w:color w:val="000000"/>
        </w:rPr>
        <w:t>“</w:t>
      </w:r>
      <w:r w:rsidRPr="00417345">
        <w:rPr>
          <w:rFonts w:eastAsia="Times New Roman" w:cstheme="minorHAnsi"/>
          <w:color w:val="000000"/>
        </w:rPr>
        <w:t>The average age of entry to the sex trade was age 13. The average length of time in the sex trade is five or more years. </w:t>
      </w:r>
      <w:r>
        <w:rPr>
          <w:rFonts w:eastAsia="Times New Roman" w:cstheme="minorHAnsi"/>
          <w:color w:val="000000"/>
        </w:rPr>
        <w:t>….</w:t>
      </w:r>
      <w:r w:rsidRPr="00417345">
        <w:rPr>
          <w:rFonts w:eastAsia="Times New Roman" w:cstheme="minorHAnsi"/>
          <w:color w:val="000000"/>
        </w:rPr>
        <w:t xml:space="preserve"> Eighty-nine percent of the girls were of Indigenous background.  Seventy-four percent of them were involved with Child and Family Services.  They had an average of 6.5 placements.  </w:t>
      </w:r>
      <w:r>
        <w:rPr>
          <w:rFonts w:eastAsia="Times New Roman" w:cstheme="minorHAnsi"/>
          <w:color w:val="000000"/>
        </w:rPr>
        <w:t xml:space="preserve"> …”</w:t>
      </w:r>
      <w:r>
        <w:rPr>
          <w:rStyle w:val="EndnoteReference"/>
          <w:rFonts w:eastAsia="Times New Roman" w:cstheme="minorHAnsi"/>
          <w:color w:val="000000"/>
        </w:rPr>
        <w:endnoteReference w:id="8"/>
      </w:r>
      <w:r w:rsidRPr="00417345">
        <w:rPr>
          <w:rFonts w:eastAsia="Times New Roman" w:cstheme="minorHAnsi"/>
          <w:color w:val="000000"/>
        </w:rPr>
        <w:t xml:space="preserve">  </w:t>
      </w:r>
    </w:p>
    <w:p w14:paraId="37C4237F" w14:textId="77777777" w:rsidR="00A9269A" w:rsidRDefault="00A9269A" w:rsidP="00607808">
      <w:pPr>
        <w:rPr>
          <w:rFonts w:cstheme="minorHAnsi"/>
          <w:color w:val="000000"/>
        </w:rPr>
      </w:pPr>
    </w:p>
    <w:p w14:paraId="0366988E" w14:textId="2D368E4C" w:rsidR="00A9269A" w:rsidRPr="00BC74DF" w:rsidRDefault="00A9269A" w:rsidP="00CA4D3D">
      <w:pPr>
        <w:rPr>
          <w:rFonts w:cstheme="minorHAnsi"/>
          <w:color w:val="000000"/>
        </w:rPr>
      </w:pPr>
      <w:r>
        <w:rPr>
          <w:rFonts w:cstheme="minorHAnsi"/>
          <w:color w:val="000000"/>
        </w:rPr>
        <w:t xml:space="preserve">The </w:t>
      </w:r>
      <w:proofErr w:type="spellStart"/>
      <w:r w:rsidRPr="00BC74DF">
        <w:rPr>
          <w:rFonts w:cstheme="minorHAnsi"/>
          <w:i/>
          <w:iCs/>
          <w:color w:val="000000"/>
        </w:rPr>
        <w:t>Gudmandson</w:t>
      </w:r>
      <w:proofErr w:type="spellEnd"/>
      <w:r>
        <w:rPr>
          <w:rFonts w:cstheme="minorHAnsi"/>
          <w:color w:val="000000"/>
        </w:rPr>
        <w:t xml:space="preserve"> decision also stated:</w:t>
      </w:r>
    </w:p>
    <w:p w14:paraId="0C82C8A9" w14:textId="6C250DB1" w:rsidR="00A9269A" w:rsidRPr="00CE5DC3" w:rsidRDefault="00A9269A" w:rsidP="00CA4D3D">
      <w:pPr>
        <w:pStyle w:val="ListParagraph"/>
        <w:spacing w:before="0" w:beforeAutospacing="0" w:after="0" w:afterAutospacing="0"/>
        <w:ind w:left="720"/>
        <w:rPr>
          <w:rFonts w:asciiTheme="minorHAnsi" w:hAnsiTheme="minorHAnsi" w:cstheme="minorHAnsi"/>
          <w:color w:val="000000"/>
        </w:rPr>
      </w:pPr>
      <w:r w:rsidRPr="00CE5DC3">
        <w:rPr>
          <w:rFonts w:asciiTheme="minorHAnsi" w:hAnsiTheme="minorHAnsi" w:cstheme="minorHAnsi"/>
          <w:color w:val="000000"/>
        </w:rPr>
        <w:t xml:space="preserve">The reasons that youths and women became involved in the sex trade in Winnipeg </w:t>
      </w:r>
      <w:proofErr w:type="gramStart"/>
      <w:r w:rsidRPr="00CE5DC3">
        <w:rPr>
          <w:rFonts w:asciiTheme="minorHAnsi" w:hAnsiTheme="minorHAnsi" w:cstheme="minorHAnsi"/>
          <w:color w:val="000000"/>
        </w:rPr>
        <w:t>were:</w:t>
      </w:r>
      <w:proofErr w:type="gramEnd"/>
      <w:r w:rsidRPr="00CE5DC3">
        <w:rPr>
          <w:rFonts w:asciiTheme="minorHAnsi" w:hAnsiTheme="minorHAnsi" w:cstheme="minorHAnsi"/>
          <w:color w:val="000000"/>
        </w:rPr>
        <w:t xml:space="preserve"> early child sexual abuse/exploitation, failure to be protected as children, dysfunctional home life filled with conflict, involvement with child protection, and the additional legacy of the residential school system.</w:t>
      </w:r>
      <w:r>
        <w:rPr>
          <w:rStyle w:val="EndnoteReference"/>
          <w:rFonts w:asciiTheme="minorHAnsi" w:hAnsiTheme="minorHAnsi" w:cstheme="minorHAnsi"/>
          <w:color w:val="000000"/>
        </w:rPr>
        <w:endnoteReference w:id="9"/>
      </w:r>
    </w:p>
    <w:p w14:paraId="22929F88" w14:textId="77777777" w:rsidR="00A9269A" w:rsidRDefault="00A9269A" w:rsidP="00607808">
      <w:pPr>
        <w:pStyle w:val="NormalWeb"/>
        <w:spacing w:before="0" w:beforeAutospacing="0" w:after="0" w:afterAutospacing="0"/>
        <w:rPr>
          <w:rFonts w:cstheme="minorHAnsi"/>
          <w:b/>
          <w:bCs/>
        </w:rPr>
      </w:pPr>
    </w:p>
    <w:p w14:paraId="2CC7FD47" w14:textId="3EDF1480" w:rsidR="00A9269A" w:rsidRPr="00CA4D3D" w:rsidRDefault="00A9269A" w:rsidP="00F42B7D">
      <w:pPr>
        <w:pStyle w:val="NormalWeb"/>
        <w:spacing w:before="0" w:beforeAutospacing="0" w:after="0" w:afterAutospacing="0"/>
        <w:rPr>
          <w:rFonts w:asciiTheme="minorHAnsi" w:hAnsiTheme="minorHAnsi" w:cstheme="minorHAnsi"/>
        </w:rPr>
      </w:pPr>
      <w:r w:rsidRPr="00CA4D3D">
        <w:rPr>
          <w:rFonts w:asciiTheme="minorHAnsi" w:hAnsiTheme="minorHAnsi" w:cstheme="minorHAnsi"/>
          <w:b/>
          <w:bCs/>
        </w:rPr>
        <w:t>Q.5</w:t>
      </w:r>
    </w:p>
    <w:p w14:paraId="78438754" w14:textId="0A46722B" w:rsidR="00A9269A" w:rsidRPr="00EC10C8" w:rsidRDefault="00A9269A" w:rsidP="00F42B7D">
      <w:pPr>
        <w:pStyle w:val="NormalWeb"/>
        <w:spacing w:before="0" w:beforeAutospacing="0" w:after="0" w:afterAutospacing="0"/>
        <w:rPr>
          <w:rFonts w:cstheme="minorHAnsi"/>
        </w:rPr>
      </w:pPr>
      <w:r w:rsidRPr="00CA4D3D">
        <w:rPr>
          <w:rFonts w:asciiTheme="minorHAnsi" w:hAnsiTheme="minorHAnsi" w:cstheme="minorHAnsi"/>
        </w:rPr>
        <w:t xml:space="preserve">The </w:t>
      </w:r>
      <w:r w:rsidRPr="00CA4D3D">
        <w:rPr>
          <w:rFonts w:asciiTheme="minorHAnsi" w:hAnsiTheme="minorHAnsi" w:cstheme="minorHAnsi"/>
          <w:i/>
          <w:iCs/>
        </w:rPr>
        <w:t>CASWLR</w:t>
      </w:r>
      <w:r w:rsidRPr="00CA4D3D">
        <w:rPr>
          <w:rFonts w:asciiTheme="minorHAnsi" w:hAnsiTheme="minorHAnsi" w:cstheme="minorHAnsi"/>
        </w:rPr>
        <w:t xml:space="preserve"> decision states that “violence is a feature, not a bug of sex work. It comes in various guises and forms and is perpetrated by customers, exploiters, traffickers, and occasionally by other sex workers. Regrettably, sometimes it may also be perpetrated by police officers.”</w:t>
      </w:r>
      <w:r w:rsidRPr="00CA4D3D">
        <w:rPr>
          <w:rStyle w:val="EndnoteReference"/>
          <w:rFonts w:asciiTheme="minorHAnsi" w:hAnsiTheme="minorHAnsi" w:cstheme="minorHAnsi"/>
        </w:rPr>
        <w:endnoteReference w:id="10"/>
      </w:r>
    </w:p>
    <w:p w14:paraId="3E37AB42" w14:textId="77777777" w:rsidR="007001A4" w:rsidRDefault="007001A4" w:rsidP="00607808">
      <w:pPr>
        <w:rPr>
          <w:rFonts w:cstheme="minorHAnsi"/>
        </w:rPr>
      </w:pPr>
    </w:p>
    <w:p w14:paraId="1FD5D28A" w14:textId="7DD06174" w:rsidR="00097ADD" w:rsidRDefault="00097ADD" w:rsidP="00607808">
      <w:pPr>
        <w:rPr>
          <w:rFonts w:cstheme="minorHAnsi"/>
        </w:rPr>
      </w:pPr>
      <w:r>
        <w:rPr>
          <w:rFonts w:cstheme="minorHAnsi"/>
        </w:rPr>
        <w:t xml:space="preserve">Survivors of prostitution tell us they experience violence from buyers, </w:t>
      </w:r>
      <w:proofErr w:type="gramStart"/>
      <w:r>
        <w:rPr>
          <w:rFonts w:cstheme="minorHAnsi"/>
        </w:rPr>
        <w:t>pimps</w:t>
      </w:r>
      <w:proofErr w:type="gramEnd"/>
      <w:r>
        <w:rPr>
          <w:rFonts w:cstheme="minorHAnsi"/>
        </w:rPr>
        <w:t xml:space="preserve"> and traffickers</w:t>
      </w:r>
      <w:r w:rsidR="00BF1CB1">
        <w:rPr>
          <w:rFonts w:cstheme="minorHAnsi"/>
        </w:rPr>
        <w:t>, and that where there is prostitution, there is violence</w:t>
      </w:r>
      <w:r w:rsidR="005830C2">
        <w:rPr>
          <w:rFonts w:cstheme="minorHAnsi"/>
        </w:rPr>
        <w:t>. This violence can be sexual, physical, or psychological</w:t>
      </w:r>
      <w:r w:rsidR="00BF1CB1">
        <w:rPr>
          <w:rFonts w:cstheme="minorHAnsi"/>
        </w:rPr>
        <w:t>. The s</w:t>
      </w:r>
      <w:r>
        <w:rPr>
          <w:rFonts w:cstheme="minorHAnsi"/>
        </w:rPr>
        <w:t xml:space="preserve">ystem of prostitution is inherently violent and exploitive, and we don’t believe that violence can be reduced to acceptable levels. </w:t>
      </w:r>
    </w:p>
    <w:p w14:paraId="4AB0B1DF" w14:textId="77777777" w:rsidR="00BC74DF" w:rsidRDefault="00BC74DF" w:rsidP="00607808">
      <w:pPr>
        <w:rPr>
          <w:rFonts w:cstheme="minorHAnsi"/>
        </w:rPr>
      </w:pPr>
    </w:p>
    <w:p w14:paraId="41B0CC41" w14:textId="690A8505" w:rsidR="002F6005" w:rsidRPr="00EC7F0B" w:rsidRDefault="00BC74DF" w:rsidP="00CA4D3D">
      <w:pPr>
        <w:pStyle w:val="NormalWeb"/>
        <w:spacing w:before="0" w:beforeAutospacing="0" w:after="0" w:afterAutospacing="0"/>
        <w:rPr>
          <w:rFonts w:asciiTheme="minorHAnsi" w:hAnsiTheme="minorHAnsi" w:cstheme="minorHAnsi"/>
          <w:b/>
          <w:bCs/>
          <w:color w:val="000000" w:themeColor="text1"/>
        </w:rPr>
      </w:pPr>
      <w:r w:rsidRPr="00EC7F0B">
        <w:rPr>
          <w:rFonts w:asciiTheme="minorHAnsi" w:hAnsiTheme="minorHAnsi" w:cstheme="minorHAnsi"/>
          <w:b/>
          <w:bCs/>
          <w:color w:val="000000" w:themeColor="text1"/>
        </w:rPr>
        <w:t>Q.6</w:t>
      </w:r>
      <w:r w:rsidR="002F6005" w:rsidRPr="00EC7F0B">
        <w:rPr>
          <w:rFonts w:asciiTheme="minorHAnsi" w:hAnsiTheme="minorHAnsi" w:cstheme="minorHAnsi"/>
          <w:b/>
          <w:bCs/>
          <w:color w:val="000000" w:themeColor="text1"/>
        </w:rPr>
        <w:t xml:space="preserve"> </w:t>
      </w:r>
    </w:p>
    <w:p w14:paraId="0ADE124A" w14:textId="6248945A" w:rsidR="0011747A" w:rsidRPr="00CE5DC3" w:rsidRDefault="00E877A5" w:rsidP="00607808">
      <w:pPr>
        <w:rPr>
          <w:rFonts w:cstheme="minorHAnsi"/>
        </w:rPr>
      </w:pPr>
      <w:r>
        <w:rPr>
          <w:rFonts w:cstheme="minorHAnsi"/>
        </w:rPr>
        <w:t>The exploitation of women and girls in prostitution is a</w:t>
      </w:r>
      <w:r w:rsidR="00F42B7D">
        <w:rPr>
          <w:rFonts w:cstheme="minorHAnsi"/>
        </w:rPr>
        <w:t xml:space="preserve"> significant form of systemic violence against women. It is a grave violation of</w:t>
      </w:r>
      <w:r w:rsidR="0011747A" w:rsidRPr="00CE5DC3">
        <w:rPr>
          <w:rFonts w:cstheme="minorHAnsi"/>
        </w:rPr>
        <w:t xml:space="preserve"> the rights of women and children to live free from violence</w:t>
      </w:r>
      <w:r>
        <w:rPr>
          <w:rFonts w:cstheme="minorHAnsi"/>
        </w:rPr>
        <w:t>,</w:t>
      </w:r>
      <w:r w:rsidR="00F42B7D">
        <w:rPr>
          <w:rFonts w:cstheme="minorHAnsi"/>
        </w:rPr>
        <w:t xml:space="preserve"> and a</w:t>
      </w:r>
      <w:r w:rsidR="00F42B7D" w:rsidRPr="00CE5DC3">
        <w:rPr>
          <w:rFonts w:cstheme="minorHAnsi"/>
        </w:rPr>
        <w:t xml:space="preserve"> </w:t>
      </w:r>
      <w:r w:rsidR="0011747A" w:rsidRPr="00CE5DC3">
        <w:rPr>
          <w:rFonts w:cstheme="minorHAnsi"/>
        </w:rPr>
        <w:t>fundamental barrier to women’s equality.</w:t>
      </w:r>
    </w:p>
    <w:p w14:paraId="5B5145B2" w14:textId="77777777" w:rsidR="00BC74DF" w:rsidRPr="00CA4D3D" w:rsidRDefault="00BC74DF" w:rsidP="00607808">
      <w:pPr>
        <w:pStyle w:val="NormalWeb"/>
        <w:spacing w:before="0" w:beforeAutospacing="0" w:after="0" w:afterAutospacing="0"/>
        <w:rPr>
          <w:rFonts w:asciiTheme="minorHAnsi" w:hAnsiTheme="minorHAnsi" w:cstheme="minorHAnsi"/>
          <w:b/>
          <w:bCs/>
          <w:color w:val="000000" w:themeColor="text1"/>
        </w:rPr>
      </w:pPr>
    </w:p>
    <w:p w14:paraId="3698A870" w14:textId="6C9FB1D6" w:rsidR="002F6005" w:rsidRPr="00CA4D3D" w:rsidRDefault="00BC74DF" w:rsidP="00CA4D3D">
      <w:pPr>
        <w:pStyle w:val="NormalWeb"/>
        <w:spacing w:before="0" w:beforeAutospacing="0" w:after="0" w:afterAutospacing="0"/>
        <w:rPr>
          <w:rFonts w:asciiTheme="minorHAnsi" w:hAnsiTheme="minorHAnsi" w:cstheme="minorHAnsi"/>
          <w:b/>
          <w:bCs/>
          <w:color w:val="000000" w:themeColor="text1"/>
        </w:rPr>
      </w:pPr>
      <w:r w:rsidRPr="00CA4D3D">
        <w:rPr>
          <w:rFonts w:asciiTheme="minorHAnsi" w:hAnsiTheme="minorHAnsi" w:cstheme="minorHAnsi"/>
          <w:b/>
          <w:bCs/>
          <w:color w:val="000000" w:themeColor="text1"/>
        </w:rPr>
        <w:t>Q.7</w:t>
      </w:r>
      <w:r w:rsidR="002F6005" w:rsidRPr="00CA4D3D">
        <w:rPr>
          <w:rFonts w:asciiTheme="minorHAnsi" w:hAnsiTheme="minorHAnsi" w:cstheme="minorHAnsi"/>
          <w:b/>
          <w:bCs/>
          <w:color w:val="000000" w:themeColor="text1"/>
        </w:rPr>
        <w:t xml:space="preserve"> </w:t>
      </w:r>
    </w:p>
    <w:p w14:paraId="0352F574" w14:textId="7974FA6C" w:rsidR="00CF755F" w:rsidRDefault="00CF755F" w:rsidP="00607808">
      <w:pPr>
        <w:pStyle w:val="NormalWeb"/>
        <w:spacing w:before="0" w:beforeAutospacing="0" w:after="0" w:afterAutospacing="0"/>
        <w:rPr>
          <w:rFonts w:asciiTheme="minorHAnsi" w:hAnsiTheme="minorHAnsi" w:cstheme="minorHAnsi"/>
        </w:rPr>
      </w:pPr>
      <w:r w:rsidRPr="00CE5DC3">
        <w:rPr>
          <w:rFonts w:asciiTheme="minorHAnsi" w:hAnsiTheme="minorHAnsi" w:cstheme="minorHAnsi"/>
        </w:rPr>
        <w:t>Sex trafficking, prostitution and pornography are inextricably linked. None of these exists in isolation from the others. Pornography fuels the demand for paid sex, which funnels women into prostitution and fuels sex trafficking.</w:t>
      </w:r>
    </w:p>
    <w:p w14:paraId="39578A4B" w14:textId="77777777" w:rsidR="00BC74DF" w:rsidRDefault="00BC74DF" w:rsidP="00CA4D3D">
      <w:pPr>
        <w:pStyle w:val="NormalWeb"/>
        <w:spacing w:before="0" w:beforeAutospacing="0" w:after="0" w:afterAutospacing="0"/>
        <w:rPr>
          <w:rFonts w:asciiTheme="minorHAnsi" w:hAnsiTheme="minorHAnsi" w:cstheme="minorHAnsi"/>
        </w:rPr>
      </w:pPr>
    </w:p>
    <w:p w14:paraId="37E860B1" w14:textId="7570DD35" w:rsidR="00CA6313" w:rsidRDefault="00224AB4" w:rsidP="00CA4D3D">
      <w:pPr>
        <w:pStyle w:val="NormalWeb"/>
        <w:spacing w:before="0" w:beforeAutospacing="0" w:after="0" w:afterAutospacing="0"/>
        <w:rPr>
          <w:rFonts w:asciiTheme="minorHAnsi" w:hAnsiTheme="minorHAnsi" w:cstheme="minorHAnsi"/>
        </w:rPr>
      </w:pPr>
      <w:r>
        <w:rPr>
          <w:rFonts w:asciiTheme="minorHAnsi" w:hAnsiTheme="minorHAnsi" w:cstheme="minorHAnsi"/>
        </w:rPr>
        <w:t>I</w:t>
      </w:r>
      <w:r w:rsidR="00B92119" w:rsidRPr="00CE5DC3">
        <w:rPr>
          <w:rFonts w:asciiTheme="minorHAnsi" w:hAnsiTheme="minorHAnsi" w:cstheme="minorHAnsi"/>
        </w:rPr>
        <w:t xml:space="preserve">n Canada, it </w:t>
      </w:r>
      <w:r w:rsidR="00A8133A">
        <w:rPr>
          <w:rFonts w:asciiTheme="minorHAnsi" w:hAnsiTheme="minorHAnsi" w:cstheme="minorHAnsi"/>
        </w:rPr>
        <w:t>is</w:t>
      </w:r>
      <w:r w:rsidR="00B92119" w:rsidRPr="00CE5DC3">
        <w:rPr>
          <w:rFonts w:asciiTheme="minorHAnsi" w:hAnsiTheme="minorHAnsi" w:cstheme="minorHAnsi"/>
        </w:rPr>
        <w:t xml:space="preserve"> primarily Canadian women and girls who are trafficked, and they are being trafficked into the commercial sex trade</w:t>
      </w:r>
      <w:r w:rsidR="00B92119" w:rsidRPr="00EE35C7">
        <w:rPr>
          <w:rFonts w:asciiTheme="minorHAnsi" w:hAnsiTheme="minorHAnsi" w:cstheme="minorHAnsi"/>
        </w:rPr>
        <w:t>.</w:t>
      </w:r>
      <w:r w:rsidR="00CA6313" w:rsidRPr="00F42B7D">
        <w:rPr>
          <w:rStyle w:val="EndnoteReference"/>
          <w:rFonts w:asciiTheme="minorHAnsi" w:hAnsiTheme="minorHAnsi" w:cstheme="minorHAnsi"/>
        </w:rPr>
        <w:endnoteReference w:id="11"/>
      </w:r>
      <w:r w:rsidR="00CA6313" w:rsidRPr="00CE5DC3">
        <w:rPr>
          <w:rFonts w:asciiTheme="minorHAnsi" w:hAnsiTheme="minorHAnsi" w:cstheme="minorHAnsi"/>
        </w:rPr>
        <w:t xml:space="preserve"> Prostitution is the most common end point for trafficking in Canada.</w:t>
      </w:r>
    </w:p>
    <w:p w14:paraId="7F88B226" w14:textId="77777777" w:rsidR="00CA6313" w:rsidRDefault="00CA6313" w:rsidP="00607808">
      <w:pPr>
        <w:pStyle w:val="NormalWeb"/>
        <w:spacing w:before="0" w:beforeAutospacing="0" w:after="0" w:afterAutospacing="0"/>
        <w:rPr>
          <w:rFonts w:asciiTheme="minorHAnsi" w:hAnsiTheme="minorHAnsi" w:cstheme="minorHAnsi"/>
        </w:rPr>
      </w:pPr>
    </w:p>
    <w:p w14:paraId="03FD05F0" w14:textId="120C7436" w:rsidR="00CA6313" w:rsidRPr="00F42B7D" w:rsidRDefault="00CA6313" w:rsidP="00CA4D3D">
      <w:pPr>
        <w:pStyle w:val="NormalWeb"/>
        <w:spacing w:before="0" w:beforeAutospacing="0" w:after="0" w:afterAutospacing="0"/>
        <w:rPr>
          <w:rFonts w:asciiTheme="minorHAnsi" w:hAnsiTheme="minorHAnsi" w:cstheme="minorHAnsi"/>
          <w:strike/>
        </w:rPr>
      </w:pPr>
      <w:r w:rsidRPr="00CE5DC3">
        <w:rPr>
          <w:rFonts w:asciiTheme="minorHAnsi" w:hAnsiTheme="minorHAnsi" w:cstheme="minorHAnsi"/>
        </w:rPr>
        <w:t>Pornography is the root of many other forms of sexual exploitation. Mainstream pornography is characterized by violence and the degradation and humiliation of women. Men who view pornography are more likely to hold a callous and adversarial view of sex</w:t>
      </w:r>
      <w:r>
        <w:rPr>
          <w:rFonts w:asciiTheme="minorHAnsi" w:hAnsiTheme="minorHAnsi" w:cstheme="minorHAnsi"/>
        </w:rPr>
        <w:t>,</w:t>
      </w:r>
      <w:r w:rsidRPr="00CE5DC3">
        <w:rPr>
          <w:rFonts w:asciiTheme="minorHAnsi" w:hAnsiTheme="minorHAnsi" w:cstheme="minorHAnsi"/>
        </w:rPr>
        <w:t xml:space="preserve"> be more accepting of sexual violence</w:t>
      </w:r>
      <w:r>
        <w:rPr>
          <w:rFonts w:asciiTheme="minorHAnsi" w:hAnsiTheme="minorHAnsi" w:cstheme="minorHAnsi"/>
        </w:rPr>
        <w:t>,</w:t>
      </w:r>
      <w:r w:rsidRPr="00CE5DC3">
        <w:rPr>
          <w:rFonts w:asciiTheme="minorHAnsi" w:hAnsiTheme="minorHAnsi" w:cstheme="minorHAnsi"/>
        </w:rPr>
        <w:t xml:space="preserve"> see women as sexual objects</w:t>
      </w:r>
      <w:r>
        <w:rPr>
          <w:rFonts w:asciiTheme="minorHAnsi" w:hAnsiTheme="minorHAnsi" w:cstheme="minorHAnsi"/>
        </w:rPr>
        <w:t xml:space="preserve">, and </w:t>
      </w:r>
      <w:r w:rsidRPr="00CE5DC3">
        <w:rPr>
          <w:rFonts w:asciiTheme="minorHAnsi" w:hAnsiTheme="minorHAnsi" w:cstheme="minorHAnsi"/>
        </w:rPr>
        <w:t xml:space="preserve">coerce women to have sex. </w:t>
      </w:r>
    </w:p>
    <w:p w14:paraId="22BD2F99" w14:textId="3D398392" w:rsidR="00CA6313" w:rsidRPr="00CE5DC3" w:rsidRDefault="00CA6313" w:rsidP="00CA4D3D">
      <w:pPr>
        <w:pStyle w:val="NormalWeb"/>
        <w:spacing w:before="0" w:beforeAutospacing="0" w:after="0" w:afterAutospacing="0"/>
        <w:rPr>
          <w:rFonts w:asciiTheme="minorHAnsi" w:hAnsiTheme="minorHAnsi" w:cstheme="minorHAnsi"/>
        </w:rPr>
      </w:pPr>
      <w:r>
        <w:rPr>
          <w:rFonts w:asciiTheme="minorHAnsi" w:hAnsiTheme="minorHAnsi" w:cstheme="minorHAnsi"/>
        </w:rPr>
        <w:lastRenderedPageBreak/>
        <w:t xml:space="preserve">Law professor </w:t>
      </w:r>
      <w:r w:rsidRPr="00CE5DC3">
        <w:rPr>
          <w:rFonts w:asciiTheme="minorHAnsi" w:hAnsiTheme="minorHAnsi" w:cstheme="minorHAnsi"/>
        </w:rPr>
        <w:t xml:space="preserve">Janine </w:t>
      </w:r>
      <w:proofErr w:type="spellStart"/>
      <w:r w:rsidRPr="00CE5DC3">
        <w:rPr>
          <w:rFonts w:asciiTheme="minorHAnsi" w:hAnsiTheme="minorHAnsi" w:cstheme="minorHAnsi"/>
        </w:rPr>
        <w:t>Benedet</w:t>
      </w:r>
      <w:r>
        <w:rPr>
          <w:rFonts w:asciiTheme="minorHAnsi" w:hAnsiTheme="minorHAnsi" w:cstheme="minorHAnsi"/>
        </w:rPr>
        <w:t>’s</w:t>
      </w:r>
      <w:proofErr w:type="spellEnd"/>
      <w:r>
        <w:rPr>
          <w:rFonts w:asciiTheme="minorHAnsi" w:hAnsiTheme="minorHAnsi" w:cstheme="minorHAnsi"/>
        </w:rPr>
        <w:t xml:space="preserve"> brief to a parliamentary committee stated, </w:t>
      </w:r>
      <w:r w:rsidRPr="00CE5DC3">
        <w:rPr>
          <w:rFonts w:asciiTheme="minorHAnsi" w:hAnsiTheme="minorHAnsi" w:cstheme="minorHAnsi"/>
        </w:rPr>
        <w:t xml:space="preserve">“In a number of Canadian cases, pimps have also filmed the prostitution so that they can sell it to other </w:t>
      </w:r>
      <w:proofErr w:type="gramStart"/>
      <w:r w:rsidRPr="00CE5DC3">
        <w:rPr>
          <w:rFonts w:asciiTheme="minorHAnsi" w:hAnsiTheme="minorHAnsi" w:cstheme="minorHAnsi"/>
        </w:rPr>
        <w:t>men, and</w:t>
      </w:r>
      <w:proofErr w:type="gramEnd"/>
      <w:r w:rsidRPr="00CE5DC3">
        <w:rPr>
          <w:rFonts w:asciiTheme="minorHAnsi" w:hAnsiTheme="minorHAnsi" w:cstheme="minorHAnsi"/>
        </w:rPr>
        <w:t xml:space="preserve"> retain the recordings as leverage to prevent women from complaining about them.”</w:t>
      </w:r>
      <w:r>
        <w:rPr>
          <w:rStyle w:val="EndnoteReference"/>
          <w:rFonts w:asciiTheme="minorHAnsi" w:hAnsiTheme="minorHAnsi" w:cstheme="minorHAnsi"/>
          <w:color w:val="0563C1" w:themeColor="hyperlink"/>
          <w:u w:val="single"/>
        </w:rPr>
        <w:endnoteReference w:id="12"/>
      </w:r>
    </w:p>
    <w:p w14:paraId="1D0A39BF" w14:textId="77777777" w:rsidR="000F6B4B" w:rsidRDefault="000F6B4B" w:rsidP="000F6B4B">
      <w:pPr>
        <w:pStyle w:val="NormalWeb"/>
        <w:spacing w:before="0" w:beforeAutospacing="0" w:after="0" w:afterAutospacing="0"/>
        <w:rPr>
          <w:rFonts w:asciiTheme="minorHAnsi" w:hAnsiTheme="minorHAnsi" w:cstheme="minorHAnsi"/>
          <w:b/>
          <w:bCs/>
          <w:i/>
          <w:iCs/>
          <w:color w:val="000000" w:themeColor="text1"/>
        </w:rPr>
      </w:pPr>
    </w:p>
    <w:p w14:paraId="1982ADD3" w14:textId="3F40B144" w:rsidR="002F6005" w:rsidRPr="00EC7F0B" w:rsidRDefault="00BC74DF" w:rsidP="00CA4D3D">
      <w:pPr>
        <w:pStyle w:val="NormalWeb"/>
        <w:spacing w:before="0" w:beforeAutospacing="0" w:after="0" w:afterAutospacing="0"/>
        <w:rPr>
          <w:rFonts w:asciiTheme="minorHAnsi" w:hAnsiTheme="minorHAnsi" w:cstheme="minorHAnsi"/>
          <w:b/>
          <w:bCs/>
          <w:color w:val="000000" w:themeColor="text1"/>
        </w:rPr>
      </w:pPr>
      <w:r w:rsidRPr="00EC7F0B">
        <w:rPr>
          <w:rFonts w:asciiTheme="minorHAnsi" w:hAnsiTheme="minorHAnsi" w:cstheme="minorHAnsi"/>
          <w:b/>
          <w:bCs/>
          <w:color w:val="000000" w:themeColor="text1"/>
        </w:rPr>
        <w:t>Q.8</w:t>
      </w:r>
      <w:r w:rsidR="002F6005" w:rsidRPr="00EC7F0B">
        <w:rPr>
          <w:rFonts w:asciiTheme="minorHAnsi" w:hAnsiTheme="minorHAnsi" w:cstheme="minorHAnsi"/>
          <w:b/>
          <w:bCs/>
          <w:color w:val="000000" w:themeColor="text1"/>
        </w:rPr>
        <w:t xml:space="preserve"> </w:t>
      </w:r>
    </w:p>
    <w:p w14:paraId="5DFF3BD6" w14:textId="13AB7085" w:rsidR="001507CE" w:rsidRPr="00CE5DC3" w:rsidRDefault="003D271E" w:rsidP="00CA4D3D">
      <w:pPr>
        <w:rPr>
          <w:rFonts w:cstheme="minorHAnsi"/>
          <w:color w:val="000000" w:themeColor="text1"/>
        </w:rPr>
      </w:pPr>
      <w:r>
        <w:rPr>
          <w:rFonts w:cstheme="minorHAnsi"/>
          <w:color w:val="000000" w:themeColor="text1"/>
        </w:rPr>
        <w:t>L</w:t>
      </w:r>
      <w:r w:rsidRPr="00CE5DC3">
        <w:rPr>
          <w:rFonts w:cstheme="minorHAnsi"/>
          <w:color w:val="000000" w:themeColor="text1"/>
        </w:rPr>
        <w:t xml:space="preserve">aws must </w:t>
      </w:r>
      <w:r>
        <w:rPr>
          <w:rFonts w:cstheme="minorHAnsi"/>
          <w:color w:val="000000" w:themeColor="text1"/>
        </w:rPr>
        <w:t xml:space="preserve">address </w:t>
      </w:r>
      <w:r w:rsidRPr="00CE5DC3">
        <w:rPr>
          <w:rFonts w:cstheme="minorHAnsi"/>
          <w:color w:val="000000" w:themeColor="text1"/>
        </w:rPr>
        <w:t xml:space="preserve">individual acts of exploitation, but also consider the systemic nature of commercial sexual exploitation. </w:t>
      </w:r>
      <w:r w:rsidR="006272EC" w:rsidRPr="00CE5DC3">
        <w:rPr>
          <w:rFonts w:cstheme="minorHAnsi"/>
        </w:rPr>
        <w:t>While there are transactions within th</w:t>
      </w:r>
      <w:r w:rsidR="00DD73EA">
        <w:rPr>
          <w:rFonts w:cstheme="minorHAnsi"/>
        </w:rPr>
        <w:t>e</w:t>
      </w:r>
      <w:r w:rsidR="006272EC" w:rsidRPr="00CE5DC3">
        <w:rPr>
          <w:rFonts w:cstheme="minorHAnsi"/>
        </w:rPr>
        <w:t xml:space="preserve"> system </w:t>
      </w:r>
      <w:r w:rsidR="00DD73EA">
        <w:rPr>
          <w:rFonts w:cstheme="minorHAnsi"/>
        </w:rPr>
        <w:t xml:space="preserve">of prostitution </w:t>
      </w:r>
      <w:r w:rsidR="006272EC" w:rsidRPr="00CE5DC3">
        <w:rPr>
          <w:rFonts w:cstheme="minorHAnsi"/>
        </w:rPr>
        <w:t>that may be consensual and non-coercive, these are nonetheless situated within a system of exploitation that is based on structural inequalities and preys on vulnerabilities.</w:t>
      </w:r>
      <w:r>
        <w:rPr>
          <w:rFonts w:cstheme="minorHAnsi"/>
          <w:color w:val="000000" w:themeColor="text1"/>
        </w:rPr>
        <w:t xml:space="preserve"> </w:t>
      </w:r>
      <w:r w:rsidR="00BC74DF">
        <w:rPr>
          <w:rFonts w:cstheme="minorHAnsi"/>
          <w:color w:val="000000" w:themeColor="text1"/>
        </w:rPr>
        <w:t>In our view, i</w:t>
      </w:r>
      <w:r w:rsidR="00BF1CB1">
        <w:rPr>
          <w:rFonts w:cstheme="minorHAnsi"/>
          <w:color w:val="000000" w:themeColor="text1"/>
        </w:rPr>
        <w:t xml:space="preserve">t is not possible to protect voluntariness and prevent abuse and coercion within that system. </w:t>
      </w:r>
    </w:p>
    <w:p w14:paraId="08DE55BE" w14:textId="77777777" w:rsidR="003F4A4B" w:rsidRDefault="003F4A4B" w:rsidP="00CA4D3D">
      <w:pPr>
        <w:rPr>
          <w:rFonts w:cstheme="minorHAnsi"/>
        </w:rPr>
      </w:pPr>
    </w:p>
    <w:p w14:paraId="706562A7" w14:textId="446DAFFA" w:rsidR="001675CA" w:rsidRDefault="00352592" w:rsidP="00F42B7D">
      <w:pPr>
        <w:rPr>
          <w:rFonts w:eastAsia="Times New Roman" w:cstheme="minorHAnsi"/>
        </w:rPr>
      </w:pPr>
      <w:r>
        <w:rPr>
          <w:rFonts w:cstheme="minorHAnsi"/>
        </w:rPr>
        <w:t>The</w:t>
      </w:r>
      <w:r w:rsidRPr="00CE5DC3">
        <w:rPr>
          <w:rFonts w:cstheme="minorHAnsi"/>
        </w:rPr>
        <w:t xml:space="preserve"> </w:t>
      </w:r>
      <w:r w:rsidR="00710C55" w:rsidRPr="003375D2">
        <w:rPr>
          <w:rFonts w:cstheme="minorHAnsi"/>
          <w:i/>
          <w:iCs/>
        </w:rPr>
        <w:t>CASWLR</w:t>
      </w:r>
      <w:r w:rsidR="00710C55" w:rsidRPr="00CE5DC3">
        <w:rPr>
          <w:rFonts w:cstheme="minorHAnsi"/>
        </w:rPr>
        <w:t xml:space="preserve"> decision</w:t>
      </w:r>
      <w:r>
        <w:rPr>
          <w:rFonts w:cstheme="minorHAnsi"/>
        </w:rPr>
        <w:t xml:space="preserve"> found </w:t>
      </w:r>
      <w:r w:rsidR="009401E1">
        <w:rPr>
          <w:rFonts w:cstheme="minorHAnsi"/>
        </w:rPr>
        <w:t>“</w:t>
      </w:r>
      <w:r w:rsidR="00661395" w:rsidRPr="00CE5DC3">
        <w:rPr>
          <w:rFonts w:cstheme="minorHAnsi"/>
        </w:rPr>
        <w:t xml:space="preserve">a clear link between sex work and human trafficking. </w:t>
      </w:r>
      <w:r>
        <w:rPr>
          <w:rFonts w:cstheme="minorHAnsi"/>
        </w:rPr>
        <w:t xml:space="preserve">It noted </w:t>
      </w:r>
      <w:r w:rsidR="00661395" w:rsidRPr="00CE5DC3">
        <w:rPr>
          <w:rFonts w:cstheme="minorHAnsi"/>
        </w:rPr>
        <w:t>there is considerable evidence that many sex workers are manipulated or coerced into sex work or trafficked while in it.</w:t>
      </w:r>
      <w:r w:rsidR="009401E1">
        <w:rPr>
          <w:rFonts w:cstheme="minorHAnsi"/>
        </w:rPr>
        <w:t xml:space="preserve">” Justice Goldstein </w:t>
      </w:r>
      <w:r w:rsidR="005830C2">
        <w:rPr>
          <w:rFonts w:cstheme="minorHAnsi"/>
        </w:rPr>
        <w:t>wrote</w:t>
      </w:r>
      <w:r w:rsidR="009401E1">
        <w:rPr>
          <w:rFonts w:cstheme="minorHAnsi"/>
        </w:rPr>
        <w:t>,</w:t>
      </w:r>
      <w:r w:rsidR="004322B3">
        <w:rPr>
          <w:rFonts w:cstheme="minorHAnsi"/>
        </w:rPr>
        <w:t xml:space="preserve"> </w:t>
      </w:r>
    </w:p>
    <w:p w14:paraId="06B91A8F" w14:textId="225AD137" w:rsidR="008804D1" w:rsidRPr="008804D1" w:rsidRDefault="008804D1" w:rsidP="00CA4D3D">
      <w:pPr>
        <w:ind w:left="720"/>
        <w:rPr>
          <w:rFonts w:eastAsia="Times New Roman" w:cstheme="minorHAnsi"/>
        </w:rPr>
      </w:pPr>
      <w:r w:rsidRPr="008804D1">
        <w:rPr>
          <w:rFonts w:eastAsia="Times New Roman" w:cstheme="minorHAnsi"/>
        </w:rPr>
        <w:t xml:space="preserve">I make the following findings of fact in relation to the issues of choice, coercion, and human trafficking: </w:t>
      </w:r>
    </w:p>
    <w:p w14:paraId="063CA6C3" w14:textId="77777777" w:rsidR="008804D1" w:rsidRPr="008804D1" w:rsidRDefault="008804D1" w:rsidP="00CA4D3D">
      <w:pPr>
        <w:numPr>
          <w:ilvl w:val="0"/>
          <w:numId w:val="2"/>
        </w:numPr>
        <w:tabs>
          <w:tab w:val="clear" w:pos="720"/>
          <w:tab w:val="num" w:pos="1440"/>
        </w:tabs>
        <w:spacing w:after="100" w:afterAutospacing="1"/>
        <w:ind w:left="1440"/>
        <w:rPr>
          <w:rFonts w:eastAsia="Times New Roman" w:cstheme="minorHAnsi"/>
        </w:rPr>
      </w:pPr>
      <w:r w:rsidRPr="008804D1">
        <w:rPr>
          <w:rFonts w:eastAsia="Times New Roman" w:cstheme="minorHAnsi"/>
        </w:rPr>
        <w:t xml:space="preserve">To put it at its most basic, where a customer purchases sex, there is a significant possibility that the sex worker has been trafficked, manipulated, lured, forced, and/or coerced into providing sexual services, and in continuing to provide sexual services. </w:t>
      </w:r>
    </w:p>
    <w:p w14:paraId="5FD62CE7" w14:textId="77777777" w:rsidR="008804D1" w:rsidRPr="008804D1" w:rsidRDefault="008804D1" w:rsidP="00CA4D3D">
      <w:pPr>
        <w:numPr>
          <w:ilvl w:val="0"/>
          <w:numId w:val="2"/>
        </w:numPr>
        <w:tabs>
          <w:tab w:val="clear" w:pos="720"/>
          <w:tab w:val="num" w:pos="1440"/>
        </w:tabs>
        <w:spacing w:after="100" w:afterAutospacing="1"/>
        <w:ind w:left="1440"/>
        <w:rPr>
          <w:rFonts w:eastAsia="Times New Roman" w:cstheme="minorHAnsi"/>
        </w:rPr>
      </w:pPr>
      <w:r w:rsidRPr="008804D1">
        <w:rPr>
          <w:rFonts w:eastAsia="Times New Roman" w:cstheme="minorHAnsi"/>
        </w:rPr>
        <w:t xml:space="preserve">Where a customer purchases sex, there is also a significant possibility that an exploiter or trafficker has used manipulation and/or violence to control that sex worker, take her earnings, and impose a “price” on her to leave the sex trade. </w:t>
      </w:r>
    </w:p>
    <w:p w14:paraId="36857E3F" w14:textId="05C6DED9" w:rsidR="008804D1" w:rsidRPr="008804D1" w:rsidRDefault="008804D1" w:rsidP="00CA4D3D">
      <w:pPr>
        <w:numPr>
          <w:ilvl w:val="0"/>
          <w:numId w:val="2"/>
        </w:numPr>
        <w:tabs>
          <w:tab w:val="clear" w:pos="720"/>
          <w:tab w:val="num" w:pos="1440"/>
        </w:tabs>
        <w:spacing w:after="100" w:afterAutospacing="1"/>
        <w:ind w:left="1440"/>
        <w:rPr>
          <w:rFonts w:eastAsia="Times New Roman" w:cstheme="minorHAnsi"/>
        </w:rPr>
      </w:pPr>
      <w:r w:rsidRPr="008804D1">
        <w:rPr>
          <w:rFonts w:eastAsia="Times New Roman" w:cstheme="minorHAnsi"/>
        </w:rPr>
        <w:t>Even where a sex worker has entered the sex trade by choice, there is a significant possibility that she has become subject to the control of an exploiter or a trafficker.</w:t>
      </w:r>
      <w:r w:rsidRPr="008804D1">
        <w:rPr>
          <w:rFonts w:eastAsia="Times New Roman" w:cstheme="minorHAnsi"/>
          <w:position w:val="10"/>
          <w:sz w:val="16"/>
          <w:szCs w:val="16"/>
        </w:rPr>
        <w:t xml:space="preserve"> </w:t>
      </w:r>
    </w:p>
    <w:p w14:paraId="3A49190B" w14:textId="77777777" w:rsidR="008804D1" w:rsidRPr="008804D1" w:rsidRDefault="008804D1" w:rsidP="00CA4D3D">
      <w:pPr>
        <w:numPr>
          <w:ilvl w:val="0"/>
          <w:numId w:val="2"/>
        </w:numPr>
        <w:tabs>
          <w:tab w:val="clear" w:pos="720"/>
          <w:tab w:val="num" w:pos="1440"/>
        </w:tabs>
        <w:spacing w:after="100" w:afterAutospacing="1"/>
        <w:ind w:left="1440"/>
        <w:rPr>
          <w:rFonts w:eastAsia="Times New Roman" w:cstheme="minorHAnsi"/>
        </w:rPr>
      </w:pPr>
      <w:r w:rsidRPr="008804D1">
        <w:rPr>
          <w:rFonts w:eastAsia="Times New Roman" w:cstheme="minorHAnsi"/>
        </w:rPr>
        <w:t xml:space="preserve">There are some sex workers who freely choose to become involved in the sex industry, even where that choice is constrained </w:t>
      </w:r>
      <w:proofErr w:type="gramStart"/>
      <w:r w:rsidRPr="008804D1">
        <w:rPr>
          <w:rFonts w:eastAsia="Times New Roman" w:cstheme="minorHAnsi"/>
        </w:rPr>
        <w:t>as a result of</w:t>
      </w:r>
      <w:proofErr w:type="gramEnd"/>
      <w:r w:rsidRPr="008804D1">
        <w:rPr>
          <w:rFonts w:eastAsia="Times New Roman" w:cstheme="minorHAnsi"/>
        </w:rPr>
        <w:t xml:space="preserve"> economic factors or barriers to other occupations. Some of those sex workers remain independent. Some of those sex workers fall prey to traffickers and/or exploiters and become exploited. </w:t>
      </w:r>
    </w:p>
    <w:p w14:paraId="215292E4" w14:textId="77777777" w:rsidR="008804D1" w:rsidRPr="008804D1" w:rsidRDefault="008804D1" w:rsidP="00CA4D3D">
      <w:pPr>
        <w:numPr>
          <w:ilvl w:val="0"/>
          <w:numId w:val="2"/>
        </w:numPr>
        <w:tabs>
          <w:tab w:val="clear" w:pos="720"/>
          <w:tab w:val="num" w:pos="1440"/>
        </w:tabs>
        <w:spacing w:after="100" w:afterAutospacing="1"/>
        <w:ind w:left="1440"/>
        <w:rPr>
          <w:rFonts w:eastAsia="Times New Roman" w:cstheme="minorHAnsi"/>
        </w:rPr>
      </w:pPr>
      <w:r w:rsidRPr="008804D1">
        <w:rPr>
          <w:rFonts w:eastAsia="Times New Roman" w:cstheme="minorHAnsi"/>
        </w:rPr>
        <w:t xml:space="preserve">There are likely some sex workers who fall somewhere on the spectrum between coercion and free choice. </w:t>
      </w:r>
    </w:p>
    <w:p w14:paraId="2F2A4D1F" w14:textId="61230FD4" w:rsidR="008804D1" w:rsidRPr="00CE5DC3" w:rsidRDefault="008804D1" w:rsidP="00CA4D3D">
      <w:pPr>
        <w:numPr>
          <w:ilvl w:val="0"/>
          <w:numId w:val="2"/>
        </w:numPr>
        <w:tabs>
          <w:tab w:val="clear" w:pos="720"/>
          <w:tab w:val="num" w:pos="1440"/>
        </w:tabs>
        <w:spacing w:after="100" w:afterAutospacing="1"/>
        <w:ind w:left="1440"/>
        <w:rPr>
          <w:rFonts w:eastAsia="Times New Roman" w:cstheme="minorHAnsi"/>
        </w:rPr>
      </w:pPr>
      <w:r w:rsidRPr="008804D1">
        <w:rPr>
          <w:rFonts w:eastAsia="Times New Roman" w:cstheme="minorHAnsi"/>
        </w:rPr>
        <w:t xml:space="preserve">A significant number of women and girls lured or coerced into sex work have pre-existing vulnerabilities, including contact with the child protection and foster care system; mental health or cognitive challenges; substance abuse challenges; or a combination of </w:t>
      </w:r>
      <w:proofErr w:type="gramStart"/>
      <w:r w:rsidRPr="008804D1">
        <w:rPr>
          <w:rFonts w:eastAsia="Times New Roman" w:cstheme="minorHAnsi"/>
        </w:rPr>
        <w:t>all</w:t>
      </w:r>
      <w:r w:rsidR="00F42B7D">
        <w:rPr>
          <w:rFonts w:eastAsia="Times New Roman" w:cstheme="minorHAnsi"/>
        </w:rPr>
        <w:t xml:space="preserve"> </w:t>
      </w:r>
      <w:r w:rsidRPr="008804D1">
        <w:rPr>
          <w:rFonts w:eastAsia="Times New Roman" w:cstheme="minorHAnsi"/>
        </w:rPr>
        <w:t>of</w:t>
      </w:r>
      <w:proofErr w:type="gramEnd"/>
      <w:r w:rsidRPr="008804D1">
        <w:rPr>
          <w:rFonts w:eastAsia="Times New Roman" w:cstheme="minorHAnsi"/>
        </w:rPr>
        <w:t xml:space="preserve"> these things.</w:t>
      </w:r>
    </w:p>
    <w:p w14:paraId="7FA5CD31" w14:textId="060DAFED" w:rsidR="00CA6313" w:rsidRPr="00CE5DC3" w:rsidRDefault="008804D1" w:rsidP="00CA4D3D">
      <w:pPr>
        <w:numPr>
          <w:ilvl w:val="0"/>
          <w:numId w:val="2"/>
        </w:numPr>
        <w:tabs>
          <w:tab w:val="clear" w:pos="720"/>
          <w:tab w:val="num" w:pos="1440"/>
        </w:tabs>
        <w:spacing w:after="100" w:afterAutospacing="1"/>
        <w:ind w:left="1440"/>
        <w:rPr>
          <w:rFonts w:eastAsia="Times New Roman" w:cstheme="minorHAnsi"/>
        </w:rPr>
      </w:pPr>
      <w:r w:rsidRPr="008804D1">
        <w:rPr>
          <w:rFonts w:eastAsia="Times New Roman" w:cstheme="minorHAnsi"/>
        </w:rPr>
        <w:t>It is not possible to quantify the numbers or percentages of those who engage in sex work voluntarily, involuntarily, or somewhere in between.</w:t>
      </w:r>
      <w:r w:rsidR="00CA6313">
        <w:rPr>
          <w:rStyle w:val="EndnoteReference"/>
          <w:rFonts w:eastAsia="Times New Roman" w:cstheme="minorHAnsi"/>
        </w:rPr>
        <w:endnoteReference w:id="13"/>
      </w:r>
      <w:r w:rsidR="00CA6313" w:rsidRPr="008804D1">
        <w:rPr>
          <w:rFonts w:eastAsia="Times New Roman" w:cstheme="minorHAnsi"/>
        </w:rPr>
        <w:t xml:space="preserve"> </w:t>
      </w:r>
    </w:p>
    <w:p w14:paraId="3018CB61" w14:textId="7D64D980" w:rsidR="00CA6313" w:rsidRDefault="00CA6313" w:rsidP="00CE5614">
      <w:r>
        <w:rPr>
          <w:rFonts w:eastAsia="Times New Roman" w:cstheme="minorHAnsi"/>
        </w:rPr>
        <w:t>Justice Goldstein noted that “T</w:t>
      </w:r>
      <w:r w:rsidRPr="008804D1">
        <w:rPr>
          <w:rFonts w:eastAsia="Times New Roman" w:cstheme="minorHAnsi"/>
        </w:rPr>
        <w:t>he evidence fails to establish that the majority of sex workers enter the trade by choice, even constrained choice.</w:t>
      </w:r>
      <w:r>
        <w:rPr>
          <w:rFonts w:eastAsia="Times New Roman" w:cstheme="minorHAnsi"/>
        </w:rPr>
        <w:t>”</w:t>
      </w:r>
      <w:r w:rsidRPr="008804D1">
        <w:rPr>
          <w:rFonts w:eastAsia="Times New Roman" w:cstheme="minorHAnsi"/>
        </w:rPr>
        <w:t xml:space="preserve"> </w:t>
      </w:r>
    </w:p>
    <w:p w14:paraId="1EE35331" w14:textId="77777777" w:rsidR="00CA6313" w:rsidRDefault="00CA6313" w:rsidP="00CA4D3D">
      <w:pPr>
        <w:pStyle w:val="NormalWeb"/>
        <w:spacing w:before="0" w:beforeAutospacing="0" w:after="0" w:afterAutospacing="0"/>
        <w:rPr>
          <w:rFonts w:asciiTheme="minorHAnsi" w:hAnsiTheme="minorHAnsi" w:cstheme="minorHAnsi"/>
          <w:b/>
          <w:bCs/>
          <w:i/>
          <w:iCs/>
          <w:color w:val="000000" w:themeColor="text1"/>
        </w:rPr>
      </w:pPr>
    </w:p>
    <w:p w14:paraId="060D5A26" w14:textId="77777777" w:rsidR="00E877A5" w:rsidRDefault="00E877A5" w:rsidP="00CA4D3D">
      <w:pPr>
        <w:pStyle w:val="NormalWeb"/>
        <w:spacing w:before="0" w:beforeAutospacing="0" w:after="0" w:afterAutospacing="0"/>
        <w:rPr>
          <w:rFonts w:asciiTheme="minorHAnsi" w:hAnsiTheme="minorHAnsi" w:cstheme="minorHAnsi"/>
          <w:b/>
          <w:bCs/>
          <w:color w:val="000000" w:themeColor="text1"/>
        </w:rPr>
      </w:pPr>
    </w:p>
    <w:p w14:paraId="45534906" w14:textId="1E783EC9" w:rsidR="00CA6313" w:rsidRPr="00EC7F0B" w:rsidRDefault="00CA6313" w:rsidP="00CA4D3D">
      <w:pPr>
        <w:pStyle w:val="NormalWeb"/>
        <w:spacing w:before="0" w:beforeAutospacing="0" w:after="0" w:afterAutospacing="0"/>
        <w:rPr>
          <w:rFonts w:asciiTheme="minorHAnsi" w:hAnsiTheme="minorHAnsi" w:cstheme="minorHAnsi"/>
          <w:b/>
          <w:bCs/>
          <w:color w:val="000000" w:themeColor="text1"/>
        </w:rPr>
      </w:pPr>
      <w:r w:rsidRPr="00EC7F0B">
        <w:rPr>
          <w:rFonts w:asciiTheme="minorHAnsi" w:hAnsiTheme="minorHAnsi" w:cstheme="minorHAnsi"/>
          <w:b/>
          <w:bCs/>
          <w:color w:val="000000" w:themeColor="text1"/>
        </w:rPr>
        <w:lastRenderedPageBreak/>
        <w:t xml:space="preserve">Q.9 </w:t>
      </w:r>
    </w:p>
    <w:p w14:paraId="06E9CF97" w14:textId="022EA731" w:rsidR="00CA6313" w:rsidRDefault="00CA6313" w:rsidP="00CA4D3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In 2014, </w:t>
      </w:r>
      <w:r w:rsidRPr="00CE5DC3">
        <w:rPr>
          <w:rFonts w:asciiTheme="minorHAnsi" w:hAnsiTheme="minorHAnsi" w:cstheme="minorHAnsi"/>
        </w:rPr>
        <w:t xml:space="preserve">Canada enacted </w:t>
      </w:r>
      <w:r>
        <w:rPr>
          <w:rFonts w:asciiTheme="minorHAnsi" w:hAnsiTheme="minorHAnsi" w:cstheme="minorHAnsi"/>
        </w:rPr>
        <w:t xml:space="preserve">the </w:t>
      </w:r>
      <w:r w:rsidRPr="00434D67">
        <w:rPr>
          <w:rFonts w:asciiTheme="minorHAnsi" w:hAnsiTheme="minorHAnsi" w:cstheme="minorHAnsi"/>
          <w:i/>
          <w:iCs/>
        </w:rPr>
        <w:t>Protection of Communities and Exploited Persons Act</w:t>
      </w:r>
      <w:r>
        <w:rPr>
          <w:rFonts w:asciiTheme="minorHAnsi" w:hAnsiTheme="minorHAnsi" w:cstheme="minorHAnsi"/>
        </w:rPr>
        <w:t xml:space="preserve"> (PCEPA), which made</w:t>
      </w:r>
      <w:r w:rsidRPr="00CE5DC3">
        <w:rPr>
          <w:rFonts w:asciiTheme="minorHAnsi" w:hAnsiTheme="minorHAnsi" w:cstheme="minorHAnsi"/>
        </w:rPr>
        <w:t xml:space="preserve"> it illegal to purchase sexual services or profit from the prostitution of others</w:t>
      </w:r>
      <w:r>
        <w:rPr>
          <w:rFonts w:asciiTheme="minorHAnsi" w:hAnsiTheme="minorHAnsi" w:cstheme="minorHAnsi"/>
        </w:rPr>
        <w:t>, while</w:t>
      </w:r>
      <w:r w:rsidRPr="00CE5DC3">
        <w:rPr>
          <w:rFonts w:asciiTheme="minorHAnsi" w:hAnsiTheme="minorHAnsi" w:cstheme="minorHAnsi"/>
        </w:rPr>
        <w:t xml:space="preserve"> </w:t>
      </w:r>
      <w:r>
        <w:rPr>
          <w:rFonts w:asciiTheme="minorHAnsi" w:hAnsiTheme="minorHAnsi" w:cstheme="minorHAnsi"/>
        </w:rPr>
        <w:t>providing immunity for those who sell their own sexual services.</w:t>
      </w:r>
      <w:r>
        <w:rPr>
          <w:rStyle w:val="EndnoteReference"/>
          <w:rFonts w:asciiTheme="minorHAnsi" w:hAnsiTheme="minorHAnsi" w:cstheme="minorHAnsi"/>
        </w:rPr>
        <w:endnoteReference w:id="14"/>
      </w:r>
      <w:r>
        <w:rPr>
          <w:rFonts w:asciiTheme="minorHAnsi" w:hAnsiTheme="minorHAnsi" w:cstheme="minorHAnsi"/>
        </w:rPr>
        <w:t xml:space="preserve"> </w:t>
      </w:r>
    </w:p>
    <w:p w14:paraId="458E2C58" w14:textId="77777777" w:rsidR="00CA6313" w:rsidRDefault="00CA6313" w:rsidP="00CA4D3D">
      <w:pPr>
        <w:pStyle w:val="NormalWeb"/>
        <w:spacing w:before="0" w:beforeAutospacing="0" w:after="0" w:afterAutospacing="0"/>
        <w:rPr>
          <w:rFonts w:asciiTheme="minorHAnsi" w:hAnsiTheme="minorHAnsi" w:cstheme="minorHAnsi"/>
          <w:color w:val="000000"/>
        </w:rPr>
      </w:pPr>
    </w:p>
    <w:p w14:paraId="07582992" w14:textId="64BD524E" w:rsidR="00CA6313" w:rsidRDefault="00CA6313" w:rsidP="00CA4D3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Since PCEPA was enacted</w:t>
      </w:r>
      <w:r>
        <w:rPr>
          <w:rFonts w:asciiTheme="minorHAnsi" w:hAnsiTheme="minorHAnsi" w:cstheme="minorHAnsi"/>
        </w:rPr>
        <w:t>,</w:t>
      </w:r>
      <w:r w:rsidRPr="00CE5DC3">
        <w:rPr>
          <w:rFonts w:asciiTheme="minorHAnsi" w:hAnsiTheme="minorHAnsi" w:cstheme="minorHAnsi"/>
        </w:rPr>
        <w:t xml:space="preserve"> </w:t>
      </w:r>
      <w:r>
        <w:rPr>
          <w:rFonts w:asciiTheme="minorHAnsi" w:hAnsiTheme="minorHAnsi" w:cstheme="minorHAnsi"/>
        </w:rPr>
        <w:t>t</w:t>
      </w:r>
      <w:r>
        <w:rPr>
          <w:rFonts w:asciiTheme="minorHAnsi" w:hAnsiTheme="minorHAnsi" w:cstheme="minorHAnsi"/>
          <w:color w:val="000000"/>
        </w:rPr>
        <w:t xml:space="preserve">here has been </w:t>
      </w:r>
      <w:r w:rsidRPr="00CE5DC3">
        <w:rPr>
          <w:rFonts w:asciiTheme="minorHAnsi" w:hAnsiTheme="minorHAnsi" w:cstheme="minorHAnsi"/>
          <w:color w:val="000000"/>
        </w:rPr>
        <w:t>a significant decrease in homicide victims related to the sex trade, despite overall homicides increasing.</w:t>
      </w:r>
      <w:r w:rsidRPr="00CE5DC3">
        <w:rPr>
          <w:rStyle w:val="EndnoteReference"/>
          <w:rFonts w:asciiTheme="minorHAnsi" w:hAnsiTheme="minorHAnsi" w:cstheme="minorHAnsi"/>
          <w:color w:val="000000"/>
        </w:rPr>
        <w:endnoteReference w:id="15"/>
      </w:r>
      <w:r w:rsidRPr="00CE5DC3">
        <w:rPr>
          <w:rFonts w:asciiTheme="minorHAnsi" w:hAnsiTheme="minorHAnsi" w:cstheme="minorHAnsi"/>
          <w:color w:val="000000"/>
        </w:rPr>
        <w:t xml:space="preserve"> Furthermore, the perpetrators were less commonly sex buyers or gang members after PCEPA, and more likely to be strangers or acquaintances.</w:t>
      </w:r>
      <w:r>
        <w:rPr>
          <w:rFonts w:asciiTheme="minorHAnsi" w:hAnsiTheme="minorHAnsi" w:cstheme="minorHAnsi"/>
          <w:color w:val="000000"/>
        </w:rPr>
        <w:t xml:space="preserve"> As well, victims of sex-trade-related offences were less likely to have a physical injury </w:t>
      </w:r>
      <w:proofErr w:type="gramStart"/>
      <w:r>
        <w:rPr>
          <w:rFonts w:asciiTheme="minorHAnsi" w:hAnsiTheme="minorHAnsi" w:cstheme="minorHAnsi"/>
          <w:color w:val="000000"/>
        </w:rPr>
        <w:t>as a result of</w:t>
      </w:r>
      <w:proofErr w:type="gramEnd"/>
      <w:r>
        <w:rPr>
          <w:rFonts w:asciiTheme="minorHAnsi" w:hAnsiTheme="minorHAnsi" w:cstheme="minorHAnsi"/>
          <w:color w:val="000000"/>
        </w:rPr>
        <w:t xml:space="preserve"> the incident after PCEPA.</w:t>
      </w:r>
      <w:r>
        <w:rPr>
          <w:rStyle w:val="EndnoteReference"/>
          <w:rFonts w:asciiTheme="minorHAnsi" w:hAnsiTheme="minorHAnsi" w:cstheme="minorHAnsi"/>
          <w:color w:val="000000"/>
        </w:rPr>
        <w:endnoteReference w:id="16"/>
      </w:r>
      <w:r>
        <w:rPr>
          <w:rFonts w:asciiTheme="minorHAnsi" w:hAnsiTheme="minorHAnsi" w:cstheme="minorHAnsi"/>
          <w:color w:val="000000"/>
        </w:rPr>
        <w:t xml:space="preserve"> </w:t>
      </w:r>
    </w:p>
    <w:p w14:paraId="3D08F94C" w14:textId="77777777" w:rsidR="00CA6313" w:rsidRDefault="00CA6313" w:rsidP="007A7AAC">
      <w:pPr>
        <w:pStyle w:val="NormalWeb"/>
        <w:spacing w:before="0" w:beforeAutospacing="0" w:after="0" w:afterAutospacing="0"/>
        <w:rPr>
          <w:rFonts w:asciiTheme="minorHAnsi" w:hAnsiTheme="minorHAnsi" w:cstheme="minorHAnsi"/>
          <w:color w:val="000000"/>
        </w:rPr>
      </w:pPr>
    </w:p>
    <w:p w14:paraId="75DC6A62" w14:textId="5895A255" w:rsidR="00CA6313" w:rsidRDefault="00CA6313" w:rsidP="00CA4D3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The immunity from prosecution for those who sell sexual services under PCEPA means they </w:t>
      </w:r>
      <w:proofErr w:type="gramStart"/>
      <w:r>
        <w:rPr>
          <w:rFonts w:asciiTheme="minorHAnsi" w:hAnsiTheme="minorHAnsi" w:cstheme="minorHAnsi"/>
          <w:color w:val="000000"/>
        </w:rPr>
        <w:t>are able to</w:t>
      </w:r>
      <w:proofErr w:type="gramEnd"/>
      <w:r>
        <w:rPr>
          <w:rFonts w:asciiTheme="minorHAnsi" w:hAnsiTheme="minorHAnsi" w:cstheme="minorHAnsi"/>
          <w:color w:val="000000"/>
        </w:rPr>
        <w:t xml:space="preserve"> contact law enforcement without fear of prosecution. </w:t>
      </w:r>
    </w:p>
    <w:p w14:paraId="6906AC74" w14:textId="77777777" w:rsidR="00CA6313" w:rsidRDefault="00CA6313" w:rsidP="00CA4D3D">
      <w:pPr>
        <w:pStyle w:val="NormalWeb"/>
        <w:spacing w:before="0" w:beforeAutospacing="0" w:after="0" w:afterAutospacing="0"/>
        <w:rPr>
          <w:rFonts w:asciiTheme="minorHAnsi" w:hAnsiTheme="minorHAnsi" w:cstheme="minorHAnsi"/>
          <w:color w:val="000000"/>
        </w:rPr>
      </w:pPr>
    </w:p>
    <w:p w14:paraId="60F66209" w14:textId="72D1E7A3" w:rsidR="00CA6313" w:rsidRDefault="00CA6313" w:rsidP="00CA4D3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As the </w:t>
      </w:r>
      <w:r w:rsidRPr="003375D2">
        <w:rPr>
          <w:rFonts w:asciiTheme="minorHAnsi" w:hAnsiTheme="minorHAnsi" w:cstheme="minorHAnsi"/>
          <w:i/>
          <w:iCs/>
          <w:color w:val="000000"/>
        </w:rPr>
        <w:t>CASWLR</w:t>
      </w:r>
      <w:r>
        <w:rPr>
          <w:rFonts w:asciiTheme="minorHAnsi" w:hAnsiTheme="minorHAnsi" w:cstheme="minorHAnsi"/>
          <w:i/>
          <w:iCs/>
          <w:color w:val="000000"/>
        </w:rPr>
        <w:t xml:space="preserve"> </w:t>
      </w:r>
      <w:r w:rsidRPr="003375D2">
        <w:rPr>
          <w:rFonts w:asciiTheme="minorHAnsi" w:hAnsiTheme="minorHAnsi" w:cstheme="minorHAnsi"/>
          <w:color w:val="000000"/>
        </w:rPr>
        <w:t>decision</w:t>
      </w:r>
      <w:r>
        <w:rPr>
          <w:rFonts w:asciiTheme="minorHAnsi" w:hAnsiTheme="minorHAnsi" w:cstheme="minorHAnsi"/>
          <w:color w:val="000000"/>
        </w:rPr>
        <w:t xml:space="preserve"> notes, </w:t>
      </w:r>
    </w:p>
    <w:p w14:paraId="5AA8AA0D" w14:textId="15544171" w:rsidR="005830C2" w:rsidRPr="00CE5DC3" w:rsidRDefault="00CA6313" w:rsidP="00CA4D3D">
      <w:pPr>
        <w:ind w:left="720"/>
        <w:rPr>
          <w:rFonts w:cstheme="minorHAnsi"/>
        </w:rPr>
      </w:pPr>
      <w:r w:rsidRPr="00CE5DC3">
        <w:rPr>
          <w:rFonts w:cstheme="minorHAnsi"/>
        </w:rPr>
        <w:t>If sex workers are not calling police because they fear being charged, that is a fear that is not based on anything in the challenged offences. It is a fear based on misunderstanding or fear encouraged by exploiters and traffickers.</w:t>
      </w:r>
      <w:r>
        <w:rPr>
          <w:rStyle w:val="EndnoteReference"/>
          <w:rFonts w:cstheme="minorHAnsi"/>
        </w:rPr>
        <w:endnoteReference w:id="17"/>
      </w:r>
      <w:r w:rsidRPr="00CE5DC3">
        <w:rPr>
          <w:rFonts w:cstheme="minorHAnsi"/>
        </w:rPr>
        <w:t xml:space="preserve"> </w:t>
      </w:r>
    </w:p>
    <w:p w14:paraId="0F5B4244" w14:textId="77777777" w:rsidR="007A7AAC" w:rsidRDefault="007A7AAC" w:rsidP="00CA4D3D">
      <w:pPr>
        <w:pStyle w:val="NormalWeb"/>
        <w:spacing w:before="0" w:beforeAutospacing="0" w:after="0" w:afterAutospacing="0"/>
        <w:rPr>
          <w:rFonts w:asciiTheme="minorHAnsi" w:hAnsiTheme="minorHAnsi" w:cstheme="minorHAnsi"/>
          <w:color w:val="000000"/>
        </w:rPr>
      </w:pPr>
    </w:p>
    <w:p w14:paraId="139094EF" w14:textId="29BE94B2" w:rsidR="005830C2" w:rsidRDefault="00BF1CB1" w:rsidP="00CA4D3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This is a failure of public education. </w:t>
      </w:r>
      <w:r w:rsidR="005830C2">
        <w:rPr>
          <w:rFonts w:asciiTheme="minorHAnsi" w:hAnsiTheme="minorHAnsi" w:cstheme="minorHAnsi"/>
          <w:color w:val="000000"/>
        </w:rPr>
        <w:t xml:space="preserve">A public awareness campaign and education about the laws and their intent </w:t>
      </w:r>
      <w:r>
        <w:rPr>
          <w:rFonts w:asciiTheme="minorHAnsi" w:hAnsiTheme="minorHAnsi" w:cstheme="minorHAnsi"/>
          <w:color w:val="000000"/>
        </w:rPr>
        <w:t xml:space="preserve">is needed to ensure the full effectiveness of the laws. </w:t>
      </w:r>
    </w:p>
    <w:p w14:paraId="2696F472" w14:textId="77777777" w:rsidR="00A8133A" w:rsidRDefault="00A8133A" w:rsidP="00CA4D3D">
      <w:pPr>
        <w:pStyle w:val="NormalWeb"/>
        <w:spacing w:before="0" w:beforeAutospacing="0" w:after="0" w:afterAutospacing="0"/>
        <w:rPr>
          <w:rFonts w:asciiTheme="minorHAnsi" w:hAnsiTheme="minorHAnsi" w:cstheme="minorHAnsi"/>
          <w:color w:val="000000"/>
        </w:rPr>
      </w:pPr>
    </w:p>
    <w:p w14:paraId="6C2C006D" w14:textId="2937E3DD" w:rsidR="00A8133A" w:rsidRDefault="00A8133A" w:rsidP="00A8133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R</w:t>
      </w:r>
      <w:r>
        <w:rPr>
          <w:rFonts w:asciiTheme="minorHAnsi" w:hAnsiTheme="minorHAnsi" w:cstheme="minorHAnsi"/>
          <w:color w:val="000000"/>
        </w:rPr>
        <w:t>ates of police-reported crime related to the sex trade var</w:t>
      </w:r>
      <w:r>
        <w:rPr>
          <w:rFonts w:asciiTheme="minorHAnsi" w:hAnsiTheme="minorHAnsi" w:cstheme="minorHAnsi"/>
          <w:color w:val="000000"/>
        </w:rPr>
        <w:t>y</w:t>
      </w:r>
      <w:r>
        <w:rPr>
          <w:rFonts w:asciiTheme="minorHAnsi" w:hAnsiTheme="minorHAnsi" w:cstheme="minorHAnsi"/>
          <w:color w:val="000000"/>
        </w:rPr>
        <w:t xml:space="preserve"> by region.</w:t>
      </w:r>
      <w:r>
        <w:rPr>
          <w:rStyle w:val="EndnoteReference"/>
          <w:rFonts w:asciiTheme="minorHAnsi" w:hAnsiTheme="minorHAnsi" w:cstheme="minorHAnsi"/>
          <w:color w:val="000000"/>
        </w:rPr>
        <w:endnoteReference w:id="18"/>
      </w:r>
      <w:r>
        <w:rPr>
          <w:rFonts w:asciiTheme="minorHAnsi" w:hAnsiTheme="minorHAnsi" w:cstheme="minorHAnsi"/>
          <w:color w:val="000000"/>
        </w:rPr>
        <w:t xml:space="preserve"> This may be, at least in part, due to differences in police resources, priorities, and enforcement. Enforcement of the law has been uneven across Canada, with some jurisdictions fully implementing and enforcing </w:t>
      </w:r>
      <w:r>
        <w:rPr>
          <w:rFonts w:asciiTheme="minorHAnsi" w:hAnsiTheme="minorHAnsi" w:cstheme="minorHAnsi"/>
          <w:color w:val="000000"/>
        </w:rPr>
        <w:t>PCEPA</w:t>
      </w:r>
      <w:r>
        <w:rPr>
          <w:rFonts w:asciiTheme="minorHAnsi" w:hAnsiTheme="minorHAnsi" w:cstheme="minorHAnsi"/>
          <w:color w:val="000000"/>
        </w:rPr>
        <w:t>, and some choosing not to do so.</w:t>
      </w:r>
    </w:p>
    <w:p w14:paraId="60D2D6D2" w14:textId="77777777" w:rsidR="007A7AAC" w:rsidRDefault="007A7AAC" w:rsidP="007A7AAC">
      <w:pPr>
        <w:rPr>
          <w:rFonts w:ascii="Calibri" w:eastAsia="Times New Roman" w:hAnsi="Calibri" w:cs="Calibri"/>
          <w:color w:val="212121"/>
        </w:rPr>
      </w:pPr>
    </w:p>
    <w:p w14:paraId="66F81172" w14:textId="644B9582" w:rsidR="00B83FE7" w:rsidRPr="00CE5DC3" w:rsidRDefault="00B83FE7" w:rsidP="00CA4D3D">
      <w:pPr>
        <w:rPr>
          <w:rFonts w:cstheme="minorHAnsi"/>
        </w:rPr>
      </w:pPr>
      <w:r>
        <w:rPr>
          <w:rFonts w:ascii="Calibri" w:eastAsia="Times New Roman" w:hAnsi="Calibri" w:cs="Calibri"/>
          <w:color w:val="212121"/>
        </w:rPr>
        <w:t>Justice Goldstein concluded that, overall, he finds that “Parliament’s response to a pressing and substantial concern is a carefully crafted legislative scheme that prohibits the most exploitive aspects of the sex trade while immunizing sex workers from prosecution.”</w:t>
      </w:r>
      <w:r w:rsidR="00992AAC">
        <w:rPr>
          <w:rStyle w:val="EndnoteReference"/>
          <w:rFonts w:ascii="Calibri" w:eastAsia="Times New Roman" w:hAnsi="Calibri" w:cs="Calibri"/>
          <w:color w:val="212121"/>
        </w:rPr>
        <w:endnoteReference w:id="19"/>
      </w:r>
    </w:p>
    <w:p w14:paraId="227BEA08" w14:textId="77777777" w:rsidR="007A7AAC" w:rsidRDefault="007A7AAC" w:rsidP="00CA4D3D">
      <w:pPr>
        <w:pStyle w:val="NormalWeb"/>
        <w:spacing w:before="0" w:beforeAutospacing="0" w:after="0" w:afterAutospacing="0"/>
        <w:rPr>
          <w:rFonts w:asciiTheme="minorHAnsi" w:hAnsiTheme="minorHAnsi" w:cstheme="minorHAnsi"/>
          <w:b/>
          <w:bCs/>
          <w:i/>
          <w:iCs/>
          <w:color w:val="000000" w:themeColor="text1"/>
        </w:rPr>
      </w:pPr>
    </w:p>
    <w:p w14:paraId="27254F10" w14:textId="3A5211F5" w:rsidR="002F6005" w:rsidRPr="00EC7F0B" w:rsidRDefault="00BC74DF" w:rsidP="00CA4D3D">
      <w:pPr>
        <w:pStyle w:val="NormalWeb"/>
        <w:spacing w:before="0" w:beforeAutospacing="0" w:after="0" w:afterAutospacing="0"/>
        <w:rPr>
          <w:rFonts w:asciiTheme="minorHAnsi" w:hAnsiTheme="minorHAnsi" w:cstheme="minorHAnsi"/>
          <w:b/>
          <w:bCs/>
          <w:color w:val="000000" w:themeColor="text1"/>
        </w:rPr>
      </w:pPr>
      <w:r w:rsidRPr="00EC7F0B">
        <w:rPr>
          <w:rFonts w:asciiTheme="minorHAnsi" w:hAnsiTheme="minorHAnsi" w:cstheme="minorHAnsi"/>
          <w:b/>
          <w:bCs/>
          <w:color w:val="000000" w:themeColor="text1"/>
        </w:rPr>
        <w:t>Q.10</w:t>
      </w:r>
      <w:r w:rsidR="002F6005" w:rsidRPr="00EC7F0B">
        <w:rPr>
          <w:rFonts w:asciiTheme="minorHAnsi" w:hAnsiTheme="minorHAnsi" w:cstheme="minorHAnsi"/>
          <w:b/>
          <w:bCs/>
          <w:color w:val="000000" w:themeColor="text1"/>
        </w:rPr>
        <w:t xml:space="preserve"> </w:t>
      </w:r>
    </w:p>
    <w:p w14:paraId="20417C7E" w14:textId="5FD0C314" w:rsidR="001F6B52" w:rsidRDefault="00571BEB" w:rsidP="00CA4D3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The federal government collects s</w:t>
      </w:r>
      <w:r w:rsidR="001F6B52" w:rsidRPr="00CE5DC3">
        <w:rPr>
          <w:rFonts w:asciiTheme="minorHAnsi" w:hAnsiTheme="minorHAnsi" w:cstheme="minorHAnsi"/>
          <w:color w:val="000000" w:themeColor="text1"/>
        </w:rPr>
        <w:t xml:space="preserve">tatistics </w:t>
      </w:r>
      <w:r w:rsidR="00E55F98" w:rsidRPr="00CE5DC3">
        <w:rPr>
          <w:rFonts w:asciiTheme="minorHAnsi" w:hAnsiTheme="minorHAnsi" w:cstheme="minorHAnsi"/>
          <w:color w:val="000000" w:themeColor="text1"/>
        </w:rPr>
        <w:t xml:space="preserve">on </w:t>
      </w:r>
      <w:r w:rsidR="001F6B52" w:rsidRPr="00CE5DC3">
        <w:rPr>
          <w:rFonts w:asciiTheme="minorHAnsi" w:hAnsiTheme="minorHAnsi" w:cstheme="minorHAnsi"/>
          <w:color w:val="000000" w:themeColor="text1"/>
        </w:rPr>
        <w:t>criminal charges</w:t>
      </w:r>
      <w:r w:rsidR="00E55F98" w:rsidRPr="00CE5DC3">
        <w:rPr>
          <w:rFonts w:asciiTheme="minorHAnsi" w:hAnsiTheme="minorHAnsi" w:cstheme="minorHAnsi"/>
          <w:color w:val="000000" w:themeColor="text1"/>
        </w:rPr>
        <w:t xml:space="preserve"> for prostitution-related offences</w:t>
      </w:r>
      <w:r w:rsidR="001F6B52" w:rsidRPr="00CE5DC3">
        <w:rPr>
          <w:rFonts w:asciiTheme="minorHAnsi" w:hAnsiTheme="minorHAnsi" w:cstheme="minorHAnsi"/>
          <w:color w:val="000000" w:themeColor="text1"/>
        </w:rPr>
        <w:t>.</w:t>
      </w:r>
      <w:r w:rsidR="005D7B78">
        <w:rPr>
          <w:rFonts w:asciiTheme="minorHAnsi" w:hAnsiTheme="minorHAnsi" w:cstheme="minorHAnsi"/>
          <w:color w:val="000000" w:themeColor="text1"/>
        </w:rPr>
        <w:t xml:space="preserve"> </w:t>
      </w:r>
    </w:p>
    <w:p w14:paraId="21AA3F4A" w14:textId="77777777" w:rsidR="007A7AAC" w:rsidRDefault="007A7AAC" w:rsidP="00CA4D3D">
      <w:pPr>
        <w:pStyle w:val="NormalWeb"/>
        <w:spacing w:before="0" w:beforeAutospacing="0" w:after="0" w:afterAutospacing="0"/>
        <w:rPr>
          <w:rFonts w:asciiTheme="minorHAnsi" w:hAnsiTheme="minorHAnsi" w:cstheme="minorHAnsi"/>
          <w:color w:val="000000" w:themeColor="text1"/>
        </w:rPr>
      </w:pPr>
    </w:p>
    <w:p w14:paraId="53F41A6C" w14:textId="0E5D5881" w:rsidR="00CA6313" w:rsidRDefault="00BD57D6" w:rsidP="00CA4D3D">
      <w:pPr>
        <w:pStyle w:val="NormalWeb"/>
        <w:spacing w:before="0" w:beforeAutospacing="0" w:after="0" w:afterAutospacing="0"/>
      </w:pPr>
      <w:r>
        <w:rPr>
          <w:rFonts w:asciiTheme="minorHAnsi" w:hAnsiTheme="minorHAnsi" w:cstheme="minorHAnsi"/>
          <w:color w:val="000000" w:themeColor="text1"/>
        </w:rPr>
        <w:t xml:space="preserve">Other </w:t>
      </w:r>
      <w:r w:rsidR="005D7B78">
        <w:rPr>
          <w:rFonts w:asciiTheme="minorHAnsi" w:hAnsiTheme="minorHAnsi" w:cstheme="minorHAnsi"/>
          <w:color w:val="000000" w:themeColor="text1"/>
        </w:rPr>
        <w:t xml:space="preserve">data is collected is from pro-prostitution groups who advocate for decriminalization. </w:t>
      </w:r>
      <w:r w:rsidR="00817280">
        <w:rPr>
          <w:rFonts w:asciiTheme="minorHAnsi" w:hAnsiTheme="minorHAnsi" w:cstheme="minorHAnsi"/>
          <w:color w:val="000000" w:themeColor="text1"/>
        </w:rPr>
        <w:t xml:space="preserve">As Justice </w:t>
      </w:r>
      <w:r w:rsidR="005830C2">
        <w:rPr>
          <w:rFonts w:asciiTheme="minorHAnsi" w:hAnsiTheme="minorHAnsi" w:cstheme="minorHAnsi"/>
          <w:color w:val="000000" w:themeColor="text1"/>
        </w:rPr>
        <w:t>Goldstein</w:t>
      </w:r>
      <w:r w:rsidR="00817280">
        <w:rPr>
          <w:rFonts w:asciiTheme="minorHAnsi" w:hAnsiTheme="minorHAnsi" w:cstheme="minorHAnsi"/>
          <w:color w:val="000000" w:themeColor="text1"/>
        </w:rPr>
        <w:t xml:space="preserve"> points out, </w:t>
      </w:r>
      <w:r w:rsidR="00C55069">
        <w:rPr>
          <w:rFonts w:asciiTheme="minorHAnsi" w:hAnsiTheme="minorHAnsi" w:cstheme="minorHAnsi"/>
          <w:color w:val="000000" w:themeColor="text1"/>
        </w:rPr>
        <w:t>some of the research in Canada appears to conform with the pre-conceived notions of the researcher tha</w:t>
      </w:r>
      <w:r w:rsidR="005830C2">
        <w:rPr>
          <w:rFonts w:asciiTheme="minorHAnsi" w:hAnsiTheme="minorHAnsi" w:cstheme="minorHAnsi"/>
          <w:color w:val="000000" w:themeColor="text1"/>
        </w:rPr>
        <w:t>t</w:t>
      </w:r>
      <w:r w:rsidR="00C55069">
        <w:rPr>
          <w:rFonts w:asciiTheme="minorHAnsi" w:hAnsiTheme="minorHAnsi" w:cstheme="minorHAnsi"/>
          <w:color w:val="000000" w:themeColor="text1"/>
        </w:rPr>
        <w:t xml:space="preserve"> sex work is not inherently exploitive and danger</w:t>
      </w:r>
      <w:r w:rsidR="005830C2">
        <w:rPr>
          <w:rFonts w:asciiTheme="minorHAnsi" w:hAnsiTheme="minorHAnsi" w:cstheme="minorHAnsi"/>
          <w:color w:val="000000" w:themeColor="text1"/>
        </w:rPr>
        <w:t>ous</w:t>
      </w:r>
      <w:r w:rsidR="00C55069">
        <w:rPr>
          <w:rFonts w:asciiTheme="minorHAnsi" w:hAnsiTheme="minorHAnsi" w:cstheme="minorHAnsi"/>
          <w:color w:val="000000" w:themeColor="text1"/>
        </w:rPr>
        <w:t xml:space="preserve">. </w:t>
      </w:r>
      <w:r w:rsidR="00413BD1">
        <w:rPr>
          <w:rFonts w:asciiTheme="minorHAnsi" w:hAnsiTheme="minorHAnsi" w:cstheme="minorHAnsi"/>
          <w:color w:val="000000" w:themeColor="text1"/>
        </w:rPr>
        <w:t>He</w:t>
      </w:r>
      <w:r w:rsidR="00C55069">
        <w:rPr>
          <w:rFonts w:asciiTheme="minorHAnsi" w:hAnsiTheme="minorHAnsi" w:cstheme="minorHAnsi"/>
          <w:color w:val="000000" w:themeColor="text1"/>
        </w:rPr>
        <w:t xml:space="preserve"> found that the pro-prostitution experts were often “unwilling to acknowledge the reality that exploitation and trafficking play a significant, and not just a marginal role, in the sex industry”</w:t>
      </w:r>
      <w:r w:rsidR="00CA6313">
        <w:rPr>
          <w:rStyle w:val="EndnoteReference"/>
          <w:rFonts w:asciiTheme="minorHAnsi" w:hAnsiTheme="minorHAnsi" w:cstheme="minorHAnsi"/>
          <w:color w:val="000000" w:themeColor="text1"/>
        </w:rPr>
        <w:endnoteReference w:id="20"/>
      </w:r>
      <w:r w:rsidR="00CA6313">
        <w:rPr>
          <w:rFonts w:asciiTheme="minorHAnsi" w:hAnsiTheme="minorHAnsi" w:cstheme="minorHAnsi"/>
          <w:color w:val="000000" w:themeColor="text1"/>
        </w:rPr>
        <w:t xml:space="preserve"> and downplay exploitation and extrapolate from qualitative studies with limited numbers of selected sex workers.</w:t>
      </w:r>
      <w:r w:rsidR="00CA6313">
        <w:rPr>
          <w:rStyle w:val="EndnoteReference"/>
          <w:rFonts w:asciiTheme="minorHAnsi" w:hAnsiTheme="minorHAnsi" w:cstheme="minorHAnsi"/>
          <w:color w:val="000000" w:themeColor="text1"/>
        </w:rPr>
        <w:endnoteReference w:id="21"/>
      </w:r>
      <w:r w:rsidR="00CA6313">
        <w:rPr>
          <w:rFonts w:asciiTheme="minorHAnsi" w:hAnsiTheme="minorHAnsi" w:cstheme="minorHAnsi"/>
          <w:color w:val="000000" w:themeColor="text1"/>
        </w:rPr>
        <w:t xml:space="preserve">  </w:t>
      </w:r>
    </w:p>
    <w:p w14:paraId="0801EF57" w14:textId="77777777" w:rsidR="00CA6313" w:rsidRDefault="00CA6313" w:rsidP="007A7AAC">
      <w:pPr>
        <w:pStyle w:val="NormalWeb"/>
        <w:spacing w:before="0" w:beforeAutospacing="0" w:after="0" w:afterAutospacing="0"/>
        <w:rPr>
          <w:rFonts w:asciiTheme="minorHAnsi" w:hAnsiTheme="minorHAnsi" w:cstheme="minorHAnsi"/>
          <w:color w:val="000000" w:themeColor="text1"/>
        </w:rPr>
      </w:pPr>
    </w:p>
    <w:p w14:paraId="14D05D23" w14:textId="526BAE13" w:rsidR="00CA6313" w:rsidRPr="00CE5DC3" w:rsidRDefault="00CA6313" w:rsidP="00CA4D3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There is a need for the federal government to collect more data.</w:t>
      </w:r>
    </w:p>
    <w:p w14:paraId="77BF3D11" w14:textId="77777777" w:rsidR="00CA6313" w:rsidRDefault="00CA6313" w:rsidP="00CA4D3D">
      <w:pPr>
        <w:pStyle w:val="NormalWeb"/>
        <w:spacing w:before="0" w:beforeAutospacing="0" w:after="0" w:afterAutospacing="0"/>
        <w:rPr>
          <w:rFonts w:asciiTheme="minorHAnsi" w:hAnsiTheme="minorHAnsi" w:cstheme="minorHAnsi"/>
          <w:b/>
          <w:bCs/>
          <w:i/>
          <w:iCs/>
          <w:color w:val="000000" w:themeColor="text1"/>
        </w:rPr>
      </w:pPr>
    </w:p>
    <w:p w14:paraId="0D798C1A" w14:textId="35EED587" w:rsidR="00CA6313" w:rsidRPr="00EC7F0B" w:rsidRDefault="00CA6313" w:rsidP="00CA4D3D">
      <w:pPr>
        <w:pStyle w:val="NormalWeb"/>
        <w:spacing w:before="0" w:beforeAutospacing="0" w:after="0" w:afterAutospacing="0"/>
        <w:rPr>
          <w:rFonts w:asciiTheme="minorHAnsi" w:hAnsiTheme="minorHAnsi" w:cstheme="minorHAnsi"/>
          <w:b/>
          <w:bCs/>
          <w:color w:val="000000" w:themeColor="text1"/>
        </w:rPr>
      </w:pPr>
      <w:r w:rsidRPr="00EC7F0B">
        <w:rPr>
          <w:rFonts w:asciiTheme="minorHAnsi" w:hAnsiTheme="minorHAnsi" w:cstheme="minorHAnsi"/>
          <w:b/>
          <w:bCs/>
          <w:color w:val="000000" w:themeColor="text1"/>
        </w:rPr>
        <w:lastRenderedPageBreak/>
        <w:t>Q.13</w:t>
      </w:r>
    </w:p>
    <w:p w14:paraId="5FAEA97F" w14:textId="77777777" w:rsidR="00BF1CB1" w:rsidRDefault="00CA6313" w:rsidP="00CA4D3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We do not believe it is possible to protect and promote the safety of women and girls so long as the system of prostitution is normalized or legitimized. Canada’s </w:t>
      </w:r>
      <w:r w:rsidRPr="00BD57D6">
        <w:rPr>
          <w:rFonts w:asciiTheme="minorHAnsi" w:hAnsiTheme="minorHAnsi" w:cstheme="minorHAnsi"/>
          <w:color w:val="000000" w:themeColor="text1"/>
        </w:rPr>
        <w:t>PCEPA</w:t>
      </w:r>
      <w:r>
        <w:rPr>
          <w:rFonts w:asciiTheme="minorHAnsi" w:hAnsiTheme="minorHAnsi" w:cstheme="minorHAnsi"/>
          <w:color w:val="000000" w:themeColor="text1"/>
        </w:rPr>
        <w:t xml:space="preserve"> seeks to “reduce the demand for prostitution with a view to discouraging entry into it, deterring participation in it, and ultimately abolishing it to the greatest extent possible, in order to protect communities, human dignity and equality.”</w:t>
      </w:r>
      <w:r>
        <w:rPr>
          <w:rStyle w:val="EndnoteReference"/>
          <w:rFonts w:asciiTheme="minorHAnsi" w:hAnsiTheme="minorHAnsi" w:cstheme="minorHAnsi"/>
          <w:color w:val="000000" w:themeColor="text1"/>
        </w:rPr>
        <w:endnoteReference w:id="22"/>
      </w:r>
      <w:r>
        <w:rPr>
          <w:rFonts w:asciiTheme="minorHAnsi" w:hAnsiTheme="minorHAnsi" w:cstheme="minorHAnsi"/>
          <w:color w:val="000000" w:themeColor="text1"/>
        </w:rPr>
        <w:t xml:space="preserve"> </w:t>
      </w:r>
      <w:r w:rsidRPr="00BD57D6">
        <w:rPr>
          <w:rFonts w:asciiTheme="minorHAnsi" w:hAnsiTheme="minorHAnsi" w:cstheme="minorHAnsi"/>
          <w:color w:val="000000" w:themeColor="text1"/>
        </w:rPr>
        <w:t>PCEPA</w:t>
      </w:r>
      <w:r>
        <w:rPr>
          <w:rFonts w:asciiTheme="minorHAnsi" w:hAnsiTheme="minorHAnsi" w:cstheme="minorHAnsi"/>
          <w:color w:val="000000" w:themeColor="text1"/>
        </w:rPr>
        <w:t xml:space="preserve"> treats prostitution as a form of sexual exploitation that disproportionately and negatively impacts on women and girls, and maintains that the best way to avoid prostitution’s harms is to bring an end to it.</w:t>
      </w:r>
      <w:r>
        <w:rPr>
          <w:rStyle w:val="EndnoteReference"/>
          <w:rFonts w:asciiTheme="minorHAnsi" w:hAnsiTheme="minorHAnsi" w:cstheme="minorHAnsi"/>
          <w:color w:val="000000" w:themeColor="text1"/>
        </w:rPr>
        <w:endnoteReference w:id="23"/>
      </w:r>
      <w:r>
        <w:rPr>
          <w:rFonts w:asciiTheme="minorHAnsi" w:hAnsiTheme="minorHAnsi" w:cstheme="minorHAnsi"/>
          <w:color w:val="000000" w:themeColor="text1"/>
        </w:rPr>
        <w:t xml:space="preserve"> </w:t>
      </w:r>
    </w:p>
    <w:p w14:paraId="58D4F93D" w14:textId="77777777" w:rsidR="007A7AAC" w:rsidRDefault="007A7AAC" w:rsidP="007A7AAC">
      <w:pPr>
        <w:pStyle w:val="NormalWeb"/>
        <w:spacing w:before="0" w:beforeAutospacing="0" w:after="0" w:afterAutospacing="0"/>
        <w:rPr>
          <w:rFonts w:asciiTheme="minorHAnsi" w:hAnsiTheme="minorHAnsi" w:cstheme="minorHAnsi"/>
          <w:color w:val="000000" w:themeColor="text1"/>
        </w:rPr>
      </w:pPr>
    </w:p>
    <w:p w14:paraId="19BA3667" w14:textId="2894357E" w:rsidR="005830C2" w:rsidRDefault="005830C2" w:rsidP="00CA4D3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It is evident</w:t>
      </w:r>
      <w:r w:rsidR="00A75F6C">
        <w:rPr>
          <w:rFonts w:asciiTheme="minorHAnsi" w:hAnsiTheme="minorHAnsi" w:cstheme="minorHAnsi"/>
          <w:color w:val="000000" w:themeColor="text1"/>
        </w:rPr>
        <w:t>,</w:t>
      </w:r>
      <w:r>
        <w:rPr>
          <w:rFonts w:asciiTheme="minorHAnsi" w:hAnsiTheme="minorHAnsi" w:cstheme="minorHAnsi"/>
          <w:color w:val="000000" w:themeColor="text1"/>
        </w:rPr>
        <w:t xml:space="preserve"> however</w:t>
      </w:r>
      <w:r w:rsidR="00A75F6C">
        <w:rPr>
          <w:rFonts w:asciiTheme="minorHAnsi" w:hAnsiTheme="minorHAnsi" w:cstheme="minorHAnsi"/>
          <w:color w:val="000000" w:themeColor="text1"/>
        </w:rPr>
        <w:t>,</w:t>
      </w:r>
      <w:r>
        <w:rPr>
          <w:rFonts w:asciiTheme="minorHAnsi" w:hAnsiTheme="minorHAnsi" w:cstheme="minorHAnsi"/>
          <w:color w:val="000000" w:themeColor="text1"/>
        </w:rPr>
        <w:t xml:space="preserve"> that successful implementation of the laws must be accompanied by public awareness about the laws and their intent and significant, sustained investment in exit services and supports for those wishing to exit prostitution. </w:t>
      </w:r>
    </w:p>
    <w:p w14:paraId="0663ED1E" w14:textId="77777777" w:rsidR="007A7AAC" w:rsidRDefault="007A7AAC" w:rsidP="007A7AAC">
      <w:pPr>
        <w:pStyle w:val="NormalWeb"/>
        <w:spacing w:before="0" w:beforeAutospacing="0" w:after="0" w:afterAutospacing="0"/>
        <w:rPr>
          <w:rFonts w:asciiTheme="minorHAnsi" w:hAnsiTheme="minorHAnsi" w:cstheme="minorHAnsi"/>
          <w:b/>
          <w:bCs/>
          <w:i/>
          <w:iCs/>
          <w:color w:val="000000" w:themeColor="text1"/>
        </w:rPr>
      </w:pPr>
    </w:p>
    <w:p w14:paraId="0B006A6F" w14:textId="0F17E8A0" w:rsidR="002F6005" w:rsidRPr="0022029E" w:rsidRDefault="00BC74DF" w:rsidP="00CA4D3D">
      <w:pPr>
        <w:pStyle w:val="NormalWeb"/>
        <w:spacing w:before="0" w:beforeAutospacing="0" w:after="0" w:afterAutospacing="0"/>
        <w:rPr>
          <w:rFonts w:asciiTheme="minorHAnsi" w:hAnsiTheme="minorHAnsi" w:cstheme="minorHAnsi"/>
          <w:b/>
          <w:bCs/>
          <w:color w:val="000000" w:themeColor="text1"/>
        </w:rPr>
      </w:pPr>
      <w:r w:rsidRPr="0022029E">
        <w:rPr>
          <w:rFonts w:asciiTheme="minorHAnsi" w:hAnsiTheme="minorHAnsi" w:cstheme="minorHAnsi"/>
          <w:b/>
          <w:bCs/>
          <w:color w:val="000000" w:themeColor="text1"/>
        </w:rPr>
        <w:t>Q.14</w:t>
      </w:r>
      <w:r w:rsidR="002F6005" w:rsidRPr="0022029E">
        <w:rPr>
          <w:rFonts w:asciiTheme="minorHAnsi" w:hAnsiTheme="minorHAnsi" w:cstheme="minorHAnsi"/>
          <w:b/>
          <w:bCs/>
          <w:color w:val="000000" w:themeColor="text1"/>
        </w:rPr>
        <w:t xml:space="preserve"> </w:t>
      </w:r>
    </w:p>
    <w:p w14:paraId="3337C71B" w14:textId="2AF53D0F" w:rsidR="00EE0992" w:rsidRPr="00CE5DC3" w:rsidRDefault="00EE0992" w:rsidP="00CA4D3D">
      <w:pPr>
        <w:pStyle w:val="NormalWeb"/>
        <w:spacing w:before="0" w:beforeAutospacing="0" w:after="0" w:afterAutospacing="0"/>
        <w:rPr>
          <w:rFonts w:asciiTheme="minorHAnsi" w:hAnsiTheme="minorHAnsi" w:cstheme="minorHAnsi"/>
          <w:color w:val="000000" w:themeColor="text1"/>
        </w:rPr>
      </w:pPr>
      <w:r w:rsidRPr="00CE5DC3">
        <w:rPr>
          <w:rFonts w:asciiTheme="minorHAnsi" w:hAnsiTheme="minorHAnsi" w:cstheme="minorHAnsi"/>
          <w:color w:val="000000" w:themeColor="text1"/>
        </w:rPr>
        <w:t>I</w:t>
      </w:r>
      <w:r w:rsidR="005830C2">
        <w:rPr>
          <w:rFonts w:asciiTheme="minorHAnsi" w:hAnsiTheme="minorHAnsi" w:cstheme="minorHAnsi"/>
          <w:color w:val="000000" w:themeColor="text1"/>
        </w:rPr>
        <w:t xml:space="preserve">t is critical that survivors be included in policy development, </w:t>
      </w:r>
      <w:r w:rsidRPr="00CE5DC3">
        <w:rPr>
          <w:rFonts w:asciiTheme="minorHAnsi" w:hAnsiTheme="minorHAnsi" w:cstheme="minorHAnsi"/>
          <w:color w:val="000000" w:themeColor="text1"/>
        </w:rPr>
        <w:t xml:space="preserve">especially </w:t>
      </w:r>
      <w:proofErr w:type="gramStart"/>
      <w:r w:rsidRPr="00CE5DC3">
        <w:rPr>
          <w:rFonts w:asciiTheme="minorHAnsi" w:hAnsiTheme="minorHAnsi" w:cstheme="minorHAnsi"/>
          <w:color w:val="000000" w:themeColor="text1"/>
        </w:rPr>
        <w:t>in light of</w:t>
      </w:r>
      <w:proofErr w:type="gramEnd"/>
      <w:r w:rsidRPr="00CE5DC3">
        <w:rPr>
          <w:rFonts w:asciiTheme="minorHAnsi" w:hAnsiTheme="minorHAnsi" w:cstheme="minorHAnsi"/>
          <w:color w:val="000000" w:themeColor="text1"/>
        </w:rPr>
        <w:t xml:space="preserve"> confirmation bias among researchers and frontline organizations</w:t>
      </w:r>
      <w:r w:rsidR="00594F6E" w:rsidRPr="00CE5DC3">
        <w:rPr>
          <w:rFonts w:asciiTheme="minorHAnsi" w:hAnsiTheme="minorHAnsi" w:cstheme="minorHAnsi"/>
          <w:color w:val="000000" w:themeColor="text1"/>
        </w:rPr>
        <w:t xml:space="preserve">, </w:t>
      </w:r>
      <w:r w:rsidR="00BC74DF">
        <w:rPr>
          <w:rFonts w:asciiTheme="minorHAnsi" w:hAnsiTheme="minorHAnsi" w:cstheme="minorHAnsi"/>
          <w:color w:val="000000" w:themeColor="text1"/>
        </w:rPr>
        <w:t xml:space="preserve">and a </w:t>
      </w:r>
      <w:r w:rsidR="00594F6E" w:rsidRPr="00CE5DC3">
        <w:rPr>
          <w:rFonts w:asciiTheme="minorHAnsi" w:hAnsiTheme="minorHAnsi" w:cstheme="minorHAnsi"/>
          <w:color w:val="000000" w:themeColor="text1"/>
        </w:rPr>
        <w:t>tendency towards advocacy</w:t>
      </w:r>
      <w:r w:rsidR="00B671F4" w:rsidRPr="00CE5DC3">
        <w:rPr>
          <w:rFonts w:asciiTheme="minorHAnsi" w:hAnsiTheme="minorHAnsi" w:cstheme="minorHAnsi"/>
          <w:color w:val="000000" w:themeColor="text1"/>
        </w:rPr>
        <w:t xml:space="preserve"> for decriminalization</w:t>
      </w:r>
      <w:r w:rsidRPr="00CE5DC3">
        <w:rPr>
          <w:rFonts w:asciiTheme="minorHAnsi" w:hAnsiTheme="minorHAnsi" w:cstheme="minorHAnsi"/>
          <w:color w:val="000000" w:themeColor="text1"/>
        </w:rPr>
        <w:t>.</w:t>
      </w:r>
    </w:p>
    <w:p w14:paraId="6D8742DE" w14:textId="77777777" w:rsidR="007A7AAC" w:rsidRDefault="007A7AAC" w:rsidP="007A7AAC">
      <w:pPr>
        <w:pStyle w:val="NormalWeb"/>
        <w:spacing w:before="0" w:beforeAutospacing="0" w:after="0" w:afterAutospacing="0"/>
        <w:rPr>
          <w:rFonts w:asciiTheme="minorHAnsi" w:hAnsiTheme="minorHAnsi" w:cstheme="minorHAnsi"/>
          <w:b/>
          <w:bCs/>
          <w:i/>
          <w:iCs/>
          <w:color w:val="000000" w:themeColor="text1"/>
        </w:rPr>
      </w:pPr>
    </w:p>
    <w:p w14:paraId="29FFE583" w14:textId="29DAC2D6" w:rsidR="002F6005" w:rsidRPr="0022029E" w:rsidRDefault="00BC74DF" w:rsidP="00CA4D3D">
      <w:pPr>
        <w:pStyle w:val="NormalWeb"/>
        <w:spacing w:before="0" w:beforeAutospacing="0" w:after="0" w:afterAutospacing="0"/>
        <w:rPr>
          <w:rFonts w:asciiTheme="minorHAnsi" w:hAnsiTheme="minorHAnsi" w:cstheme="minorHAnsi"/>
          <w:b/>
          <w:bCs/>
          <w:color w:val="000000" w:themeColor="text1"/>
        </w:rPr>
      </w:pPr>
      <w:r w:rsidRPr="0022029E">
        <w:rPr>
          <w:rFonts w:asciiTheme="minorHAnsi" w:hAnsiTheme="minorHAnsi" w:cstheme="minorHAnsi"/>
          <w:b/>
          <w:bCs/>
          <w:color w:val="000000" w:themeColor="text1"/>
        </w:rPr>
        <w:t>Q.15</w:t>
      </w:r>
      <w:r w:rsidR="002F6005" w:rsidRPr="0022029E">
        <w:rPr>
          <w:rFonts w:asciiTheme="minorHAnsi" w:hAnsiTheme="minorHAnsi" w:cstheme="minorHAnsi"/>
          <w:b/>
          <w:bCs/>
          <w:color w:val="000000" w:themeColor="text1"/>
        </w:rPr>
        <w:t xml:space="preserve"> </w:t>
      </w:r>
    </w:p>
    <w:p w14:paraId="4AD1E806" w14:textId="4E6B90C8" w:rsidR="00DB062D" w:rsidRDefault="00DB062D" w:rsidP="00607808">
      <w:pPr>
        <w:rPr>
          <w:rFonts w:cstheme="minorHAnsi"/>
        </w:rPr>
      </w:pPr>
      <w:r>
        <w:rPr>
          <w:rFonts w:cstheme="minorHAnsi"/>
        </w:rPr>
        <w:t>We believe Canada must:</w:t>
      </w:r>
    </w:p>
    <w:p w14:paraId="66B63630" w14:textId="7251560A" w:rsidR="00E164FC" w:rsidRPr="00F42B7D" w:rsidRDefault="00097ADD" w:rsidP="00CA4D3D">
      <w:pPr>
        <w:pStyle w:val="ListParagraph"/>
        <w:numPr>
          <w:ilvl w:val="0"/>
          <w:numId w:val="4"/>
        </w:numPr>
        <w:spacing w:before="0" w:beforeAutospacing="0"/>
        <w:rPr>
          <w:rFonts w:asciiTheme="minorHAnsi" w:hAnsiTheme="minorHAnsi" w:cstheme="minorHAnsi"/>
        </w:rPr>
      </w:pPr>
      <w:r w:rsidRPr="00F42B7D">
        <w:rPr>
          <w:rFonts w:asciiTheme="minorHAnsi" w:hAnsiTheme="minorHAnsi" w:cstheme="minorHAnsi"/>
        </w:rPr>
        <w:t>Maintain and enforce</w:t>
      </w:r>
      <w:r w:rsidR="00E164FC" w:rsidRPr="00F42B7D">
        <w:rPr>
          <w:rFonts w:asciiTheme="minorHAnsi" w:hAnsiTheme="minorHAnsi" w:cstheme="minorHAnsi"/>
        </w:rPr>
        <w:t xml:space="preserve"> the prohibition against buying sexual services</w:t>
      </w:r>
      <w:r w:rsidR="00F42B7D">
        <w:rPr>
          <w:rFonts w:asciiTheme="minorHAnsi" w:hAnsiTheme="minorHAnsi" w:cstheme="minorHAnsi"/>
        </w:rPr>
        <w:t>.</w:t>
      </w:r>
      <w:r w:rsidR="00E164FC" w:rsidRPr="00F42B7D">
        <w:rPr>
          <w:rFonts w:asciiTheme="minorHAnsi" w:hAnsiTheme="minorHAnsi" w:cstheme="minorHAnsi"/>
        </w:rPr>
        <w:t xml:space="preserve"> </w:t>
      </w:r>
    </w:p>
    <w:p w14:paraId="0D4C41EA" w14:textId="14A9285E" w:rsidR="002F6005" w:rsidRPr="00F42B7D" w:rsidRDefault="00E164FC" w:rsidP="00CA4D3D">
      <w:pPr>
        <w:pStyle w:val="NormalWeb"/>
        <w:numPr>
          <w:ilvl w:val="0"/>
          <w:numId w:val="4"/>
        </w:numPr>
        <w:spacing w:before="0" w:beforeAutospacing="0"/>
        <w:rPr>
          <w:rFonts w:asciiTheme="minorHAnsi" w:hAnsiTheme="minorHAnsi" w:cstheme="minorHAnsi"/>
        </w:rPr>
      </w:pPr>
      <w:r w:rsidRPr="00F42B7D">
        <w:rPr>
          <w:rFonts w:asciiTheme="minorHAnsi" w:hAnsiTheme="minorHAnsi" w:cstheme="minorHAnsi"/>
        </w:rPr>
        <w:t xml:space="preserve">Initiate </w:t>
      </w:r>
      <w:r w:rsidR="00941CFA" w:rsidRPr="00F42B7D">
        <w:rPr>
          <w:rFonts w:asciiTheme="minorHAnsi" w:hAnsiTheme="minorHAnsi" w:cstheme="minorHAnsi"/>
        </w:rPr>
        <w:t xml:space="preserve">public awareness </w:t>
      </w:r>
      <w:r w:rsidRPr="00F42B7D">
        <w:rPr>
          <w:rFonts w:asciiTheme="minorHAnsi" w:hAnsiTheme="minorHAnsi" w:cstheme="minorHAnsi"/>
        </w:rPr>
        <w:t xml:space="preserve">campaigns and education about </w:t>
      </w:r>
      <w:r w:rsidR="00941CFA" w:rsidRPr="00F42B7D">
        <w:rPr>
          <w:rFonts w:asciiTheme="minorHAnsi" w:hAnsiTheme="minorHAnsi" w:cstheme="minorHAnsi"/>
        </w:rPr>
        <w:t>the law</w:t>
      </w:r>
      <w:r w:rsidR="00097ADD" w:rsidRPr="00F42B7D">
        <w:rPr>
          <w:rFonts w:asciiTheme="minorHAnsi" w:hAnsiTheme="minorHAnsi" w:cstheme="minorHAnsi"/>
        </w:rPr>
        <w:t xml:space="preserve"> and its intent</w:t>
      </w:r>
      <w:r w:rsidR="003B6A77" w:rsidRPr="00F42B7D">
        <w:rPr>
          <w:rFonts w:asciiTheme="minorHAnsi" w:hAnsiTheme="minorHAnsi" w:cstheme="minorHAnsi"/>
        </w:rPr>
        <w:t>.</w:t>
      </w:r>
    </w:p>
    <w:p w14:paraId="072BAA8A" w14:textId="7E0B823C" w:rsidR="003F4A4B" w:rsidRPr="00F42B7D" w:rsidRDefault="00E164FC" w:rsidP="00F42B7D">
      <w:pPr>
        <w:pStyle w:val="ListParagraph"/>
        <w:numPr>
          <w:ilvl w:val="0"/>
          <w:numId w:val="4"/>
        </w:numPr>
        <w:spacing w:before="0" w:beforeAutospacing="0" w:after="0" w:afterAutospacing="0"/>
        <w:rPr>
          <w:rFonts w:asciiTheme="minorHAnsi" w:hAnsiTheme="minorHAnsi" w:cstheme="minorHAnsi"/>
        </w:rPr>
      </w:pPr>
      <w:r w:rsidRPr="00F42B7D">
        <w:rPr>
          <w:rFonts w:asciiTheme="minorHAnsi" w:hAnsiTheme="minorHAnsi" w:cstheme="minorHAnsi"/>
        </w:rPr>
        <w:t>Commit to</w:t>
      </w:r>
      <w:r w:rsidR="00DC2496" w:rsidRPr="00F42B7D">
        <w:rPr>
          <w:rFonts w:asciiTheme="minorHAnsi" w:hAnsiTheme="minorHAnsi" w:cstheme="minorHAnsi"/>
        </w:rPr>
        <w:t xml:space="preserve"> stable, substantive funding for exit services and supports.</w:t>
      </w:r>
    </w:p>
    <w:p w14:paraId="244A454D" w14:textId="46C4EBB0" w:rsidR="00C32E82" w:rsidRPr="00F42B7D" w:rsidRDefault="00097ADD" w:rsidP="00F42B7D">
      <w:pPr>
        <w:pStyle w:val="ListParagraph"/>
        <w:numPr>
          <w:ilvl w:val="0"/>
          <w:numId w:val="4"/>
        </w:numPr>
        <w:spacing w:before="0" w:beforeAutospacing="0" w:after="0" w:afterAutospacing="0"/>
        <w:rPr>
          <w:rFonts w:asciiTheme="minorHAnsi" w:hAnsiTheme="minorHAnsi" w:cstheme="minorHAnsi"/>
        </w:rPr>
      </w:pPr>
      <w:r w:rsidRPr="00F42B7D">
        <w:rPr>
          <w:rFonts w:asciiTheme="minorHAnsi" w:hAnsiTheme="minorHAnsi" w:cstheme="minorHAnsi"/>
        </w:rPr>
        <w:t xml:space="preserve">Encourage the provinces to continue or reinstate </w:t>
      </w:r>
      <w:r w:rsidR="003B6A77" w:rsidRPr="00F42B7D">
        <w:rPr>
          <w:rFonts w:asciiTheme="minorHAnsi" w:hAnsiTheme="minorHAnsi" w:cstheme="minorHAnsi"/>
        </w:rPr>
        <w:t xml:space="preserve">educational </w:t>
      </w:r>
      <w:r w:rsidRPr="00F42B7D">
        <w:rPr>
          <w:rFonts w:asciiTheme="minorHAnsi" w:hAnsiTheme="minorHAnsi" w:cstheme="minorHAnsi"/>
        </w:rPr>
        <w:t>diversion programs for first time prostitution offenders.</w:t>
      </w:r>
    </w:p>
    <w:p w14:paraId="6DBDC56B" w14:textId="1D542A02" w:rsidR="0073632B" w:rsidRPr="00F42B7D" w:rsidRDefault="001B75D5" w:rsidP="00F42B7D">
      <w:pPr>
        <w:pStyle w:val="ListParagraph"/>
        <w:numPr>
          <w:ilvl w:val="0"/>
          <w:numId w:val="4"/>
        </w:numPr>
        <w:spacing w:before="0" w:beforeAutospacing="0" w:after="0" w:afterAutospacing="0"/>
        <w:rPr>
          <w:rFonts w:asciiTheme="minorHAnsi" w:hAnsiTheme="minorHAnsi" w:cstheme="minorHAnsi"/>
        </w:rPr>
      </w:pPr>
      <w:r w:rsidRPr="00F42B7D">
        <w:rPr>
          <w:rFonts w:asciiTheme="minorHAnsi" w:hAnsiTheme="minorHAnsi" w:cstheme="minorHAnsi"/>
        </w:rPr>
        <w:t>Establish c</w:t>
      </w:r>
      <w:r w:rsidR="00C32E82" w:rsidRPr="00F42B7D">
        <w:rPr>
          <w:rFonts w:asciiTheme="minorHAnsi" w:hAnsiTheme="minorHAnsi" w:cstheme="minorHAnsi"/>
        </w:rPr>
        <w:t>omprehensive and standardized education for law enforcement</w:t>
      </w:r>
      <w:r w:rsidR="00F42B7D">
        <w:rPr>
          <w:rFonts w:asciiTheme="minorHAnsi" w:hAnsiTheme="minorHAnsi" w:cstheme="minorHAnsi"/>
        </w:rPr>
        <w:t>.</w:t>
      </w:r>
    </w:p>
    <w:p w14:paraId="2C89FAA5" w14:textId="24885047" w:rsidR="00C32E82" w:rsidRPr="00F42B7D" w:rsidRDefault="001B75D5" w:rsidP="00CE5614">
      <w:pPr>
        <w:pStyle w:val="ListParagraph"/>
        <w:numPr>
          <w:ilvl w:val="0"/>
          <w:numId w:val="5"/>
        </w:numPr>
        <w:spacing w:before="0" w:beforeAutospacing="0" w:after="0" w:afterAutospacing="0"/>
        <w:rPr>
          <w:rFonts w:asciiTheme="minorHAnsi" w:hAnsiTheme="minorHAnsi" w:cstheme="minorHAnsi"/>
        </w:rPr>
      </w:pPr>
      <w:r w:rsidRPr="00F42B7D">
        <w:rPr>
          <w:rFonts w:asciiTheme="minorHAnsi" w:hAnsiTheme="minorHAnsi" w:cstheme="minorHAnsi"/>
        </w:rPr>
        <w:t>Undertake</w:t>
      </w:r>
      <w:r w:rsidR="00F2352C" w:rsidRPr="00F42B7D">
        <w:rPr>
          <w:rFonts w:asciiTheme="minorHAnsi" w:hAnsiTheme="minorHAnsi" w:cstheme="minorHAnsi"/>
        </w:rPr>
        <w:t xml:space="preserve"> c</w:t>
      </w:r>
      <w:r w:rsidR="00C32E82" w:rsidRPr="00F42B7D">
        <w:rPr>
          <w:rFonts w:asciiTheme="minorHAnsi" w:hAnsiTheme="minorHAnsi" w:cstheme="minorHAnsi"/>
        </w:rPr>
        <w:t>lear communication with provincial Attorneys General and Crown Attorneys</w:t>
      </w:r>
      <w:r w:rsidR="00AC46FC" w:rsidRPr="00F42B7D">
        <w:rPr>
          <w:rFonts w:asciiTheme="minorHAnsi" w:hAnsiTheme="minorHAnsi" w:cstheme="minorHAnsi"/>
        </w:rPr>
        <w:t>,</w:t>
      </w:r>
      <w:r w:rsidR="00C32E82" w:rsidRPr="00F42B7D">
        <w:rPr>
          <w:rFonts w:asciiTheme="minorHAnsi" w:hAnsiTheme="minorHAnsi" w:cstheme="minorHAnsi"/>
        </w:rPr>
        <w:t xml:space="preserve"> and encouragement </w:t>
      </w:r>
      <w:r w:rsidR="00AC46FC" w:rsidRPr="00F42B7D">
        <w:rPr>
          <w:rFonts w:asciiTheme="minorHAnsi" w:hAnsiTheme="minorHAnsi" w:cstheme="minorHAnsi"/>
        </w:rPr>
        <w:t>to</w:t>
      </w:r>
      <w:r w:rsidR="00C32E82" w:rsidRPr="00F42B7D">
        <w:rPr>
          <w:rFonts w:asciiTheme="minorHAnsi" w:hAnsiTheme="minorHAnsi" w:cstheme="minorHAnsi"/>
        </w:rPr>
        <w:t xml:space="preserve"> enforc</w:t>
      </w:r>
      <w:r w:rsidR="00AC46FC" w:rsidRPr="00F42B7D">
        <w:rPr>
          <w:rFonts w:asciiTheme="minorHAnsi" w:hAnsiTheme="minorHAnsi" w:cstheme="minorHAnsi"/>
        </w:rPr>
        <w:t>e</w:t>
      </w:r>
      <w:r w:rsidR="00C32E82" w:rsidRPr="00F42B7D">
        <w:rPr>
          <w:rFonts w:asciiTheme="minorHAnsi" w:hAnsiTheme="minorHAnsi" w:cstheme="minorHAnsi"/>
        </w:rPr>
        <w:t xml:space="preserve"> the laws</w:t>
      </w:r>
      <w:r w:rsidR="00237001" w:rsidRPr="00F42B7D">
        <w:rPr>
          <w:rFonts w:asciiTheme="minorHAnsi" w:hAnsiTheme="minorHAnsi" w:cstheme="minorHAnsi"/>
        </w:rPr>
        <w:t>.</w:t>
      </w:r>
    </w:p>
    <w:p w14:paraId="5BD670F4" w14:textId="434A0E57" w:rsidR="00C32E82" w:rsidRDefault="00C32E82" w:rsidP="00607808">
      <w:pPr>
        <w:rPr>
          <w:rFonts w:cstheme="minorHAnsi"/>
        </w:rPr>
      </w:pPr>
    </w:p>
    <w:p w14:paraId="1C4278C0" w14:textId="77777777" w:rsidR="006C3B99" w:rsidRDefault="006C3B99" w:rsidP="00607808">
      <w:pPr>
        <w:rPr>
          <w:rFonts w:cstheme="minorHAnsi"/>
          <w:b/>
          <w:bCs/>
        </w:rPr>
      </w:pPr>
    </w:p>
    <w:p w14:paraId="55CFEB5E" w14:textId="73A1ABA3" w:rsidR="006C3B99" w:rsidRPr="006C3B99" w:rsidRDefault="006C3B99" w:rsidP="00607808">
      <w:pPr>
        <w:rPr>
          <w:rFonts w:cstheme="minorHAnsi"/>
          <w:b/>
          <w:bCs/>
        </w:rPr>
      </w:pPr>
      <w:r w:rsidRPr="006C3B99">
        <w:rPr>
          <w:rFonts w:cstheme="minorHAnsi"/>
          <w:b/>
          <w:bCs/>
        </w:rPr>
        <w:t>Contact:</w:t>
      </w:r>
    </w:p>
    <w:p w14:paraId="335D1FCA" w14:textId="648B30F5" w:rsidR="006C3B99" w:rsidRDefault="006C3B99" w:rsidP="00607808">
      <w:pPr>
        <w:rPr>
          <w:rFonts w:cstheme="minorHAnsi"/>
        </w:rPr>
      </w:pPr>
      <w:r>
        <w:rPr>
          <w:rFonts w:cstheme="minorHAnsi"/>
        </w:rPr>
        <w:t>The EFC’s Centre for Faith and Public Life</w:t>
      </w:r>
    </w:p>
    <w:p w14:paraId="11A33785" w14:textId="2BFB2D3E" w:rsidR="006C3B99" w:rsidRDefault="006C3B99" w:rsidP="00607808">
      <w:pPr>
        <w:rPr>
          <w:rFonts w:cstheme="minorHAnsi"/>
        </w:rPr>
      </w:pPr>
      <w:r>
        <w:rPr>
          <w:rFonts w:cstheme="minorHAnsi"/>
        </w:rPr>
        <w:t>Ottawa, Ontario, Canada</w:t>
      </w:r>
    </w:p>
    <w:p w14:paraId="44E201FF" w14:textId="1279FD5A" w:rsidR="006C3B99" w:rsidRDefault="00BD57D6" w:rsidP="00607808">
      <w:pPr>
        <w:rPr>
          <w:rFonts w:cstheme="minorHAnsi"/>
        </w:rPr>
      </w:pPr>
      <w:hyperlink r:id="rId9" w:history="1">
        <w:r w:rsidRPr="003B792F">
          <w:rPr>
            <w:rStyle w:val="Hyperlink"/>
            <w:rFonts w:cstheme="minorHAnsi"/>
          </w:rPr>
          <w:t>ottawa@theefc.ca</w:t>
        </w:r>
      </w:hyperlink>
    </w:p>
    <w:p w14:paraId="6F5FC7A6" w14:textId="77777777" w:rsidR="006C3B99" w:rsidRPr="00F42B7D" w:rsidRDefault="006C3B99" w:rsidP="00607808">
      <w:pPr>
        <w:rPr>
          <w:rFonts w:cstheme="minorHAnsi"/>
        </w:rPr>
      </w:pPr>
    </w:p>
    <w:sectPr w:rsidR="006C3B99" w:rsidRPr="00F42B7D">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552D" w14:textId="77777777" w:rsidR="009F3887" w:rsidRDefault="009F3887" w:rsidP="00196F56">
      <w:r>
        <w:separator/>
      </w:r>
    </w:p>
  </w:endnote>
  <w:endnote w:type="continuationSeparator" w:id="0">
    <w:p w14:paraId="62751820" w14:textId="77777777" w:rsidR="009F3887" w:rsidRDefault="009F3887" w:rsidP="00196F56">
      <w:r>
        <w:continuationSeparator/>
      </w:r>
    </w:p>
  </w:endnote>
  <w:endnote w:id="1">
    <w:p w14:paraId="79D362FC" w14:textId="7B7A74AF" w:rsidR="00A9269A" w:rsidRPr="00F42B7D" w:rsidRDefault="00A9269A" w:rsidP="004D4ED8">
      <w:pPr>
        <w:pStyle w:val="EndnoteText"/>
        <w:rPr>
          <w:rFonts w:cstheme="minorHAnsi"/>
        </w:rPr>
      </w:pPr>
      <w:r>
        <w:rPr>
          <w:rStyle w:val="EndnoteReference"/>
        </w:rPr>
        <w:endnoteRef/>
      </w:r>
      <w:r>
        <w:t xml:space="preserve"> </w:t>
      </w:r>
      <w:r w:rsidRPr="001760E3">
        <w:rPr>
          <w:rFonts w:cstheme="minorHAnsi"/>
          <w:i/>
          <w:iCs/>
        </w:rPr>
        <w:t>Canadian Alliance for Sex Work Law Reform v. Attorney General</w:t>
      </w:r>
      <w:r w:rsidR="00A04A34">
        <w:rPr>
          <w:rFonts w:cstheme="minorHAnsi"/>
          <w:i/>
          <w:iCs/>
        </w:rPr>
        <w:t>,</w:t>
      </w:r>
      <w:r>
        <w:rPr>
          <w:rFonts w:cstheme="minorHAnsi"/>
        </w:rPr>
        <w:t xml:space="preserve"> paragraph 183</w:t>
      </w:r>
      <w:r w:rsidR="00500A0E">
        <w:rPr>
          <w:rFonts w:cstheme="minorHAnsi"/>
        </w:rPr>
        <w:t xml:space="preserve">, </w:t>
      </w:r>
      <w:hyperlink r:id="rId1" w:history="1">
        <w:r w:rsidR="00500A0E" w:rsidRPr="004E10A0">
          <w:rPr>
            <w:rStyle w:val="Hyperlink"/>
            <w:rFonts w:cstheme="minorHAnsi"/>
          </w:rPr>
          <w:t>https://www.canlii.org/en/on/onsc/doc/2023/2023onsc5197/2023onsc5197.html#_Toc145586659https://www.canlii.org/en/on/onsc/doc/2023/2023onsc5197/2023onsc5197.html</w:t>
        </w:r>
      </w:hyperlink>
      <w:r>
        <w:rPr>
          <w:rFonts w:cstheme="minorHAnsi"/>
        </w:rPr>
        <w:t xml:space="preserve"> </w:t>
      </w:r>
    </w:p>
  </w:endnote>
  <w:endnote w:id="2">
    <w:p w14:paraId="530DC1D3" w14:textId="578F2805" w:rsidR="00A9269A" w:rsidRPr="00A9269A" w:rsidRDefault="00A9269A">
      <w:pPr>
        <w:pStyle w:val="EndnoteText"/>
      </w:pPr>
      <w:r>
        <w:rPr>
          <w:rStyle w:val="EndnoteReference"/>
        </w:rPr>
        <w:endnoteRef/>
      </w:r>
      <w:r>
        <w:t xml:space="preserve"> </w:t>
      </w:r>
      <w:r w:rsidR="00F727E4">
        <w:t>Ibid</w:t>
      </w:r>
      <w:r w:rsidR="00907945">
        <w:t>,</w:t>
      </w:r>
      <w:r w:rsidR="00F727E4">
        <w:t xml:space="preserve"> </w:t>
      </w:r>
      <w:r w:rsidRPr="00A9269A">
        <w:t>para</w:t>
      </w:r>
      <w:r w:rsidR="00F727E4">
        <w:t>graph</w:t>
      </w:r>
      <w:r w:rsidRPr="00A9269A">
        <w:t xml:space="preserve"> 163</w:t>
      </w:r>
    </w:p>
  </w:endnote>
  <w:endnote w:id="3">
    <w:p w14:paraId="00EAF938" w14:textId="29FF2867" w:rsidR="00A9269A" w:rsidRPr="00153FA3" w:rsidRDefault="00A9269A" w:rsidP="0097573E">
      <w:pPr>
        <w:pStyle w:val="EndnoteText"/>
      </w:pPr>
      <w:r w:rsidRPr="00153FA3">
        <w:rPr>
          <w:rStyle w:val="EndnoteReference"/>
        </w:rPr>
        <w:endnoteRef/>
      </w:r>
      <w:r w:rsidRPr="00153FA3">
        <w:t xml:space="preserve"> </w:t>
      </w:r>
      <w:r>
        <w:rPr>
          <w:i/>
          <w:iCs/>
        </w:rPr>
        <w:t>Crimes related to the sex trade: Before and after legislative changes in Canada</w:t>
      </w:r>
      <w:r w:rsidR="00907945">
        <w:rPr>
          <w:i/>
          <w:iCs/>
        </w:rPr>
        <w:t>,</w:t>
      </w:r>
      <w:r w:rsidR="00135838" w:rsidRPr="00530F91">
        <w:rPr>
          <w:i/>
          <w:iCs/>
        </w:rPr>
        <w:t xml:space="preserve"> </w:t>
      </w:r>
      <w:r w:rsidR="00135838" w:rsidRPr="00530F91">
        <w:t xml:space="preserve">Statistics Canada, 2021, </w:t>
      </w:r>
      <w:hyperlink r:id="rId2" w:history="1">
        <w:r w:rsidRPr="00D67A84">
          <w:rPr>
            <w:rStyle w:val="Hyperlink"/>
          </w:rPr>
          <w:t>https://www150.statcan.gc.ca/n1/pub/85-002-x/2021001/article/00010-eng.htm</w:t>
        </w:r>
      </w:hyperlink>
    </w:p>
  </w:endnote>
  <w:endnote w:id="4">
    <w:p w14:paraId="6FB5E512" w14:textId="3CBDB010" w:rsidR="00A9269A" w:rsidRPr="00153FA3" w:rsidRDefault="00A9269A" w:rsidP="00196F56">
      <w:pPr>
        <w:pStyle w:val="EndnoteText"/>
      </w:pPr>
      <w:r w:rsidRPr="00153FA3">
        <w:rPr>
          <w:rStyle w:val="EndnoteReference"/>
        </w:rPr>
        <w:endnoteRef/>
      </w:r>
      <w:r w:rsidRPr="00153FA3">
        <w:t xml:space="preserve"> </w:t>
      </w:r>
      <w:r w:rsidR="00AF6873">
        <w:t>Ibid</w:t>
      </w:r>
      <w:hyperlink w:history="1"/>
    </w:p>
  </w:endnote>
  <w:endnote w:id="5">
    <w:p w14:paraId="6EFCBB70" w14:textId="2DB51811" w:rsidR="00A9269A" w:rsidRPr="00A9269A" w:rsidRDefault="00A9269A">
      <w:pPr>
        <w:pStyle w:val="EndnoteText"/>
      </w:pPr>
      <w:r>
        <w:rPr>
          <w:rStyle w:val="EndnoteReference"/>
        </w:rPr>
        <w:endnoteRef/>
      </w:r>
      <w:r>
        <w:t xml:space="preserve"> </w:t>
      </w:r>
      <w:r w:rsidR="00F810EB">
        <w:t xml:space="preserve">CASWLR </w:t>
      </w:r>
      <w:r w:rsidRPr="00A9269A">
        <w:rPr>
          <w:i/>
          <w:iCs/>
        </w:rPr>
        <w:t>v. Attorney General</w:t>
      </w:r>
      <w:r w:rsidR="00A04A34">
        <w:rPr>
          <w:i/>
          <w:iCs/>
        </w:rPr>
        <w:t>,</w:t>
      </w:r>
      <w:r w:rsidRPr="00A9269A">
        <w:t xml:space="preserve"> para</w:t>
      </w:r>
      <w:r w:rsidR="00D25270">
        <w:t>graph</w:t>
      </w:r>
      <w:r w:rsidRPr="00A9269A">
        <w:t xml:space="preserve"> 182</w:t>
      </w:r>
    </w:p>
  </w:endnote>
  <w:endnote w:id="6">
    <w:p w14:paraId="540E0F08" w14:textId="32A95F8E" w:rsidR="00A9269A" w:rsidRPr="00F42B7D" w:rsidRDefault="00A9269A" w:rsidP="006D61C8">
      <w:pPr>
        <w:pStyle w:val="EndnoteText"/>
        <w:rPr>
          <w:rFonts w:cstheme="minorHAnsi"/>
        </w:rPr>
      </w:pPr>
      <w:r>
        <w:rPr>
          <w:rStyle w:val="EndnoteReference"/>
        </w:rPr>
        <w:endnoteRef/>
      </w:r>
      <w:r>
        <w:t xml:space="preserve"> </w:t>
      </w:r>
      <w:r w:rsidR="00D25270">
        <w:t>Ibid</w:t>
      </w:r>
      <w:r w:rsidR="009E7C7A">
        <w:t>,</w:t>
      </w:r>
      <w:r>
        <w:rPr>
          <w:rFonts w:cstheme="minorHAnsi"/>
        </w:rPr>
        <w:t xml:space="preserve"> para</w:t>
      </w:r>
      <w:r w:rsidR="00D25270">
        <w:rPr>
          <w:rFonts w:cstheme="minorHAnsi"/>
        </w:rPr>
        <w:t>graph</w:t>
      </w:r>
      <w:r>
        <w:rPr>
          <w:rFonts w:cstheme="minorHAnsi"/>
        </w:rPr>
        <w:t xml:space="preserve"> 482</w:t>
      </w:r>
    </w:p>
  </w:endnote>
  <w:endnote w:id="7">
    <w:p w14:paraId="74DC0ED2" w14:textId="3BA3C94F" w:rsidR="00A9269A" w:rsidRPr="00EE4E8B" w:rsidRDefault="00A9269A" w:rsidP="00EE4E8B">
      <w:pPr>
        <w:pStyle w:val="para10"/>
        <w:spacing w:before="0" w:beforeAutospacing="0" w:after="0" w:afterAutospacing="0"/>
        <w:rPr>
          <w:rFonts w:asciiTheme="minorHAnsi" w:hAnsiTheme="minorHAnsi" w:cstheme="minorHAnsi"/>
          <w:color w:val="000000"/>
        </w:rPr>
      </w:pPr>
      <w:r>
        <w:rPr>
          <w:rStyle w:val="EndnoteReference"/>
        </w:rPr>
        <w:endnoteRef/>
      </w:r>
      <w:r>
        <w:t xml:space="preserve"> </w:t>
      </w:r>
      <w:r w:rsidRPr="00F42B7D">
        <w:rPr>
          <w:rFonts w:asciiTheme="minorHAnsi" w:hAnsiTheme="minorHAnsi" w:cstheme="minorHAnsi"/>
          <w:i/>
          <w:iCs/>
          <w:color w:val="000000"/>
          <w:sz w:val="20"/>
          <w:szCs w:val="20"/>
        </w:rPr>
        <w:t>R v</w:t>
      </w:r>
      <w:r w:rsidRPr="00F42B7D">
        <w:rPr>
          <w:rFonts w:asciiTheme="minorHAnsi" w:hAnsiTheme="minorHAnsi" w:cstheme="minorHAnsi"/>
          <w:color w:val="000000"/>
          <w:sz w:val="20"/>
          <w:szCs w:val="20"/>
        </w:rPr>
        <w:t xml:space="preserve"> </w:t>
      </w:r>
      <w:r w:rsidRPr="00F42B7D">
        <w:rPr>
          <w:rFonts w:asciiTheme="minorHAnsi" w:hAnsiTheme="minorHAnsi" w:cstheme="minorHAnsi"/>
          <w:i/>
          <w:iCs/>
          <w:color w:val="000000"/>
          <w:sz w:val="20"/>
          <w:szCs w:val="20"/>
        </w:rPr>
        <w:t>Alcorn</w:t>
      </w:r>
      <w:r w:rsidR="00500A0E">
        <w:rPr>
          <w:rFonts w:asciiTheme="minorHAnsi" w:hAnsiTheme="minorHAnsi" w:cstheme="minorHAnsi"/>
          <w:i/>
          <w:iCs/>
          <w:color w:val="000000"/>
          <w:sz w:val="20"/>
          <w:szCs w:val="20"/>
        </w:rPr>
        <w:t>,</w:t>
      </w:r>
      <w:r w:rsidRPr="00CE5DC3">
        <w:rPr>
          <w:rFonts w:asciiTheme="minorHAnsi" w:hAnsiTheme="minorHAnsi" w:cstheme="minorHAnsi"/>
          <w:color w:val="000000"/>
        </w:rPr>
        <w:t xml:space="preserve"> </w:t>
      </w:r>
      <w:hyperlink r:id="rId3" w:history="1">
        <w:r w:rsidRPr="00EE4E8B">
          <w:rPr>
            <w:rStyle w:val="Hyperlink"/>
            <w:rFonts w:asciiTheme="minorHAnsi" w:hAnsiTheme="minorHAnsi" w:cstheme="minorHAnsi"/>
            <w:sz w:val="20"/>
            <w:szCs w:val="20"/>
          </w:rPr>
          <w:t>https://www.canlii.org/en/mb/mbca/doc/2021/2021mbca101/2021mbca101.html</w:t>
        </w:r>
      </w:hyperlink>
    </w:p>
  </w:endnote>
  <w:endnote w:id="8">
    <w:p w14:paraId="06824879" w14:textId="5F2B667E" w:rsidR="00A9269A" w:rsidRPr="00F42B7D" w:rsidRDefault="00A9269A">
      <w:pPr>
        <w:pStyle w:val="EndnoteText"/>
      </w:pPr>
      <w:r>
        <w:rPr>
          <w:rStyle w:val="EndnoteReference"/>
        </w:rPr>
        <w:endnoteRef/>
      </w:r>
      <w:r>
        <w:t xml:space="preserve"> </w:t>
      </w:r>
      <w:r w:rsidRPr="00F42B7D">
        <w:rPr>
          <w:rFonts w:cstheme="minorHAnsi"/>
          <w:i/>
          <w:iCs/>
          <w:color w:val="000000"/>
        </w:rPr>
        <w:t xml:space="preserve">R v </w:t>
      </w:r>
      <w:proofErr w:type="spellStart"/>
      <w:r w:rsidRPr="00F42B7D">
        <w:rPr>
          <w:rFonts w:cstheme="minorHAnsi"/>
          <w:i/>
          <w:iCs/>
          <w:color w:val="000000"/>
        </w:rPr>
        <w:t>Gudmandson</w:t>
      </w:r>
      <w:proofErr w:type="spellEnd"/>
      <w:r w:rsidR="00A04A34">
        <w:rPr>
          <w:rFonts w:cstheme="minorHAnsi"/>
          <w:i/>
          <w:iCs/>
          <w:color w:val="000000"/>
        </w:rPr>
        <w:t>,</w:t>
      </w:r>
      <w:r w:rsidR="009E7C7A">
        <w:rPr>
          <w:rFonts w:cstheme="minorHAnsi"/>
          <w:i/>
          <w:iCs/>
          <w:color w:val="000000"/>
        </w:rPr>
        <w:t xml:space="preserve"> </w:t>
      </w:r>
      <w:r w:rsidRPr="001E4FBB">
        <w:rPr>
          <w:rFonts w:cstheme="minorHAnsi"/>
          <w:color w:val="000000"/>
        </w:rPr>
        <w:t>para</w:t>
      </w:r>
      <w:r w:rsidR="00D25270">
        <w:rPr>
          <w:rFonts w:cstheme="minorHAnsi"/>
          <w:color w:val="000000"/>
        </w:rPr>
        <w:t>graph</w:t>
      </w:r>
      <w:r w:rsidRPr="001E4FBB">
        <w:rPr>
          <w:rFonts w:cstheme="minorHAnsi"/>
          <w:color w:val="000000"/>
        </w:rPr>
        <w:t xml:space="preserve"> 34</w:t>
      </w:r>
      <w:r w:rsidR="00500A0E">
        <w:rPr>
          <w:rFonts w:cstheme="minorHAnsi"/>
          <w:color w:val="000000"/>
        </w:rPr>
        <w:t>,</w:t>
      </w:r>
      <w:r w:rsidR="00500A0E">
        <w:rPr>
          <w:rFonts w:cstheme="minorHAnsi"/>
          <w:i/>
          <w:iCs/>
          <w:color w:val="000000"/>
        </w:rPr>
        <w:t xml:space="preserve"> </w:t>
      </w:r>
      <w:hyperlink r:id="rId4" w:history="1">
        <w:r w:rsidR="00500A0E" w:rsidRPr="003B792F">
          <w:rPr>
            <w:rStyle w:val="Hyperlink"/>
            <w:rFonts w:cstheme="minorHAnsi"/>
            <w:i/>
            <w:iCs/>
          </w:rPr>
          <w:t>https://www.canlii.org/en/mb/mbpc/doc/2018/2018mbpc31/2018mbpc31.html</w:t>
        </w:r>
      </w:hyperlink>
    </w:p>
  </w:endnote>
  <w:endnote w:id="9">
    <w:p w14:paraId="643D45C8" w14:textId="6E349DF4" w:rsidR="00A9269A" w:rsidRPr="00CE5DC3" w:rsidRDefault="00A9269A">
      <w:pPr>
        <w:pStyle w:val="EndnoteText"/>
      </w:pPr>
      <w:r>
        <w:rPr>
          <w:rStyle w:val="EndnoteReference"/>
        </w:rPr>
        <w:endnoteRef/>
      </w:r>
      <w:r>
        <w:t xml:space="preserve"> </w:t>
      </w:r>
      <w:r w:rsidR="006A38AF">
        <w:t>Ibid</w:t>
      </w:r>
      <w:r w:rsidR="00616826">
        <w:t>,</w:t>
      </w:r>
      <w:r w:rsidR="006A38AF">
        <w:t xml:space="preserve"> </w:t>
      </w:r>
      <w:r w:rsidRPr="00F42B7D">
        <w:t>para</w:t>
      </w:r>
      <w:r w:rsidR="006A38AF">
        <w:t>graph</w:t>
      </w:r>
      <w:r w:rsidRPr="00F42B7D">
        <w:t xml:space="preserve"> 37</w:t>
      </w:r>
    </w:p>
  </w:endnote>
  <w:endnote w:id="10">
    <w:p w14:paraId="51AB9C3F" w14:textId="59176D07" w:rsidR="00A9269A" w:rsidRPr="00D10ECB" w:rsidRDefault="00A9269A" w:rsidP="005830C2">
      <w:pPr>
        <w:pStyle w:val="EndnoteText"/>
      </w:pPr>
      <w:r>
        <w:rPr>
          <w:rStyle w:val="EndnoteReference"/>
        </w:rPr>
        <w:endnoteRef/>
      </w:r>
      <w:r>
        <w:t xml:space="preserve"> </w:t>
      </w:r>
      <w:r w:rsidR="00F810EB">
        <w:rPr>
          <w:rFonts w:cstheme="minorHAnsi"/>
          <w:i/>
          <w:iCs/>
        </w:rPr>
        <w:t>CASWLR</w:t>
      </w:r>
      <w:r w:rsidRPr="001760E3">
        <w:rPr>
          <w:rFonts w:cstheme="minorHAnsi"/>
          <w:i/>
          <w:iCs/>
        </w:rPr>
        <w:t xml:space="preserve"> v. Attorney General</w:t>
      </w:r>
      <w:r w:rsidR="00A04A34">
        <w:rPr>
          <w:rFonts w:cstheme="minorHAnsi"/>
          <w:i/>
          <w:iCs/>
        </w:rPr>
        <w:t>,</w:t>
      </w:r>
      <w:r>
        <w:rPr>
          <w:rFonts w:cstheme="minorHAnsi"/>
        </w:rPr>
        <w:t xml:space="preserve"> para</w:t>
      </w:r>
      <w:r w:rsidR="006A38AF">
        <w:rPr>
          <w:rFonts w:cstheme="minorHAnsi"/>
        </w:rPr>
        <w:t>graph</w:t>
      </w:r>
      <w:r>
        <w:rPr>
          <w:rFonts w:cstheme="minorHAnsi"/>
        </w:rPr>
        <w:t xml:space="preserve"> 216</w:t>
      </w:r>
    </w:p>
  </w:endnote>
  <w:endnote w:id="11">
    <w:p w14:paraId="760A8559" w14:textId="1846591F" w:rsidR="00CA6313" w:rsidRPr="00253D64" w:rsidRDefault="00CA6313">
      <w:pPr>
        <w:pStyle w:val="EndnoteText"/>
      </w:pPr>
      <w:r>
        <w:rPr>
          <w:rStyle w:val="EndnoteReference"/>
        </w:rPr>
        <w:endnoteRef/>
      </w:r>
      <w:r>
        <w:t xml:space="preserve"> </w:t>
      </w:r>
      <w:hyperlink r:id="rId5" w:history="1">
        <w:r w:rsidRPr="00F42B7D">
          <w:rPr>
            <w:rStyle w:val="Hyperlink"/>
          </w:rPr>
          <w:t>https://www.publicsafety.gc.ca/cnt/rsrcs/pblctns/ntnl-strtgy-cmbt-hmn-trffckng-2020/ntnl-strtgy-cmbt-hmn-trffckng-2020-en.pdf</w:t>
        </w:r>
      </w:hyperlink>
    </w:p>
  </w:endnote>
  <w:endnote w:id="12">
    <w:p w14:paraId="33527A3F" w14:textId="3D7B35A0" w:rsidR="00CA6313" w:rsidRPr="003375D2" w:rsidRDefault="00CA6313">
      <w:pPr>
        <w:pStyle w:val="EndnoteText"/>
      </w:pPr>
      <w:r>
        <w:rPr>
          <w:rStyle w:val="EndnoteReference"/>
        </w:rPr>
        <w:endnoteRef/>
      </w:r>
      <w:r>
        <w:t xml:space="preserve"> </w:t>
      </w:r>
      <w:hyperlink r:id="rId6" w:history="1">
        <w:r w:rsidRPr="003375D2">
          <w:rPr>
            <w:rStyle w:val="Hyperlink"/>
            <w:rFonts w:cstheme="minorHAnsi"/>
          </w:rPr>
          <w:t>https://www.ourcommons.ca/Content/Committee/441/JUST/Brief/BR11605444/br-external/BenedetJanine-e.pdf</w:t>
        </w:r>
      </w:hyperlink>
    </w:p>
  </w:endnote>
  <w:endnote w:id="13">
    <w:p w14:paraId="6934EC3B" w14:textId="72BE9436" w:rsidR="00CA6313" w:rsidRPr="00EC7F0B" w:rsidRDefault="00CA6313">
      <w:pPr>
        <w:pStyle w:val="EndnoteText"/>
      </w:pPr>
      <w:r>
        <w:rPr>
          <w:rStyle w:val="EndnoteReference"/>
        </w:rPr>
        <w:endnoteRef/>
      </w:r>
      <w:r>
        <w:t xml:space="preserve"> </w:t>
      </w:r>
      <w:r w:rsidR="00F810EB">
        <w:rPr>
          <w:rFonts w:cstheme="minorHAnsi"/>
          <w:i/>
          <w:iCs/>
        </w:rPr>
        <w:t>CASWLR</w:t>
      </w:r>
      <w:r w:rsidRPr="001760E3">
        <w:rPr>
          <w:rFonts w:cstheme="minorHAnsi"/>
          <w:i/>
          <w:iCs/>
        </w:rPr>
        <w:t xml:space="preserve"> v. Attorney General</w:t>
      </w:r>
      <w:r w:rsidR="00A04A34">
        <w:rPr>
          <w:rFonts w:cstheme="minorHAnsi"/>
          <w:i/>
          <w:iCs/>
        </w:rPr>
        <w:t>,</w:t>
      </w:r>
      <w:r>
        <w:rPr>
          <w:rFonts w:cstheme="minorHAnsi"/>
          <w:i/>
          <w:iCs/>
        </w:rPr>
        <w:t xml:space="preserve"> </w:t>
      </w:r>
      <w:r>
        <w:rPr>
          <w:rFonts w:cstheme="minorHAnsi"/>
        </w:rPr>
        <w:t>paragraph 191</w:t>
      </w:r>
    </w:p>
  </w:endnote>
  <w:endnote w:id="14">
    <w:p w14:paraId="7407C7E3" w14:textId="02DA641A" w:rsidR="00CA6313" w:rsidRPr="00F42B7D" w:rsidRDefault="00CA6313">
      <w:pPr>
        <w:pStyle w:val="EndnoteText"/>
      </w:pPr>
      <w:r>
        <w:rPr>
          <w:rStyle w:val="EndnoteReference"/>
        </w:rPr>
        <w:endnoteRef/>
      </w:r>
      <w:r>
        <w:t xml:space="preserve"> </w:t>
      </w:r>
      <w:hyperlink r:id="rId7" w:history="1">
        <w:r w:rsidRPr="004E10A0">
          <w:rPr>
            <w:rStyle w:val="Hyperlink"/>
          </w:rPr>
          <w:t>https://laws-lois.justice.gc.ca/eng/annualstatutes/2014_25/page-1.html</w:t>
        </w:r>
      </w:hyperlink>
    </w:p>
  </w:endnote>
  <w:endnote w:id="15">
    <w:p w14:paraId="791FBB2A" w14:textId="120F60E3" w:rsidR="00CA6313" w:rsidRPr="00F42B7D" w:rsidRDefault="00CA6313" w:rsidP="007F5120">
      <w:pPr>
        <w:pStyle w:val="EndnoteText"/>
        <w:rPr>
          <w:color w:val="0563C1" w:themeColor="hyperlink"/>
          <w:u w:val="single"/>
        </w:rPr>
      </w:pPr>
      <w:r w:rsidRPr="00530F91">
        <w:rPr>
          <w:rStyle w:val="EndnoteReference"/>
        </w:rPr>
        <w:endnoteRef/>
      </w:r>
      <w:r w:rsidRPr="00530F91">
        <w:t xml:space="preserve"> </w:t>
      </w:r>
      <w:r w:rsidRPr="00530F91">
        <w:rPr>
          <w:i/>
          <w:iCs/>
        </w:rPr>
        <w:t>Crimes related to the sex trade</w:t>
      </w:r>
      <w:r w:rsidR="00E877A5">
        <w:rPr>
          <w:i/>
          <w:iCs/>
        </w:rPr>
        <w:t xml:space="preserve">: Before and After Legislative Changes in Canada, </w:t>
      </w:r>
      <w:r w:rsidR="00E877A5" w:rsidRPr="001E4FBB">
        <w:t>Statistics Canada, 2021</w:t>
      </w:r>
      <w:r w:rsidR="00907945">
        <w:rPr>
          <w:i/>
          <w:iCs/>
        </w:rPr>
        <w:t xml:space="preserve"> </w:t>
      </w:r>
    </w:p>
  </w:endnote>
  <w:endnote w:id="16">
    <w:p w14:paraId="367BED86" w14:textId="73049C49" w:rsidR="00CA6313" w:rsidRPr="00623490" w:rsidRDefault="00CA6313">
      <w:pPr>
        <w:pStyle w:val="EndnoteText"/>
      </w:pPr>
      <w:r>
        <w:rPr>
          <w:rStyle w:val="EndnoteReference"/>
        </w:rPr>
        <w:endnoteRef/>
      </w:r>
      <w:r>
        <w:t xml:space="preserve"> </w:t>
      </w:r>
      <w:r w:rsidR="006A38AF">
        <w:t xml:space="preserve">Ibid </w:t>
      </w:r>
      <w:hyperlink w:history="1"/>
    </w:p>
  </w:endnote>
  <w:endnote w:id="17">
    <w:p w14:paraId="7DECFACD" w14:textId="6F471CDA" w:rsidR="00CA6313" w:rsidRPr="00F42B7D" w:rsidRDefault="00CA6313">
      <w:pPr>
        <w:pStyle w:val="EndnoteText"/>
      </w:pPr>
      <w:r>
        <w:rPr>
          <w:rStyle w:val="EndnoteReference"/>
        </w:rPr>
        <w:endnoteRef/>
      </w:r>
      <w:r>
        <w:t xml:space="preserve"> </w:t>
      </w:r>
      <w:r w:rsidR="00F810EB">
        <w:rPr>
          <w:rFonts w:cstheme="minorHAnsi"/>
          <w:i/>
          <w:iCs/>
        </w:rPr>
        <w:t>CASWLR</w:t>
      </w:r>
      <w:r w:rsidRPr="001760E3">
        <w:rPr>
          <w:rFonts w:cstheme="minorHAnsi"/>
          <w:i/>
          <w:iCs/>
        </w:rPr>
        <w:t xml:space="preserve"> v. Attorney General</w:t>
      </w:r>
      <w:r w:rsidR="00A04A34">
        <w:rPr>
          <w:rFonts w:cstheme="minorHAnsi"/>
          <w:i/>
          <w:iCs/>
        </w:rPr>
        <w:t>,</w:t>
      </w:r>
      <w:r w:rsidRPr="00F42B7D">
        <w:t xml:space="preserve"> para</w:t>
      </w:r>
      <w:r w:rsidR="006A38AF">
        <w:t>graph</w:t>
      </w:r>
      <w:r w:rsidRPr="00F42B7D">
        <w:t xml:space="preserve"> 347</w:t>
      </w:r>
    </w:p>
  </w:endnote>
  <w:endnote w:id="18">
    <w:p w14:paraId="6F194025" w14:textId="77777777" w:rsidR="00A8133A" w:rsidRPr="00714A2F" w:rsidRDefault="00A8133A" w:rsidP="00A8133A">
      <w:pPr>
        <w:pStyle w:val="EndnoteText"/>
      </w:pPr>
      <w:r>
        <w:rPr>
          <w:rStyle w:val="EndnoteReference"/>
        </w:rPr>
        <w:endnoteRef/>
      </w:r>
      <w:r>
        <w:t xml:space="preserve"> Ibid </w:t>
      </w:r>
      <w:hyperlink w:history="1"/>
    </w:p>
  </w:endnote>
  <w:endnote w:id="19">
    <w:p w14:paraId="42B3905E" w14:textId="6C71AD7F" w:rsidR="00992AAC" w:rsidRDefault="00992AAC">
      <w:pPr>
        <w:pStyle w:val="EndnoteText"/>
      </w:pPr>
      <w:r>
        <w:rPr>
          <w:rStyle w:val="EndnoteReference"/>
        </w:rPr>
        <w:endnoteRef/>
      </w:r>
      <w:r>
        <w:t xml:space="preserve"> Ibid, paragraph 501</w:t>
      </w:r>
    </w:p>
  </w:endnote>
  <w:endnote w:id="20">
    <w:p w14:paraId="373236BD" w14:textId="606823F6" w:rsidR="00CA6313" w:rsidRPr="00F42B7D" w:rsidRDefault="00CA6313">
      <w:pPr>
        <w:pStyle w:val="EndnoteText"/>
      </w:pPr>
      <w:r>
        <w:rPr>
          <w:rStyle w:val="EndnoteReference"/>
        </w:rPr>
        <w:endnoteRef/>
      </w:r>
      <w:r>
        <w:t xml:space="preserve"> </w:t>
      </w:r>
      <w:r w:rsidR="006A38AF">
        <w:t>Ibid</w:t>
      </w:r>
      <w:r w:rsidR="00616826">
        <w:t>,</w:t>
      </w:r>
      <w:r w:rsidR="006A38AF">
        <w:t xml:space="preserve"> </w:t>
      </w:r>
      <w:r w:rsidRPr="00F42B7D">
        <w:rPr>
          <w:rFonts w:cstheme="minorHAnsi"/>
          <w:color w:val="000000" w:themeColor="text1"/>
        </w:rPr>
        <w:t>para</w:t>
      </w:r>
      <w:r w:rsidR="006A38AF">
        <w:rPr>
          <w:rFonts w:cstheme="minorHAnsi"/>
          <w:color w:val="000000" w:themeColor="text1"/>
        </w:rPr>
        <w:t>graph</w:t>
      </w:r>
      <w:r w:rsidRPr="00F42B7D">
        <w:rPr>
          <w:rFonts w:cstheme="minorHAnsi"/>
          <w:color w:val="000000" w:themeColor="text1"/>
        </w:rPr>
        <w:t xml:space="preserve"> 111</w:t>
      </w:r>
    </w:p>
  </w:endnote>
  <w:endnote w:id="21">
    <w:p w14:paraId="299BEF4E" w14:textId="0E92081A" w:rsidR="00CA6313" w:rsidRPr="00F42B7D" w:rsidRDefault="00CA6313">
      <w:pPr>
        <w:pStyle w:val="EndnoteText"/>
      </w:pPr>
      <w:r>
        <w:rPr>
          <w:rStyle w:val="EndnoteReference"/>
        </w:rPr>
        <w:endnoteRef/>
      </w:r>
      <w:r>
        <w:t xml:space="preserve"> </w:t>
      </w:r>
      <w:r w:rsidR="006A38AF">
        <w:t>Ibid</w:t>
      </w:r>
      <w:r w:rsidR="00616826">
        <w:t>,</w:t>
      </w:r>
      <w:r w:rsidR="006A38AF">
        <w:t xml:space="preserve"> </w:t>
      </w:r>
      <w:r w:rsidRPr="00F42B7D">
        <w:rPr>
          <w:rFonts w:cstheme="minorHAnsi"/>
          <w:color w:val="000000" w:themeColor="text1"/>
        </w:rPr>
        <w:t>para</w:t>
      </w:r>
      <w:r w:rsidR="006A38AF">
        <w:rPr>
          <w:rFonts w:cstheme="minorHAnsi"/>
          <w:color w:val="000000" w:themeColor="text1"/>
        </w:rPr>
        <w:t>graph</w:t>
      </w:r>
      <w:r w:rsidRPr="00F42B7D">
        <w:rPr>
          <w:rFonts w:cstheme="minorHAnsi"/>
          <w:color w:val="000000" w:themeColor="text1"/>
        </w:rPr>
        <w:t xml:space="preserve"> 129</w:t>
      </w:r>
    </w:p>
  </w:endnote>
  <w:endnote w:id="22">
    <w:p w14:paraId="1D87B6EB" w14:textId="134D80ED" w:rsidR="00CA6313" w:rsidRPr="003375D2" w:rsidRDefault="00CA6313">
      <w:pPr>
        <w:pStyle w:val="EndnoteText"/>
      </w:pPr>
      <w:r>
        <w:rPr>
          <w:rStyle w:val="EndnoteReference"/>
        </w:rPr>
        <w:endnoteRef/>
      </w:r>
      <w:r>
        <w:t xml:space="preserve"> </w:t>
      </w:r>
      <w:r w:rsidRPr="00DB72A1">
        <w:t xml:space="preserve">Factum of the Respondent, AG of Canada, in </w:t>
      </w:r>
      <w:r w:rsidRPr="00DB72A1">
        <w:rPr>
          <w:i/>
          <w:iCs/>
        </w:rPr>
        <w:t xml:space="preserve">CASWLR v. </w:t>
      </w:r>
      <w:r>
        <w:rPr>
          <w:i/>
          <w:iCs/>
        </w:rPr>
        <w:t>Attorney General</w:t>
      </w:r>
      <w:r w:rsidR="00A04A34">
        <w:rPr>
          <w:i/>
          <w:iCs/>
        </w:rPr>
        <w:t>,</w:t>
      </w:r>
      <w:r w:rsidRPr="00DB72A1">
        <w:t xml:space="preserve"> par</w:t>
      </w:r>
      <w:r>
        <w:t xml:space="preserve">agraph </w:t>
      </w:r>
      <w:r w:rsidRPr="00DB72A1">
        <w:t>20 (a)</w:t>
      </w:r>
    </w:p>
  </w:endnote>
  <w:endnote w:id="23">
    <w:p w14:paraId="08FC9508" w14:textId="213AF1CC" w:rsidR="00CA6313" w:rsidRPr="00F42B7D" w:rsidRDefault="00CA6313">
      <w:pPr>
        <w:pStyle w:val="EndnoteText"/>
      </w:pPr>
      <w:r w:rsidRPr="003375D2">
        <w:rPr>
          <w:rStyle w:val="EndnoteReference"/>
        </w:rPr>
        <w:endnoteRef/>
      </w:r>
      <w:r w:rsidRPr="003375D2">
        <w:t xml:space="preserve"> </w:t>
      </w:r>
      <w:hyperlink r:id="rId8" w:history="1">
        <w:r w:rsidRPr="004E10A0">
          <w:rPr>
            <w:rStyle w:val="Hyperlink"/>
          </w:rPr>
          <w:t>https://www.justice.gc.ca/eng/rp-pr/other-autre/protect/p1.html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395820"/>
      <w:docPartObj>
        <w:docPartGallery w:val="Page Numbers (Bottom of Page)"/>
        <w:docPartUnique/>
      </w:docPartObj>
    </w:sdtPr>
    <w:sdtContent>
      <w:p w14:paraId="2133C731" w14:textId="30711502" w:rsidR="00E877A5" w:rsidRDefault="00E877A5" w:rsidP="001E4F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908D0" w14:textId="77777777" w:rsidR="00E877A5" w:rsidRDefault="00E877A5" w:rsidP="001E4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8708625"/>
      <w:docPartObj>
        <w:docPartGallery w:val="Page Numbers (Bottom of Page)"/>
        <w:docPartUnique/>
      </w:docPartObj>
    </w:sdtPr>
    <w:sdtContent>
      <w:p w14:paraId="1DA2E4CA" w14:textId="52EA696B" w:rsidR="00E877A5" w:rsidRDefault="00E877A5" w:rsidP="001E4F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0F43A6" w14:textId="77777777" w:rsidR="00E877A5" w:rsidRDefault="00E877A5" w:rsidP="001E4F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D531" w14:textId="77777777" w:rsidR="009F3887" w:rsidRDefault="009F3887" w:rsidP="00196F56">
      <w:r>
        <w:separator/>
      </w:r>
    </w:p>
  </w:footnote>
  <w:footnote w:type="continuationSeparator" w:id="0">
    <w:p w14:paraId="67D0C75C" w14:textId="77777777" w:rsidR="009F3887" w:rsidRDefault="009F3887" w:rsidP="00196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AFA"/>
    <w:multiLevelType w:val="multilevel"/>
    <w:tmpl w:val="7994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B2907"/>
    <w:multiLevelType w:val="multilevel"/>
    <w:tmpl w:val="33DA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14852"/>
    <w:multiLevelType w:val="hybridMultilevel"/>
    <w:tmpl w:val="E356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309C7"/>
    <w:multiLevelType w:val="hybridMultilevel"/>
    <w:tmpl w:val="7D9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E69CC"/>
    <w:multiLevelType w:val="hybridMultilevel"/>
    <w:tmpl w:val="FA9C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422460">
    <w:abstractNumId w:val="4"/>
  </w:num>
  <w:num w:numId="2" w16cid:durableId="1863667808">
    <w:abstractNumId w:val="1"/>
  </w:num>
  <w:num w:numId="3" w16cid:durableId="2078437614">
    <w:abstractNumId w:val="0"/>
  </w:num>
  <w:num w:numId="4" w16cid:durableId="563569958">
    <w:abstractNumId w:val="2"/>
  </w:num>
  <w:num w:numId="5" w16cid:durableId="16397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05"/>
    <w:rsid w:val="00015136"/>
    <w:rsid w:val="00015E60"/>
    <w:rsid w:val="000177FB"/>
    <w:rsid w:val="00020FD5"/>
    <w:rsid w:val="00024D09"/>
    <w:rsid w:val="00025436"/>
    <w:rsid w:val="0004386B"/>
    <w:rsid w:val="00044D09"/>
    <w:rsid w:val="00056C38"/>
    <w:rsid w:val="00066D26"/>
    <w:rsid w:val="00076A46"/>
    <w:rsid w:val="00080A0E"/>
    <w:rsid w:val="00082930"/>
    <w:rsid w:val="0009331E"/>
    <w:rsid w:val="00097ADD"/>
    <w:rsid w:val="000A0AEE"/>
    <w:rsid w:val="000B1C47"/>
    <w:rsid w:val="000B230C"/>
    <w:rsid w:val="000B485B"/>
    <w:rsid w:val="000C293C"/>
    <w:rsid w:val="000C50FF"/>
    <w:rsid w:val="000C74D8"/>
    <w:rsid w:val="000D2DE9"/>
    <w:rsid w:val="000D3616"/>
    <w:rsid w:val="000E4FD0"/>
    <w:rsid w:val="000E58AE"/>
    <w:rsid w:val="000F6B4B"/>
    <w:rsid w:val="00107C5D"/>
    <w:rsid w:val="0011747A"/>
    <w:rsid w:val="00117A69"/>
    <w:rsid w:val="0013540E"/>
    <w:rsid w:val="00135838"/>
    <w:rsid w:val="0014409F"/>
    <w:rsid w:val="001507CE"/>
    <w:rsid w:val="00153DA5"/>
    <w:rsid w:val="00162530"/>
    <w:rsid w:val="00165FFA"/>
    <w:rsid w:val="00167027"/>
    <w:rsid w:val="001675CA"/>
    <w:rsid w:val="00171E46"/>
    <w:rsid w:val="001760E3"/>
    <w:rsid w:val="00183D07"/>
    <w:rsid w:val="00195948"/>
    <w:rsid w:val="00196F56"/>
    <w:rsid w:val="001A3007"/>
    <w:rsid w:val="001A343C"/>
    <w:rsid w:val="001B75D5"/>
    <w:rsid w:val="001C0AD5"/>
    <w:rsid w:val="001C66A4"/>
    <w:rsid w:val="001C6866"/>
    <w:rsid w:val="001C6ED3"/>
    <w:rsid w:val="001D02E9"/>
    <w:rsid w:val="001E4FBB"/>
    <w:rsid w:val="001E6670"/>
    <w:rsid w:val="001F4FE5"/>
    <w:rsid w:val="001F5BF2"/>
    <w:rsid w:val="001F6B52"/>
    <w:rsid w:val="001F739C"/>
    <w:rsid w:val="00203D59"/>
    <w:rsid w:val="0022029E"/>
    <w:rsid w:val="00220B8B"/>
    <w:rsid w:val="00224AB4"/>
    <w:rsid w:val="00232EE7"/>
    <w:rsid w:val="00237001"/>
    <w:rsid w:val="002501F7"/>
    <w:rsid w:val="00251E28"/>
    <w:rsid w:val="00253D64"/>
    <w:rsid w:val="002548EF"/>
    <w:rsid w:val="002612BB"/>
    <w:rsid w:val="002621C2"/>
    <w:rsid w:val="0029408D"/>
    <w:rsid w:val="00296711"/>
    <w:rsid w:val="002A3AAD"/>
    <w:rsid w:val="002B0D9B"/>
    <w:rsid w:val="002B5B15"/>
    <w:rsid w:val="002C5A35"/>
    <w:rsid w:val="002C5C2B"/>
    <w:rsid w:val="002D3FCD"/>
    <w:rsid w:val="002D5BA8"/>
    <w:rsid w:val="002D5CB7"/>
    <w:rsid w:val="002F058B"/>
    <w:rsid w:val="002F147A"/>
    <w:rsid w:val="002F2BD7"/>
    <w:rsid w:val="002F6005"/>
    <w:rsid w:val="002F7C43"/>
    <w:rsid w:val="00301E1D"/>
    <w:rsid w:val="003112BB"/>
    <w:rsid w:val="00322841"/>
    <w:rsid w:val="0032496F"/>
    <w:rsid w:val="0033132A"/>
    <w:rsid w:val="003375D2"/>
    <w:rsid w:val="003520DC"/>
    <w:rsid w:val="00352592"/>
    <w:rsid w:val="0035365E"/>
    <w:rsid w:val="00356CFA"/>
    <w:rsid w:val="00362CD2"/>
    <w:rsid w:val="003708F4"/>
    <w:rsid w:val="00373E3C"/>
    <w:rsid w:val="00381DC5"/>
    <w:rsid w:val="003864D5"/>
    <w:rsid w:val="00394F35"/>
    <w:rsid w:val="00395097"/>
    <w:rsid w:val="00395F9B"/>
    <w:rsid w:val="003A23F7"/>
    <w:rsid w:val="003A786E"/>
    <w:rsid w:val="003B2847"/>
    <w:rsid w:val="003B474E"/>
    <w:rsid w:val="003B6A77"/>
    <w:rsid w:val="003C66C6"/>
    <w:rsid w:val="003D1D7A"/>
    <w:rsid w:val="003D271E"/>
    <w:rsid w:val="003D6AC0"/>
    <w:rsid w:val="003E365A"/>
    <w:rsid w:val="003E3712"/>
    <w:rsid w:val="003E54F3"/>
    <w:rsid w:val="003E707E"/>
    <w:rsid w:val="003F4A4B"/>
    <w:rsid w:val="00406F35"/>
    <w:rsid w:val="00406FAD"/>
    <w:rsid w:val="004071CB"/>
    <w:rsid w:val="00412938"/>
    <w:rsid w:val="00413BD1"/>
    <w:rsid w:val="004169FA"/>
    <w:rsid w:val="00417345"/>
    <w:rsid w:val="004322B3"/>
    <w:rsid w:val="0043706A"/>
    <w:rsid w:val="00441241"/>
    <w:rsid w:val="00445FFB"/>
    <w:rsid w:val="0045191E"/>
    <w:rsid w:val="00453736"/>
    <w:rsid w:val="0045508B"/>
    <w:rsid w:val="004668D8"/>
    <w:rsid w:val="00470FFC"/>
    <w:rsid w:val="00472D5D"/>
    <w:rsid w:val="00495195"/>
    <w:rsid w:val="004A205E"/>
    <w:rsid w:val="004A4CE2"/>
    <w:rsid w:val="004A5427"/>
    <w:rsid w:val="004B43E1"/>
    <w:rsid w:val="004B790D"/>
    <w:rsid w:val="004C3203"/>
    <w:rsid w:val="004C75B6"/>
    <w:rsid w:val="004C7BDC"/>
    <w:rsid w:val="004D4A64"/>
    <w:rsid w:val="004D4ED8"/>
    <w:rsid w:val="004E3957"/>
    <w:rsid w:val="004E656F"/>
    <w:rsid w:val="00500A0E"/>
    <w:rsid w:val="00500D21"/>
    <w:rsid w:val="00501C74"/>
    <w:rsid w:val="00502204"/>
    <w:rsid w:val="00510743"/>
    <w:rsid w:val="0051082D"/>
    <w:rsid w:val="00511CCC"/>
    <w:rsid w:val="005146B4"/>
    <w:rsid w:val="00517DB6"/>
    <w:rsid w:val="00521923"/>
    <w:rsid w:val="0053523B"/>
    <w:rsid w:val="0053532F"/>
    <w:rsid w:val="00542C79"/>
    <w:rsid w:val="00552C49"/>
    <w:rsid w:val="00553E71"/>
    <w:rsid w:val="00565C67"/>
    <w:rsid w:val="0056719E"/>
    <w:rsid w:val="00571BEB"/>
    <w:rsid w:val="00582E4B"/>
    <w:rsid w:val="005830C2"/>
    <w:rsid w:val="0059119A"/>
    <w:rsid w:val="00594F6E"/>
    <w:rsid w:val="005A5AC4"/>
    <w:rsid w:val="005B15D9"/>
    <w:rsid w:val="005B2A9E"/>
    <w:rsid w:val="005C31BF"/>
    <w:rsid w:val="005C753E"/>
    <w:rsid w:val="005C7B1B"/>
    <w:rsid w:val="005D7B78"/>
    <w:rsid w:val="00607808"/>
    <w:rsid w:val="00610760"/>
    <w:rsid w:val="00616826"/>
    <w:rsid w:val="00622267"/>
    <w:rsid w:val="00623490"/>
    <w:rsid w:val="006238A4"/>
    <w:rsid w:val="006272EC"/>
    <w:rsid w:val="0064270E"/>
    <w:rsid w:val="00642A1C"/>
    <w:rsid w:val="006501C0"/>
    <w:rsid w:val="00650387"/>
    <w:rsid w:val="00650C73"/>
    <w:rsid w:val="006606AF"/>
    <w:rsid w:val="00661395"/>
    <w:rsid w:val="00673956"/>
    <w:rsid w:val="00674697"/>
    <w:rsid w:val="0068497C"/>
    <w:rsid w:val="006A2CE7"/>
    <w:rsid w:val="006A38AF"/>
    <w:rsid w:val="006C3B99"/>
    <w:rsid w:val="006C6CDD"/>
    <w:rsid w:val="006D61C8"/>
    <w:rsid w:val="006E4AD7"/>
    <w:rsid w:val="006F55C9"/>
    <w:rsid w:val="007001A4"/>
    <w:rsid w:val="00703712"/>
    <w:rsid w:val="00710C55"/>
    <w:rsid w:val="00710F6B"/>
    <w:rsid w:val="007127A3"/>
    <w:rsid w:val="0071305F"/>
    <w:rsid w:val="007142F1"/>
    <w:rsid w:val="00714A2F"/>
    <w:rsid w:val="00717C29"/>
    <w:rsid w:val="0073632B"/>
    <w:rsid w:val="00741F35"/>
    <w:rsid w:val="00751957"/>
    <w:rsid w:val="007555FF"/>
    <w:rsid w:val="007619CC"/>
    <w:rsid w:val="00770F8D"/>
    <w:rsid w:val="00781B5B"/>
    <w:rsid w:val="00787E66"/>
    <w:rsid w:val="00794F17"/>
    <w:rsid w:val="007A7AAC"/>
    <w:rsid w:val="007B3A6D"/>
    <w:rsid w:val="007B4ABC"/>
    <w:rsid w:val="007B66B7"/>
    <w:rsid w:val="007F5120"/>
    <w:rsid w:val="008028BC"/>
    <w:rsid w:val="00804E0B"/>
    <w:rsid w:val="00812447"/>
    <w:rsid w:val="00814C18"/>
    <w:rsid w:val="00816E35"/>
    <w:rsid w:val="008170E2"/>
    <w:rsid w:val="00817280"/>
    <w:rsid w:val="00817B0A"/>
    <w:rsid w:val="00840DC1"/>
    <w:rsid w:val="008530BA"/>
    <w:rsid w:val="00867EED"/>
    <w:rsid w:val="00870726"/>
    <w:rsid w:val="0087337F"/>
    <w:rsid w:val="00876892"/>
    <w:rsid w:val="00876D3B"/>
    <w:rsid w:val="008804D1"/>
    <w:rsid w:val="008873C0"/>
    <w:rsid w:val="00894A3F"/>
    <w:rsid w:val="008968C7"/>
    <w:rsid w:val="00897941"/>
    <w:rsid w:val="008A1EC5"/>
    <w:rsid w:val="008B003B"/>
    <w:rsid w:val="008B27E7"/>
    <w:rsid w:val="008D1A90"/>
    <w:rsid w:val="008E4160"/>
    <w:rsid w:val="008F0D32"/>
    <w:rsid w:val="008F3EC4"/>
    <w:rsid w:val="00900791"/>
    <w:rsid w:val="00907945"/>
    <w:rsid w:val="009115FD"/>
    <w:rsid w:val="00917728"/>
    <w:rsid w:val="00932FE9"/>
    <w:rsid w:val="009401E1"/>
    <w:rsid w:val="00940A1F"/>
    <w:rsid w:val="00941CFA"/>
    <w:rsid w:val="00952FAF"/>
    <w:rsid w:val="00957968"/>
    <w:rsid w:val="009611EF"/>
    <w:rsid w:val="00973E58"/>
    <w:rsid w:val="00975080"/>
    <w:rsid w:val="0097573E"/>
    <w:rsid w:val="00976AF9"/>
    <w:rsid w:val="009871DE"/>
    <w:rsid w:val="00991A53"/>
    <w:rsid w:val="00992AAC"/>
    <w:rsid w:val="00992CF3"/>
    <w:rsid w:val="00993D03"/>
    <w:rsid w:val="00994623"/>
    <w:rsid w:val="009A0BAD"/>
    <w:rsid w:val="009A63E9"/>
    <w:rsid w:val="009B5D73"/>
    <w:rsid w:val="009B7332"/>
    <w:rsid w:val="009C6B48"/>
    <w:rsid w:val="009E0B91"/>
    <w:rsid w:val="009E7C7A"/>
    <w:rsid w:val="009F09E0"/>
    <w:rsid w:val="009F14AE"/>
    <w:rsid w:val="009F3887"/>
    <w:rsid w:val="009F7138"/>
    <w:rsid w:val="00A04A34"/>
    <w:rsid w:val="00A1736D"/>
    <w:rsid w:val="00A2246A"/>
    <w:rsid w:val="00A43130"/>
    <w:rsid w:val="00A4729D"/>
    <w:rsid w:val="00A479CC"/>
    <w:rsid w:val="00A61662"/>
    <w:rsid w:val="00A65062"/>
    <w:rsid w:val="00A6744B"/>
    <w:rsid w:val="00A75F6C"/>
    <w:rsid w:val="00A8053B"/>
    <w:rsid w:val="00A80D3D"/>
    <w:rsid w:val="00A8133A"/>
    <w:rsid w:val="00A841F1"/>
    <w:rsid w:val="00A85362"/>
    <w:rsid w:val="00A87ADE"/>
    <w:rsid w:val="00A9269A"/>
    <w:rsid w:val="00AB3F8B"/>
    <w:rsid w:val="00AC03D4"/>
    <w:rsid w:val="00AC2ADB"/>
    <w:rsid w:val="00AC46FC"/>
    <w:rsid w:val="00AE3B3D"/>
    <w:rsid w:val="00AE5535"/>
    <w:rsid w:val="00AE7EDC"/>
    <w:rsid w:val="00AF6873"/>
    <w:rsid w:val="00AF7627"/>
    <w:rsid w:val="00B06A08"/>
    <w:rsid w:val="00B07DC2"/>
    <w:rsid w:val="00B12C26"/>
    <w:rsid w:val="00B14CD0"/>
    <w:rsid w:val="00B21F6F"/>
    <w:rsid w:val="00B35C50"/>
    <w:rsid w:val="00B35D6E"/>
    <w:rsid w:val="00B5007F"/>
    <w:rsid w:val="00B5541F"/>
    <w:rsid w:val="00B66944"/>
    <w:rsid w:val="00B671F4"/>
    <w:rsid w:val="00B8218A"/>
    <w:rsid w:val="00B82D9B"/>
    <w:rsid w:val="00B83FE7"/>
    <w:rsid w:val="00B9117A"/>
    <w:rsid w:val="00B919C7"/>
    <w:rsid w:val="00B92119"/>
    <w:rsid w:val="00B93D9F"/>
    <w:rsid w:val="00BC740D"/>
    <w:rsid w:val="00BC74DF"/>
    <w:rsid w:val="00BD57D6"/>
    <w:rsid w:val="00BE2388"/>
    <w:rsid w:val="00BE4317"/>
    <w:rsid w:val="00BF1643"/>
    <w:rsid w:val="00BF1CB1"/>
    <w:rsid w:val="00BF380D"/>
    <w:rsid w:val="00BF7620"/>
    <w:rsid w:val="00C16D64"/>
    <w:rsid w:val="00C229C5"/>
    <w:rsid w:val="00C24729"/>
    <w:rsid w:val="00C24D6F"/>
    <w:rsid w:val="00C32E82"/>
    <w:rsid w:val="00C34B11"/>
    <w:rsid w:val="00C378A3"/>
    <w:rsid w:val="00C51988"/>
    <w:rsid w:val="00C53DE0"/>
    <w:rsid w:val="00C55069"/>
    <w:rsid w:val="00C578F9"/>
    <w:rsid w:val="00C66DC8"/>
    <w:rsid w:val="00C76B6E"/>
    <w:rsid w:val="00C9393E"/>
    <w:rsid w:val="00C9561B"/>
    <w:rsid w:val="00C962F6"/>
    <w:rsid w:val="00CA085C"/>
    <w:rsid w:val="00CA4D3D"/>
    <w:rsid w:val="00CA6313"/>
    <w:rsid w:val="00CA68E8"/>
    <w:rsid w:val="00CB6002"/>
    <w:rsid w:val="00CD7B31"/>
    <w:rsid w:val="00CE19C7"/>
    <w:rsid w:val="00CE5614"/>
    <w:rsid w:val="00CE5DC3"/>
    <w:rsid w:val="00CF08F0"/>
    <w:rsid w:val="00CF755F"/>
    <w:rsid w:val="00D03FB7"/>
    <w:rsid w:val="00D058B0"/>
    <w:rsid w:val="00D077D1"/>
    <w:rsid w:val="00D13E6D"/>
    <w:rsid w:val="00D21A32"/>
    <w:rsid w:val="00D22B3A"/>
    <w:rsid w:val="00D25270"/>
    <w:rsid w:val="00D4688E"/>
    <w:rsid w:val="00D472F9"/>
    <w:rsid w:val="00D56C0F"/>
    <w:rsid w:val="00D57D40"/>
    <w:rsid w:val="00D62529"/>
    <w:rsid w:val="00D65878"/>
    <w:rsid w:val="00D67A84"/>
    <w:rsid w:val="00D91DDF"/>
    <w:rsid w:val="00D95468"/>
    <w:rsid w:val="00DA47AB"/>
    <w:rsid w:val="00DB062D"/>
    <w:rsid w:val="00DC08C6"/>
    <w:rsid w:val="00DC0A4D"/>
    <w:rsid w:val="00DC0ACF"/>
    <w:rsid w:val="00DC2496"/>
    <w:rsid w:val="00DD4A87"/>
    <w:rsid w:val="00DD5DD3"/>
    <w:rsid w:val="00DD73EA"/>
    <w:rsid w:val="00DE0410"/>
    <w:rsid w:val="00DE5C03"/>
    <w:rsid w:val="00E11ECA"/>
    <w:rsid w:val="00E152F2"/>
    <w:rsid w:val="00E164FC"/>
    <w:rsid w:val="00E17A8A"/>
    <w:rsid w:val="00E25A94"/>
    <w:rsid w:val="00E44CC1"/>
    <w:rsid w:val="00E47397"/>
    <w:rsid w:val="00E533E5"/>
    <w:rsid w:val="00E55F98"/>
    <w:rsid w:val="00E61AFB"/>
    <w:rsid w:val="00E658B1"/>
    <w:rsid w:val="00E67819"/>
    <w:rsid w:val="00E6785D"/>
    <w:rsid w:val="00E81E2B"/>
    <w:rsid w:val="00E82194"/>
    <w:rsid w:val="00E83D3E"/>
    <w:rsid w:val="00E877A5"/>
    <w:rsid w:val="00E91039"/>
    <w:rsid w:val="00EA0CED"/>
    <w:rsid w:val="00EB11A5"/>
    <w:rsid w:val="00EB199A"/>
    <w:rsid w:val="00EB50E6"/>
    <w:rsid w:val="00EC10C8"/>
    <w:rsid w:val="00EC7DD7"/>
    <w:rsid w:val="00EC7F0B"/>
    <w:rsid w:val="00ED3504"/>
    <w:rsid w:val="00ED424D"/>
    <w:rsid w:val="00ED5D8D"/>
    <w:rsid w:val="00EE0992"/>
    <w:rsid w:val="00EE35C7"/>
    <w:rsid w:val="00EE4E8B"/>
    <w:rsid w:val="00EE77F1"/>
    <w:rsid w:val="00EF3573"/>
    <w:rsid w:val="00F12D69"/>
    <w:rsid w:val="00F16884"/>
    <w:rsid w:val="00F20E7F"/>
    <w:rsid w:val="00F2352C"/>
    <w:rsid w:val="00F27CEF"/>
    <w:rsid w:val="00F3484E"/>
    <w:rsid w:val="00F35BAF"/>
    <w:rsid w:val="00F42B7D"/>
    <w:rsid w:val="00F53607"/>
    <w:rsid w:val="00F64629"/>
    <w:rsid w:val="00F71EDE"/>
    <w:rsid w:val="00F727E4"/>
    <w:rsid w:val="00F72FF6"/>
    <w:rsid w:val="00F810EB"/>
    <w:rsid w:val="00F96153"/>
    <w:rsid w:val="00FA38CD"/>
    <w:rsid w:val="00FA65E4"/>
    <w:rsid w:val="00FA7444"/>
    <w:rsid w:val="00FA7D4D"/>
    <w:rsid w:val="00FB4E00"/>
    <w:rsid w:val="00FB5C5E"/>
    <w:rsid w:val="00FB5CB1"/>
    <w:rsid w:val="00FC3E26"/>
    <w:rsid w:val="00FC4199"/>
    <w:rsid w:val="00FC4843"/>
    <w:rsid w:val="00FC4B57"/>
    <w:rsid w:val="00FD79D4"/>
    <w:rsid w:val="00FE324E"/>
    <w:rsid w:val="00FE4DBD"/>
    <w:rsid w:val="00FF3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C37F"/>
  <w15:chartTrackingRefBased/>
  <w15:docId w15:val="{531238D8-2216-9D4E-AC06-A08C5C11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005"/>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196F56"/>
    <w:rPr>
      <w:rFonts w:eastAsiaTheme="minorEastAsia"/>
      <w:lang w:val="en-US"/>
    </w:rPr>
  </w:style>
  <w:style w:type="character" w:customStyle="1" w:styleId="FootnoteTextChar">
    <w:name w:val="Footnote Text Char"/>
    <w:basedOn w:val="DefaultParagraphFont"/>
    <w:link w:val="FootnoteText"/>
    <w:uiPriority w:val="99"/>
    <w:rsid w:val="00196F56"/>
    <w:rPr>
      <w:rFonts w:eastAsiaTheme="minorEastAsia"/>
      <w:lang w:val="en-US"/>
    </w:rPr>
  </w:style>
  <w:style w:type="character" w:styleId="FootnoteReference">
    <w:name w:val="footnote reference"/>
    <w:basedOn w:val="DefaultParagraphFont"/>
    <w:uiPriority w:val="99"/>
    <w:unhideWhenUsed/>
    <w:rsid w:val="00196F56"/>
    <w:rPr>
      <w:vertAlign w:val="superscript"/>
    </w:rPr>
  </w:style>
  <w:style w:type="character" w:styleId="Hyperlink">
    <w:name w:val="Hyperlink"/>
    <w:basedOn w:val="DefaultParagraphFont"/>
    <w:uiPriority w:val="99"/>
    <w:unhideWhenUsed/>
    <w:rsid w:val="00196F56"/>
    <w:rPr>
      <w:color w:val="0563C1" w:themeColor="hyperlink"/>
      <w:u w:val="single"/>
    </w:rPr>
  </w:style>
  <w:style w:type="character" w:styleId="FollowedHyperlink">
    <w:name w:val="FollowedHyperlink"/>
    <w:basedOn w:val="DefaultParagraphFont"/>
    <w:uiPriority w:val="99"/>
    <w:semiHidden/>
    <w:unhideWhenUsed/>
    <w:rsid w:val="00196F56"/>
    <w:rPr>
      <w:color w:val="954F72" w:themeColor="followedHyperlink"/>
      <w:u w:val="single"/>
    </w:rPr>
  </w:style>
  <w:style w:type="character" w:styleId="UnresolvedMention">
    <w:name w:val="Unresolved Mention"/>
    <w:basedOn w:val="DefaultParagraphFont"/>
    <w:uiPriority w:val="99"/>
    <w:semiHidden/>
    <w:unhideWhenUsed/>
    <w:rsid w:val="0029408D"/>
    <w:rPr>
      <w:color w:val="605E5C"/>
      <w:shd w:val="clear" w:color="auto" w:fill="E1DFDD"/>
    </w:rPr>
  </w:style>
  <w:style w:type="paragraph" w:customStyle="1" w:styleId="para10">
    <w:name w:val="para10"/>
    <w:basedOn w:val="Normal"/>
    <w:rsid w:val="003112B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1734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D4A64"/>
  </w:style>
  <w:style w:type="character" w:styleId="CommentReference">
    <w:name w:val="annotation reference"/>
    <w:basedOn w:val="DefaultParagraphFont"/>
    <w:uiPriority w:val="99"/>
    <w:semiHidden/>
    <w:unhideWhenUsed/>
    <w:rsid w:val="005B15D9"/>
    <w:rPr>
      <w:sz w:val="16"/>
      <w:szCs w:val="16"/>
    </w:rPr>
  </w:style>
  <w:style w:type="paragraph" w:styleId="CommentText">
    <w:name w:val="annotation text"/>
    <w:basedOn w:val="Normal"/>
    <w:link w:val="CommentTextChar"/>
    <w:uiPriority w:val="99"/>
    <w:semiHidden/>
    <w:unhideWhenUsed/>
    <w:rsid w:val="005B15D9"/>
    <w:rPr>
      <w:sz w:val="20"/>
      <w:szCs w:val="20"/>
    </w:rPr>
  </w:style>
  <w:style w:type="character" w:customStyle="1" w:styleId="CommentTextChar">
    <w:name w:val="Comment Text Char"/>
    <w:basedOn w:val="DefaultParagraphFont"/>
    <w:link w:val="CommentText"/>
    <w:uiPriority w:val="99"/>
    <w:semiHidden/>
    <w:rsid w:val="005B15D9"/>
    <w:rPr>
      <w:sz w:val="20"/>
      <w:szCs w:val="20"/>
    </w:rPr>
  </w:style>
  <w:style w:type="paragraph" w:styleId="CommentSubject">
    <w:name w:val="annotation subject"/>
    <w:basedOn w:val="CommentText"/>
    <w:next w:val="CommentText"/>
    <w:link w:val="CommentSubjectChar"/>
    <w:uiPriority w:val="99"/>
    <w:semiHidden/>
    <w:unhideWhenUsed/>
    <w:rsid w:val="005B15D9"/>
    <w:rPr>
      <w:b/>
      <w:bCs/>
    </w:rPr>
  </w:style>
  <w:style w:type="character" w:customStyle="1" w:styleId="CommentSubjectChar">
    <w:name w:val="Comment Subject Char"/>
    <w:basedOn w:val="CommentTextChar"/>
    <w:link w:val="CommentSubject"/>
    <w:uiPriority w:val="99"/>
    <w:semiHidden/>
    <w:rsid w:val="005B15D9"/>
    <w:rPr>
      <w:b/>
      <w:bCs/>
      <w:sz w:val="20"/>
      <w:szCs w:val="20"/>
    </w:rPr>
  </w:style>
  <w:style w:type="paragraph" w:styleId="EndnoteText">
    <w:name w:val="endnote text"/>
    <w:basedOn w:val="Normal"/>
    <w:link w:val="EndnoteTextChar"/>
    <w:uiPriority w:val="99"/>
    <w:semiHidden/>
    <w:unhideWhenUsed/>
    <w:rsid w:val="00A9269A"/>
    <w:rPr>
      <w:sz w:val="20"/>
      <w:szCs w:val="20"/>
    </w:rPr>
  </w:style>
  <w:style w:type="character" w:customStyle="1" w:styleId="EndnoteTextChar">
    <w:name w:val="Endnote Text Char"/>
    <w:basedOn w:val="DefaultParagraphFont"/>
    <w:link w:val="EndnoteText"/>
    <w:uiPriority w:val="99"/>
    <w:semiHidden/>
    <w:rsid w:val="00A9269A"/>
    <w:rPr>
      <w:sz w:val="20"/>
      <w:szCs w:val="20"/>
    </w:rPr>
  </w:style>
  <w:style w:type="character" w:styleId="EndnoteReference">
    <w:name w:val="endnote reference"/>
    <w:basedOn w:val="DefaultParagraphFont"/>
    <w:uiPriority w:val="99"/>
    <w:semiHidden/>
    <w:unhideWhenUsed/>
    <w:rsid w:val="00A9269A"/>
    <w:rPr>
      <w:vertAlign w:val="superscript"/>
    </w:rPr>
  </w:style>
  <w:style w:type="paragraph" w:styleId="Footer">
    <w:name w:val="footer"/>
    <w:basedOn w:val="Normal"/>
    <w:link w:val="FooterChar"/>
    <w:uiPriority w:val="99"/>
    <w:unhideWhenUsed/>
    <w:rsid w:val="00E877A5"/>
    <w:pPr>
      <w:tabs>
        <w:tab w:val="center" w:pos="4680"/>
        <w:tab w:val="right" w:pos="9360"/>
      </w:tabs>
    </w:pPr>
  </w:style>
  <w:style w:type="character" w:customStyle="1" w:styleId="FooterChar">
    <w:name w:val="Footer Char"/>
    <w:basedOn w:val="DefaultParagraphFont"/>
    <w:link w:val="Footer"/>
    <w:uiPriority w:val="99"/>
    <w:rsid w:val="00E877A5"/>
  </w:style>
  <w:style w:type="character" w:styleId="PageNumber">
    <w:name w:val="page number"/>
    <w:basedOn w:val="DefaultParagraphFont"/>
    <w:uiPriority w:val="99"/>
    <w:semiHidden/>
    <w:unhideWhenUsed/>
    <w:rsid w:val="00E8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8172">
      <w:bodyDiv w:val="1"/>
      <w:marLeft w:val="0"/>
      <w:marRight w:val="0"/>
      <w:marTop w:val="0"/>
      <w:marBottom w:val="0"/>
      <w:divBdr>
        <w:top w:val="none" w:sz="0" w:space="0" w:color="auto"/>
        <w:left w:val="none" w:sz="0" w:space="0" w:color="auto"/>
        <w:bottom w:val="none" w:sz="0" w:space="0" w:color="auto"/>
        <w:right w:val="none" w:sz="0" w:space="0" w:color="auto"/>
      </w:divBdr>
      <w:divsChild>
        <w:div w:id="1673600503">
          <w:marLeft w:val="0"/>
          <w:marRight w:val="0"/>
          <w:marTop w:val="0"/>
          <w:marBottom w:val="0"/>
          <w:divBdr>
            <w:top w:val="none" w:sz="0" w:space="0" w:color="auto"/>
            <w:left w:val="none" w:sz="0" w:space="0" w:color="auto"/>
            <w:bottom w:val="none" w:sz="0" w:space="0" w:color="auto"/>
            <w:right w:val="none" w:sz="0" w:space="0" w:color="auto"/>
          </w:divBdr>
        </w:div>
        <w:div w:id="470561432">
          <w:marLeft w:val="0"/>
          <w:marRight w:val="0"/>
          <w:marTop w:val="0"/>
          <w:marBottom w:val="0"/>
          <w:divBdr>
            <w:top w:val="none" w:sz="0" w:space="0" w:color="auto"/>
            <w:left w:val="none" w:sz="0" w:space="0" w:color="auto"/>
            <w:bottom w:val="none" w:sz="0" w:space="0" w:color="auto"/>
            <w:right w:val="none" w:sz="0" w:space="0" w:color="auto"/>
          </w:divBdr>
        </w:div>
      </w:divsChild>
    </w:div>
    <w:div w:id="736519228">
      <w:bodyDiv w:val="1"/>
      <w:marLeft w:val="0"/>
      <w:marRight w:val="0"/>
      <w:marTop w:val="0"/>
      <w:marBottom w:val="0"/>
      <w:divBdr>
        <w:top w:val="none" w:sz="0" w:space="0" w:color="auto"/>
        <w:left w:val="none" w:sz="0" w:space="0" w:color="auto"/>
        <w:bottom w:val="none" w:sz="0" w:space="0" w:color="auto"/>
        <w:right w:val="none" w:sz="0" w:space="0" w:color="auto"/>
      </w:divBdr>
    </w:div>
    <w:div w:id="751700961">
      <w:bodyDiv w:val="1"/>
      <w:marLeft w:val="0"/>
      <w:marRight w:val="0"/>
      <w:marTop w:val="0"/>
      <w:marBottom w:val="0"/>
      <w:divBdr>
        <w:top w:val="none" w:sz="0" w:space="0" w:color="auto"/>
        <w:left w:val="none" w:sz="0" w:space="0" w:color="auto"/>
        <w:bottom w:val="none" w:sz="0" w:space="0" w:color="auto"/>
        <w:right w:val="none" w:sz="0" w:space="0" w:color="auto"/>
      </w:divBdr>
      <w:divsChild>
        <w:div w:id="836071506">
          <w:marLeft w:val="0"/>
          <w:marRight w:val="0"/>
          <w:marTop w:val="0"/>
          <w:marBottom w:val="0"/>
          <w:divBdr>
            <w:top w:val="none" w:sz="0" w:space="0" w:color="auto"/>
            <w:left w:val="none" w:sz="0" w:space="0" w:color="auto"/>
            <w:bottom w:val="none" w:sz="0" w:space="0" w:color="auto"/>
            <w:right w:val="none" w:sz="0" w:space="0" w:color="auto"/>
          </w:divBdr>
          <w:divsChild>
            <w:div w:id="1286347296">
              <w:marLeft w:val="0"/>
              <w:marRight w:val="0"/>
              <w:marTop w:val="0"/>
              <w:marBottom w:val="0"/>
              <w:divBdr>
                <w:top w:val="none" w:sz="0" w:space="0" w:color="auto"/>
                <w:left w:val="none" w:sz="0" w:space="0" w:color="auto"/>
                <w:bottom w:val="none" w:sz="0" w:space="0" w:color="auto"/>
                <w:right w:val="none" w:sz="0" w:space="0" w:color="auto"/>
              </w:divBdr>
              <w:divsChild>
                <w:div w:id="697780384">
                  <w:marLeft w:val="0"/>
                  <w:marRight w:val="0"/>
                  <w:marTop w:val="0"/>
                  <w:marBottom w:val="0"/>
                  <w:divBdr>
                    <w:top w:val="none" w:sz="0" w:space="0" w:color="auto"/>
                    <w:left w:val="none" w:sz="0" w:space="0" w:color="auto"/>
                    <w:bottom w:val="none" w:sz="0" w:space="0" w:color="auto"/>
                    <w:right w:val="none" w:sz="0" w:space="0" w:color="auto"/>
                  </w:divBdr>
                </w:div>
              </w:divsChild>
            </w:div>
            <w:div w:id="279528564">
              <w:marLeft w:val="0"/>
              <w:marRight w:val="0"/>
              <w:marTop w:val="0"/>
              <w:marBottom w:val="0"/>
              <w:divBdr>
                <w:top w:val="none" w:sz="0" w:space="0" w:color="auto"/>
                <w:left w:val="none" w:sz="0" w:space="0" w:color="auto"/>
                <w:bottom w:val="none" w:sz="0" w:space="0" w:color="auto"/>
                <w:right w:val="none" w:sz="0" w:space="0" w:color="auto"/>
              </w:divBdr>
              <w:divsChild>
                <w:div w:id="1280604183">
                  <w:marLeft w:val="0"/>
                  <w:marRight w:val="0"/>
                  <w:marTop w:val="0"/>
                  <w:marBottom w:val="0"/>
                  <w:divBdr>
                    <w:top w:val="none" w:sz="0" w:space="0" w:color="auto"/>
                    <w:left w:val="none" w:sz="0" w:space="0" w:color="auto"/>
                    <w:bottom w:val="none" w:sz="0" w:space="0" w:color="auto"/>
                    <w:right w:val="none" w:sz="0" w:space="0" w:color="auto"/>
                  </w:divBdr>
                </w:div>
                <w:div w:id="10753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9169">
      <w:bodyDiv w:val="1"/>
      <w:marLeft w:val="0"/>
      <w:marRight w:val="0"/>
      <w:marTop w:val="0"/>
      <w:marBottom w:val="0"/>
      <w:divBdr>
        <w:top w:val="none" w:sz="0" w:space="0" w:color="auto"/>
        <w:left w:val="none" w:sz="0" w:space="0" w:color="auto"/>
        <w:bottom w:val="none" w:sz="0" w:space="0" w:color="auto"/>
        <w:right w:val="none" w:sz="0" w:space="0" w:color="auto"/>
      </w:divBdr>
      <w:divsChild>
        <w:div w:id="1999653017">
          <w:marLeft w:val="0"/>
          <w:marRight w:val="0"/>
          <w:marTop w:val="0"/>
          <w:marBottom w:val="0"/>
          <w:divBdr>
            <w:top w:val="none" w:sz="0" w:space="0" w:color="auto"/>
            <w:left w:val="none" w:sz="0" w:space="0" w:color="auto"/>
            <w:bottom w:val="none" w:sz="0" w:space="0" w:color="auto"/>
            <w:right w:val="none" w:sz="0" w:space="0" w:color="auto"/>
          </w:divBdr>
          <w:divsChild>
            <w:div w:id="1377311328">
              <w:marLeft w:val="0"/>
              <w:marRight w:val="0"/>
              <w:marTop w:val="0"/>
              <w:marBottom w:val="0"/>
              <w:divBdr>
                <w:top w:val="none" w:sz="0" w:space="0" w:color="auto"/>
                <w:left w:val="none" w:sz="0" w:space="0" w:color="auto"/>
                <w:bottom w:val="none" w:sz="0" w:space="0" w:color="auto"/>
                <w:right w:val="none" w:sz="0" w:space="0" w:color="auto"/>
              </w:divBdr>
              <w:divsChild>
                <w:div w:id="7281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3421">
      <w:bodyDiv w:val="1"/>
      <w:marLeft w:val="0"/>
      <w:marRight w:val="0"/>
      <w:marTop w:val="0"/>
      <w:marBottom w:val="0"/>
      <w:divBdr>
        <w:top w:val="none" w:sz="0" w:space="0" w:color="auto"/>
        <w:left w:val="none" w:sz="0" w:space="0" w:color="auto"/>
        <w:bottom w:val="none" w:sz="0" w:space="0" w:color="auto"/>
        <w:right w:val="none" w:sz="0" w:space="0" w:color="auto"/>
      </w:divBdr>
    </w:div>
    <w:div w:id="962998902">
      <w:bodyDiv w:val="1"/>
      <w:marLeft w:val="0"/>
      <w:marRight w:val="0"/>
      <w:marTop w:val="0"/>
      <w:marBottom w:val="0"/>
      <w:divBdr>
        <w:top w:val="none" w:sz="0" w:space="0" w:color="auto"/>
        <w:left w:val="none" w:sz="0" w:space="0" w:color="auto"/>
        <w:bottom w:val="none" w:sz="0" w:space="0" w:color="auto"/>
        <w:right w:val="none" w:sz="0" w:space="0" w:color="auto"/>
      </w:divBdr>
      <w:divsChild>
        <w:div w:id="1660385212">
          <w:marLeft w:val="0"/>
          <w:marRight w:val="0"/>
          <w:marTop w:val="0"/>
          <w:marBottom w:val="0"/>
          <w:divBdr>
            <w:top w:val="none" w:sz="0" w:space="0" w:color="auto"/>
            <w:left w:val="none" w:sz="0" w:space="0" w:color="auto"/>
            <w:bottom w:val="none" w:sz="0" w:space="0" w:color="auto"/>
            <w:right w:val="none" w:sz="0" w:space="0" w:color="auto"/>
          </w:divBdr>
        </w:div>
        <w:div w:id="268512647">
          <w:marLeft w:val="0"/>
          <w:marRight w:val="0"/>
          <w:marTop w:val="0"/>
          <w:marBottom w:val="0"/>
          <w:divBdr>
            <w:top w:val="none" w:sz="0" w:space="0" w:color="auto"/>
            <w:left w:val="none" w:sz="0" w:space="0" w:color="auto"/>
            <w:bottom w:val="none" w:sz="0" w:space="0" w:color="auto"/>
            <w:right w:val="none" w:sz="0" w:space="0" w:color="auto"/>
          </w:divBdr>
        </w:div>
      </w:divsChild>
    </w:div>
    <w:div w:id="1048410839">
      <w:bodyDiv w:val="1"/>
      <w:marLeft w:val="0"/>
      <w:marRight w:val="0"/>
      <w:marTop w:val="0"/>
      <w:marBottom w:val="0"/>
      <w:divBdr>
        <w:top w:val="none" w:sz="0" w:space="0" w:color="auto"/>
        <w:left w:val="none" w:sz="0" w:space="0" w:color="auto"/>
        <w:bottom w:val="none" w:sz="0" w:space="0" w:color="auto"/>
        <w:right w:val="none" w:sz="0" w:space="0" w:color="auto"/>
      </w:divBdr>
      <w:divsChild>
        <w:div w:id="687828611">
          <w:marLeft w:val="0"/>
          <w:marRight w:val="0"/>
          <w:marTop w:val="0"/>
          <w:marBottom w:val="0"/>
          <w:divBdr>
            <w:top w:val="none" w:sz="0" w:space="0" w:color="auto"/>
            <w:left w:val="none" w:sz="0" w:space="0" w:color="auto"/>
            <w:bottom w:val="none" w:sz="0" w:space="0" w:color="auto"/>
            <w:right w:val="none" w:sz="0" w:space="0" w:color="auto"/>
          </w:divBdr>
          <w:divsChild>
            <w:div w:id="615068530">
              <w:marLeft w:val="0"/>
              <w:marRight w:val="0"/>
              <w:marTop w:val="0"/>
              <w:marBottom w:val="0"/>
              <w:divBdr>
                <w:top w:val="none" w:sz="0" w:space="0" w:color="auto"/>
                <w:left w:val="none" w:sz="0" w:space="0" w:color="auto"/>
                <w:bottom w:val="none" w:sz="0" w:space="0" w:color="auto"/>
                <w:right w:val="none" w:sz="0" w:space="0" w:color="auto"/>
              </w:divBdr>
              <w:divsChild>
                <w:div w:id="1194609831">
                  <w:marLeft w:val="0"/>
                  <w:marRight w:val="0"/>
                  <w:marTop w:val="0"/>
                  <w:marBottom w:val="0"/>
                  <w:divBdr>
                    <w:top w:val="none" w:sz="0" w:space="0" w:color="auto"/>
                    <w:left w:val="none" w:sz="0" w:space="0" w:color="auto"/>
                    <w:bottom w:val="none" w:sz="0" w:space="0" w:color="auto"/>
                    <w:right w:val="none" w:sz="0" w:space="0" w:color="auto"/>
                  </w:divBdr>
                </w:div>
                <w:div w:id="1272934605">
                  <w:marLeft w:val="0"/>
                  <w:marRight w:val="0"/>
                  <w:marTop w:val="0"/>
                  <w:marBottom w:val="0"/>
                  <w:divBdr>
                    <w:top w:val="none" w:sz="0" w:space="0" w:color="auto"/>
                    <w:left w:val="none" w:sz="0" w:space="0" w:color="auto"/>
                    <w:bottom w:val="none" w:sz="0" w:space="0" w:color="auto"/>
                    <w:right w:val="none" w:sz="0" w:space="0" w:color="auto"/>
                  </w:divBdr>
                </w:div>
              </w:divsChild>
            </w:div>
            <w:div w:id="1220021273">
              <w:marLeft w:val="0"/>
              <w:marRight w:val="0"/>
              <w:marTop w:val="0"/>
              <w:marBottom w:val="0"/>
              <w:divBdr>
                <w:top w:val="none" w:sz="0" w:space="0" w:color="auto"/>
                <w:left w:val="none" w:sz="0" w:space="0" w:color="auto"/>
                <w:bottom w:val="none" w:sz="0" w:space="0" w:color="auto"/>
                <w:right w:val="none" w:sz="0" w:space="0" w:color="auto"/>
              </w:divBdr>
              <w:divsChild>
                <w:div w:id="9564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4543">
          <w:marLeft w:val="0"/>
          <w:marRight w:val="0"/>
          <w:marTop w:val="0"/>
          <w:marBottom w:val="0"/>
          <w:divBdr>
            <w:top w:val="none" w:sz="0" w:space="0" w:color="auto"/>
            <w:left w:val="none" w:sz="0" w:space="0" w:color="auto"/>
            <w:bottom w:val="none" w:sz="0" w:space="0" w:color="auto"/>
            <w:right w:val="none" w:sz="0" w:space="0" w:color="auto"/>
          </w:divBdr>
          <w:divsChild>
            <w:div w:id="537664050">
              <w:marLeft w:val="0"/>
              <w:marRight w:val="0"/>
              <w:marTop w:val="0"/>
              <w:marBottom w:val="0"/>
              <w:divBdr>
                <w:top w:val="none" w:sz="0" w:space="0" w:color="auto"/>
                <w:left w:val="none" w:sz="0" w:space="0" w:color="auto"/>
                <w:bottom w:val="none" w:sz="0" w:space="0" w:color="auto"/>
                <w:right w:val="none" w:sz="0" w:space="0" w:color="auto"/>
              </w:divBdr>
              <w:divsChild>
                <w:div w:id="896671670">
                  <w:marLeft w:val="0"/>
                  <w:marRight w:val="0"/>
                  <w:marTop w:val="0"/>
                  <w:marBottom w:val="0"/>
                  <w:divBdr>
                    <w:top w:val="none" w:sz="0" w:space="0" w:color="auto"/>
                    <w:left w:val="none" w:sz="0" w:space="0" w:color="auto"/>
                    <w:bottom w:val="none" w:sz="0" w:space="0" w:color="auto"/>
                    <w:right w:val="none" w:sz="0" w:space="0" w:color="auto"/>
                  </w:divBdr>
                </w:div>
              </w:divsChild>
            </w:div>
            <w:div w:id="305748664">
              <w:marLeft w:val="0"/>
              <w:marRight w:val="0"/>
              <w:marTop w:val="0"/>
              <w:marBottom w:val="0"/>
              <w:divBdr>
                <w:top w:val="none" w:sz="0" w:space="0" w:color="auto"/>
                <w:left w:val="none" w:sz="0" w:space="0" w:color="auto"/>
                <w:bottom w:val="none" w:sz="0" w:space="0" w:color="auto"/>
                <w:right w:val="none" w:sz="0" w:space="0" w:color="auto"/>
              </w:divBdr>
              <w:divsChild>
                <w:div w:id="2317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18719">
      <w:bodyDiv w:val="1"/>
      <w:marLeft w:val="0"/>
      <w:marRight w:val="0"/>
      <w:marTop w:val="0"/>
      <w:marBottom w:val="0"/>
      <w:divBdr>
        <w:top w:val="none" w:sz="0" w:space="0" w:color="auto"/>
        <w:left w:val="none" w:sz="0" w:space="0" w:color="auto"/>
        <w:bottom w:val="none" w:sz="0" w:space="0" w:color="auto"/>
        <w:right w:val="none" w:sz="0" w:space="0" w:color="auto"/>
      </w:divBdr>
      <w:divsChild>
        <w:div w:id="1504739115">
          <w:marLeft w:val="0"/>
          <w:marRight w:val="0"/>
          <w:marTop w:val="0"/>
          <w:marBottom w:val="0"/>
          <w:divBdr>
            <w:top w:val="none" w:sz="0" w:space="0" w:color="auto"/>
            <w:left w:val="none" w:sz="0" w:space="0" w:color="auto"/>
            <w:bottom w:val="none" w:sz="0" w:space="0" w:color="auto"/>
            <w:right w:val="none" w:sz="0" w:space="0" w:color="auto"/>
          </w:divBdr>
          <w:divsChild>
            <w:div w:id="1140000480">
              <w:marLeft w:val="0"/>
              <w:marRight w:val="0"/>
              <w:marTop w:val="0"/>
              <w:marBottom w:val="0"/>
              <w:divBdr>
                <w:top w:val="none" w:sz="0" w:space="0" w:color="auto"/>
                <w:left w:val="none" w:sz="0" w:space="0" w:color="auto"/>
                <w:bottom w:val="none" w:sz="0" w:space="0" w:color="auto"/>
                <w:right w:val="none" w:sz="0" w:space="0" w:color="auto"/>
              </w:divBdr>
              <w:divsChild>
                <w:div w:id="8184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2580">
          <w:marLeft w:val="0"/>
          <w:marRight w:val="0"/>
          <w:marTop w:val="0"/>
          <w:marBottom w:val="0"/>
          <w:divBdr>
            <w:top w:val="none" w:sz="0" w:space="0" w:color="auto"/>
            <w:left w:val="none" w:sz="0" w:space="0" w:color="auto"/>
            <w:bottom w:val="none" w:sz="0" w:space="0" w:color="auto"/>
            <w:right w:val="none" w:sz="0" w:space="0" w:color="auto"/>
          </w:divBdr>
          <w:divsChild>
            <w:div w:id="1164200522">
              <w:marLeft w:val="0"/>
              <w:marRight w:val="0"/>
              <w:marTop w:val="0"/>
              <w:marBottom w:val="0"/>
              <w:divBdr>
                <w:top w:val="none" w:sz="0" w:space="0" w:color="auto"/>
                <w:left w:val="none" w:sz="0" w:space="0" w:color="auto"/>
                <w:bottom w:val="none" w:sz="0" w:space="0" w:color="auto"/>
                <w:right w:val="none" w:sz="0" w:space="0" w:color="auto"/>
              </w:divBdr>
              <w:divsChild>
                <w:div w:id="1413238174">
                  <w:marLeft w:val="0"/>
                  <w:marRight w:val="0"/>
                  <w:marTop w:val="0"/>
                  <w:marBottom w:val="0"/>
                  <w:divBdr>
                    <w:top w:val="none" w:sz="0" w:space="0" w:color="auto"/>
                    <w:left w:val="none" w:sz="0" w:space="0" w:color="auto"/>
                    <w:bottom w:val="none" w:sz="0" w:space="0" w:color="auto"/>
                    <w:right w:val="none" w:sz="0" w:space="0" w:color="auto"/>
                  </w:divBdr>
                </w:div>
              </w:divsChild>
            </w:div>
            <w:div w:id="214508161">
              <w:marLeft w:val="0"/>
              <w:marRight w:val="0"/>
              <w:marTop w:val="0"/>
              <w:marBottom w:val="0"/>
              <w:divBdr>
                <w:top w:val="none" w:sz="0" w:space="0" w:color="auto"/>
                <w:left w:val="none" w:sz="0" w:space="0" w:color="auto"/>
                <w:bottom w:val="none" w:sz="0" w:space="0" w:color="auto"/>
                <w:right w:val="none" w:sz="0" w:space="0" w:color="auto"/>
              </w:divBdr>
              <w:divsChild>
                <w:div w:id="130372529">
                  <w:marLeft w:val="0"/>
                  <w:marRight w:val="0"/>
                  <w:marTop w:val="0"/>
                  <w:marBottom w:val="0"/>
                  <w:divBdr>
                    <w:top w:val="none" w:sz="0" w:space="0" w:color="auto"/>
                    <w:left w:val="none" w:sz="0" w:space="0" w:color="auto"/>
                    <w:bottom w:val="none" w:sz="0" w:space="0" w:color="auto"/>
                    <w:right w:val="none" w:sz="0" w:space="0" w:color="auto"/>
                  </w:divBdr>
                </w:div>
                <w:div w:id="14933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8081">
      <w:bodyDiv w:val="1"/>
      <w:marLeft w:val="0"/>
      <w:marRight w:val="0"/>
      <w:marTop w:val="0"/>
      <w:marBottom w:val="0"/>
      <w:divBdr>
        <w:top w:val="none" w:sz="0" w:space="0" w:color="auto"/>
        <w:left w:val="none" w:sz="0" w:space="0" w:color="auto"/>
        <w:bottom w:val="none" w:sz="0" w:space="0" w:color="auto"/>
        <w:right w:val="none" w:sz="0" w:space="0" w:color="auto"/>
      </w:divBdr>
      <w:divsChild>
        <w:div w:id="2137214007">
          <w:marLeft w:val="0"/>
          <w:marRight w:val="0"/>
          <w:marTop w:val="0"/>
          <w:marBottom w:val="0"/>
          <w:divBdr>
            <w:top w:val="none" w:sz="0" w:space="0" w:color="auto"/>
            <w:left w:val="none" w:sz="0" w:space="0" w:color="auto"/>
            <w:bottom w:val="none" w:sz="0" w:space="0" w:color="auto"/>
            <w:right w:val="none" w:sz="0" w:space="0" w:color="auto"/>
          </w:divBdr>
          <w:divsChild>
            <w:div w:id="1111976043">
              <w:marLeft w:val="0"/>
              <w:marRight w:val="0"/>
              <w:marTop w:val="0"/>
              <w:marBottom w:val="0"/>
              <w:divBdr>
                <w:top w:val="none" w:sz="0" w:space="0" w:color="auto"/>
                <w:left w:val="none" w:sz="0" w:space="0" w:color="auto"/>
                <w:bottom w:val="none" w:sz="0" w:space="0" w:color="auto"/>
                <w:right w:val="none" w:sz="0" w:space="0" w:color="auto"/>
              </w:divBdr>
              <w:divsChild>
                <w:div w:id="20077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ttawa@theefc.ca"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www.justice.gc.ca/eng/rp-pr/other-autre/protect/p1.html" TargetMode="External"/><Relationship Id="rId3" Type="http://schemas.openxmlformats.org/officeDocument/2006/relationships/hyperlink" Target="https://www.canlii.org/en/mb/mbca/doc/2021/2021mbca101/2021mbca101.html" TargetMode="External"/><Relationship Id="rId7" Type="http://schemas.openxmlformats.org/officeDocument/2006/relationships/hyperlink" Target="https://laws-lois.justice.gc.ca/eng/annualstatutes/2014_25/page-1.html" TargetMode="External"/><Relationship Id="rId2" Type="http://schemas.openxmlformats.org/officeDocument/2006/relationships/hyperlink" Target="https://www150.statcan.gc.ca/n1/pub/85-002-x/2021001/article/00010-eng.htm" TargetMode="External"/><Relationship Id="rId1" Type="http://schemas.openxmlformats.org/officeDocument/2006/relationships/hyperlink" Target="https://www.canlii.org/en/on/onsc/doc/2023/2023onsc5197/2023onsc5197.html#_Toc145586659https://www.canlii.org/en/on/onsc/doc/2023/2023onsc5197/2023onsc5197.html" TargetMode="External"/><Relationship Id="rId6" Type="http://schemas.openxmlformats.org/officeDocument/2006/relationships/hyperlink" Target="https://www.ourcommons.ca/Content/Committee/441/JUST/Brief/BR11605444/br-external/BenedetJanine-e.pdf" TargetMode="External"/><Relationship Id="rId5" Type="http://schemas.openxmlformats.org/officeDocument/2006/relationships/hyperlink" Target="https://www.publicsafety.gc.ca/cnt/rsrcs/pblctns/ntnl-strtgy-cmbt-hmn-trffckng-2020/ntnl-strtgy-cmbt-hmn-trffckng-2020-en.pdf" TargetMode="External"/><Relationship Id="rId4" Type="http://schemas.openxmlformats.org/officeDocument/2006/relationships/hyperlink" Target="https://www.canlii.org/en/mb/mbpc/doc/2018/2018mbpc31/2018mbpc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Evangelical Fellowship of Canada</Contributor>
    <Filename xmlns="d42e65b2-cf21-49c1-b27d-d23f90380c0e" xsi:nil="true"/>
  </documentManagement>
</p:properties>
</file>

<file path=customXml/itemProps1.xml><?xml version="1.0" encoding="utf-8"?>
<ds:datastoreItem xmlns:ds="http://schemas.openxmlformats.org/officeDocument/2006/customXml" ds:itemID="{7CB15D8E-8E19-1041-9A7E-94EADB05D499}">
  <ds:schemaRefs>
    <ds:schemaRef ds:uri="http://schemas.openxmlformats.org/officeDocument/2006/bibliography"/>
  </ds:schemaRefs>
</ds:datastoreItem>
</file>

<file path=customXml/itemProps2.xml><?xml version="1.0" encoding="utf-8"?>
<ds:datastoreItem xmlns:ds="http://schemas.openxmlformats.org/officeDocument/2006/customXml" ds:itemID="{1A2DA2C4-6052-4C23-8444-F9119EC37059}"/>
</file>

<file path=customXml/itemProps3.xml><?xml version="1.0" encoding="utf-8"?>
<ds:datastoreItem xmlns:ds="http://schemas.openxmlformats.org/officeDocument/2006/customXml" ds:itemID="{C5CA12B2-FE20-45C7-8D31-0628CD1B5EE9}"/>
</file>

<file path=customXml/itemProps4.xml><?xml version="1.0" encoding="utf-8"?>
<ds:datastoreItem xmlns:ds="http://schemas.openxmlformats.org/officeDocument/2006/customXml" ds:itemID="{3D63575B-FF49-4343-8A15-89DA7E1B0445}"/>
</file>

<file path=docProps/app.xml><?xml version="1.0" encoding="utf-8"?>
<Properties xmlns="http://schemas.openxmlformats.org/officeDocument/2006/extended-properties" xmlns:vt="http://schemas.openxmlformats.org/officeDocument/2006/docPropsVTypes">
  <Template>Normal.dotm</Template>
  <TotalTime>2</TotalTime>
  <Pages>6</Pages>
  <Words>1972</Words>
  <Characters>10255</Characters>
  <Application>Microsoft Office Word</Application>
  <DocSecurity>0</DocSecurity>
  <Lines>209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Hiemstra</dc:creator>
  <cp:keywords/>
  <dc:description/>
  <cp:lastModifiedBy>Julia Beazley</cp:lastModifiedBy>
  <cp:revision>2</cp:revision>
  <dcterms:created xsi:type="dcterms:W3CDTF">2024-01-31T21:35:00Z</dcterms:created>
  <dcterms:modified xsi:type="dcterms:W3CDTF">2024-01-31T21:35:00Z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zotero-version="6.0.28"&gt;&lt;session id="RC6jdzty"/&gt;&lt;style id="http://www.zotero.org/styles/chicago-note-bibliography" locale="en-CA" hasBibliography="1" bibliographyStyleHasBeenSet="0"/&gt;&lt;prefs&gt;&lt;pref name="fieldType" value="Field"/&gt;&lt;pre</vt:lpwstr>
  </property>
  <property fmtid="{D5CDD505-2E9C-101B-9397-08002B2CF9AE}" pid="3" name="ZOTERO_PREF_2">
    <vt:lpwstr>f name="automaticJournalAbbreviations" value="true"/&gt;&lt;pref name="noteType" value="1"/&gt;&lt;/prefs&gt;&lt;/data&gt;</vt:lpwstr>
  </property>
  <property fmtid="{D5CDD505-2E9C-101B-9397-08002B2CF9AE}" pid="4" name="ContentTypeId">
    <vt:lpwstr>0x0101009D953D6983EF5F4EB0B6A5354F975E96</vt:lpwstr>
  </property>
</Properties>
</file>