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Annex 3</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 Prostitution </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Disclaimer: Understanding the Challenges in Reporting Prostitution and Human Trafficking Figures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compilation of accurate statistics regarding prostitution presents a formidable challenge, particularly in countries that have embraced abolitionist or prohibitionist models, where these activities often occur clandestinely. The nature of the underground nature of the industry makes it inherently difficult to obtain reliable data on the prevalence of prostitution.</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acquiring figures related to individuals transitioning from prostitution to situations of human trafficking, specifically in the context of sexual exploitation, poses additional complexities. Victims may remain hidden due to fear, coercion, or the illicit nature of these activities, further hindering efforts to collect comprehensive and precise statistics.</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acknowledge these limitations when interpreting any available data, as the clandestine nature of these practices makes it challenging to provide a complete and accurate representation of the scale of prostitution and its potential links to human trafficking.</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b w:val="1"/>
          <w:color w:val="2c2825"/>
          <w:sz w:val="24"/>
          <w:szCs w:val="24"/>
          <w:highlight w:val="white"/>
        </w:rPr>
      </w:pPr>
      <w:r w:rsidDel="00000000" w:rsidR="00000000" w:rsidRPr="00000000">
        <w:rPr>
          <w:rFonts w:ascii="Times New Roman" w:cs="Times New Roman" w:eastAsia="Times New Roman" w:hAnsi="Times New Roman"/>
          <w:b w:val="1"/>
          <w:rtl w:val="0"/>
        </w:rPr>
        <w:t xml:space="preserve">Prostitution statistics by country</w:t>
      </w:r>
    </w:p>
    <w:p w:rsidR="00000000" w:rsidDel="00000000" w:rsidP="00000000" w:rsidRDefault="00000000" w:rsidRPr="00000000" w14:paraId="0000000D">
      <w:pPr>
        <w:ind w:left="0" w:firstLine="0"/>
        <w:rPr>
          <w:rFonts w:ascii="Times New Roman" w:cs="Times New Roman" w:eastAsia="Times New Roman" w:hAnsi="Times New Roman"/>
          <w:b w:val="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Country</w:t>
            </w:r>
          </w:p>
        </w:tc>
        <w:tc>
          <w:tcPr>
            <w:shd w:fill="4c1130"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Number of people in situation of prostitution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United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1,000,000</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to 2,000,000</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China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5,000,000</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Australia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20,000</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United Kingdom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72,800</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Turkey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1,000,000</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Russia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3,000,000</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Nigeria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103,500</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- 874,000</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Germany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300,000</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India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657,800</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3,000,000+</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Brazil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1,400,000</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Colombia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248,000</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Mexico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240,000</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Philippines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229,400</w:t>
            </w:r>
            <w:r w:rsidDel="00000000" w:rsidR="00000000" w:rsidRPr="00000000">
              <w:rPr>
                <w:rFonts w:ascii="Times New Roman" w:cs="Times New Roman" w:eastAsia="Times New Roman" w:hAnsi="Times New Roman"/>
                <w:vertAlign w:val="superscript"/>
              </w:rPr>
              <w:footnoteReference w:customMarkFollows="0" w:id="15"/>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Argentina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74,900</w:t>
            </w:r>
            <w:r w:rsidDel="00000000" w:rsidR="00000000" w:rsidRPr="00000000">
              <w:rPr>
                <w:rFonts w:ascii="Times New Roman" w:cs="Times New Roman" w:eastAsia="Times New Roman" w:hAnsi="Times New Roman"/>
                <w:vertAlign w:val="superscript"/>
              </w:rPr>
              <w:footnoteReference w:customMarkFollows="0" w:id="16"/>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Spain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45,000</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Latin America (without Chile, Venezuela and Puerto Rico)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463,000</w:t>
            </w:r>
            <w:r w:rsidDel="00000000" w:rsidR="00000000" w:rsidRPr="00000000">
              <w:rPr>
                <w:rFonts w:ascii="Times New Roman" w:cs="Times New Roman" w:eastAsia="Times New Roman" w:hAnsi="Times New Roman"/>
                <w:vertAlign w:val="superscript"/>
              </w:rPr>
              <w:footnoteReference w:customMarkFollows="0" w:id="18"/>
            </w:r>
            <w:r w:rsidDel="00000000" w:rsidR="00000000" w:rsidRPr="00000000">
              <w:rPr>
                <w:rtl w:val="0"/>
              </w:rPr>
            </w:r>
          </w:p>
        </w:tc>
      </w:tr>
    </w:tbl>
    <w:p w:rsidR="00000000" w:rsidDel="00000000" w:rsidP="00000000" w:rsidRDefault="00000000" w:rsidRPr="00000000" w14:paraId="00000030">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Prostitution statistics by gender globally</w:t>
      </w:r>
    </w:p>
    <w:p w:rsidR="00000000" w:rsidDel="00000000" w:rsidP="00000000" w:rsidRDefault="00000000" w:rsidRPr="00000000" w14:paraId="00000032">
      <w:pPr>
        <w:ind w:left="720" w:firstLine="0"/>
        <w:rPr>
          <w:rFonts w:ascii="Times New Roman" w:cs="Times New Roman" w:eastAsia="Times New Roman" w:hAnsi="Times New Roman"/>
          <w:b w:val="1"/>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Total </w:t>
            </w:r>
          </w:p>
        </w:tc>
        <w:tc>
          <w:tcPr>
            <w:shd w:fill="4c1130"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Female</w:t>
            </w:r>
          </w:p>
        </w:tc>
        <w:tc>
          <w:tcPr>
            <w:shd w:fill="4c1130"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Male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million</w:t>
            </w:r>
            <w:r w:rsidDel="00000000" w:rsidR="00000000" w:rsidRPr="00000000">
              <w:rPr>
                <w:rFonts w:ascii="Times New Roman" w:cs="Times New Roman" w:eastAsia="Times New Roman" w:hAnsi="Times New Roman"/>
                <w:vertAlign w:val="superscript"/>
              </w:rPr>
              <w:footnoteReference w:customMarkFollows="0" w:id="19"/>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41.6 million</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 million</w:t>
            </w:r>
            <w:r w:rsidDel="00000000" w:rsidR="00000000" w:rsidRPr="00000000">
              <w:rPr>
                <w:rFonts w:ascii="Times New Roman" w:cs="Times New Roman" w:eastAsia="Times New Roman" w:hAnsi="Times New Roman"/>
                <w:vertAlign w:val="superscript"/>
              </w:rPr>
              <w:footnoteReference w:customMarkFollows="0" w:id="21"/>
            </w:r>
            <w:r w:rsidDel="00000000" w:rsidR="00000000" w:rsidRPr="00000000">
              <w:rPr>
                <w:rtl w:val="0"/>
              </w:rPr>
            </w:r>
          </w:p>
        </w:tc>
      </w:tr>
    </w:tbl>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Trafficked prostitution victims</w:t>
      </w:r>
    </w:p>
    <w:p w:rsidR="00000000" w:rsidDel="00000000" w:rsidP="00000000" w:rsidRDefault="00000000" w:rsidRPr="00000000" w14:paraId="0000003B">
      <w:pPr>
        <w:ind w:left="0" w:firstLine="0"/>
        <w:rPr>
          <w:rFonts w:ascii="Times New Roman" w:cs="Times New Roman" w:eastAsia="Times New Roman" w:hAnsi="Times New Roman"/>
          <w:b w:val="1"/>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00"/>
        <w:tblGridChange w:id="0">
          <w:tblGrid>
            <w:gridCol w:w="2700"/>
            <w:gridCol w:w="6300"/>
          </w:tblGrid>
        </w:tblGridChange>
      </w:tblGrid>
      <w:tr>
        <w:trPr>
          <w:cantSplit w:val="0"/>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Population group</w:t>
            </w:r>
          </w:p>
        </w:tc>
        <w:tc>
          <w:tcPr>
            <w:shd w:fill="4c1130"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Percentage/Quantity</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million people approximately</w:t>
            </w:r>
            <w:r w:rsidDel="00000000" w:rsidR="00000000" w:rsidRPr="00000000">
              <w:rPr>
                <w:rFonts w:ascii="Times New Roman" w:cs="Times New Roman" w:eastAsia="Times New Roman" w:hAnsi="Times New Roman"/>
                <w:vertAlign w:val="superscript"/>
              </w:rPr>
              <w:footnoteReference w:customMarkFollows="0" w:id="22"/>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Women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r>
    </w:tbl>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Prostitution victims with mental or physical disorders </w:t>
      </w:r>
    </w:p>
    <w:p w:rsidR="00000000" w:rsidDel="00000000" w:rsidP="00000000" w:rsidRDefault="00000000" w:rsidRPr="00000000" w14:paraId="0000004A">
      <w:pPr>
        <w:ind w:left="0" w:firstLine="0"/>
        <w:rPr>
          <w:rFonts w:ascii="Times New Roman" w:cs="Times New Roman" w:eastAsia="Times New Roman" w:hAnsi="Times New Roman"/>
          <w:b w:val="1"/>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Quantity of prostitution victims</w:t>
            </w:r>
          </w:p>
        </w:tc>
        <w:tc>
          <w:tcPr>
            <w:shd w:fill="4c1130"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Disorder or disease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 of 927 victims in 9 countries</w:t>
            </w:r>
            <w:r w:rsidDel="00000000" w:rsidR="00000000" w:rsidRPr="00000000">
              <w:rPr>
                <w:rFonts w:ascii="Times New Roman" w:cs="Times New Roman" w:eastAsia="Times New Roman" w:hAnsi="Times New Roman"/>
                <w:vertAlign w:val="superscript"/>
              </w:rPr>
              <w:footnoteReference w:customMarkFollows="0" w:id="23"/>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 traumatic syndrome disorder </w:t>
            </w:r>
          </w:p>
        </w:tc>
      </w:tr>
    </w:tbl>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 profile of sex trafficked victims</w:t>
      </w:r>
    </w:p>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6150"/>
        <w:tblGridChange w:id="0">
          <w:tblGrid>
            <w:gridCol w:w="2850"/>
            <w:gridCol w:w="6150"/>
          </w:tblGrid>
        </w:tblGridChange>
      </w:tblGrid>
      <w:tr>
        <w:trPr>
          <w:cantSplit w:val="0"/>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Age</w:t>
            </w:r>
          </w:p>
        </w:tc>
        <w:tc>
          <w:tcPr>
            <w:shd w:fill="4c1130"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Percentage</w:t>
            </w:r>
            <w:r w:rsidDel="00000000" w:rsidR="00000000" w:rsidRPr="00000000">
              <w:rPr>
                <w:rFonts w:ascii="Times New Roman" w:cs="Times New Roman" w:eastAsia="Times New Roman" w:hAnsi="Times New Roman"/>
                <w:b w:val="1"/>
                <w:color w:val="ffffff"/>
                <w:vertAlign w:val="superscript"/>
              </w:rPr>
              <w:footnoteReference w:customMarkFollows="0" w:id="24"/>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18-21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22-25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16,4%</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26-30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22,8%</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31-35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36-40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41-45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60">
            <w:pPr>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46-50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51-55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56-60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w:t>
            </w:r>
          </w:p>
        </w:tc>
      </w:tr>
    </w:tbl>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Prostitution demographics</w:t>
      </w:r>
    </w:p>
    <w:p w:rsidR="00000000" w:rsidDel="00000000" w:rsidP="00000000" w:rsidRDefault="00000000" w:rsidRPr="00000000" w14:paraId="0000006A">
      <w:pPr>
        <w:ind w:left="0" w:firstLine="0"/>
        <w:rPr>
          <w:rFonts w:ascii="Times New Roman" w:cs="Times New Roman" w:eastAsia="Times New Roman" w:hAnsi="Times New Roman"/>
          <w:b w:val="1"/>
        </w:rPr>
      </w:pPr>
      <w:r w:rsidDel="00000000" w:rsidR="00000000" w:rsidRPr="00000000">
        <w:rPr>
          <w:rtl w:val="0"/>
        </w:rPr>
      </w:r>
    </w:p>
    <w:tbl>
      <w:tblPr>
        <w:tblStyle w:val="Table6"/>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1680"/>
        <w:gridCol w:w="3330"/>
        <w:gridCol w:w="2235"/>
        <w:tblGridChange w:id="0">
          <w:tblGrid>
            <w:gridCol w:w="1695"/>
            <w:gridCol w:w="1680"/>
            <w:gridCol w:w="3330"/>
            <w:gridCol w:w="2235"/>
          </w:tblGrid>
        </w:tblGridChange>
      </w:tblGrid>
      <w:tr>
        <w:trPr>
          <w:cantSplit w:val="0"/>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Year of study</w:t>
            </w:r>
          </w:p>
        </w:tc>
        <w:tc>
          <w:tcPr>
            <w:shd w:fill="4c1130"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Country</w:t>
            </w:r>
          </w:p>
        </w:tc>
        <w:tc>
          <w:tcPr>
            <w:shd w:fill="4c1130"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Characteristic</w:t>
            </w:r>
          </w:p>
        </w:tc>
        <w:tc>
          <w:tcPr>
            <w:shd w:fill="4c1130"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Percentage </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2001</w:t>
            </w:r>
            <w:r w:rsidDel="00000000" w:rsidR="00000000" w:rsidRPr="00000000">
              <w:rPr>
                <w:rFonts w:ascii="Times New Roman" w:cs="Times New Roman" w:eastAsia="Times New Roman" w:hAnsi="Times New Roman"/>
                <w:b w:val="1"/>
                <w:vertAlign w:val="superscript"/>
              </w:rPr>
              <w:footnoteReference w:customMarkFollows="0" w:id="25"/>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United States</w:t>
            </w:r>
          </w:p>
        </w:tc>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Education</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Completed high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 than a high school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high school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Sexual orientation</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Heterosexual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60,7%</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31,9%</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Homosexual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spirited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Employment</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paid job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15,6%</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currently working for 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57,6%</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40,9%</w:t>
            </w:r>
          </w:p>
        </w:tc>
      </w:tr>
    </w:tbl>
    <w:p w:rsidR="00000000" w:rsidDel="00000000" w:rsidP="00000000" w:rsidRDefault="00000000" w:rsidRPr="00000000" w14:paraId="000000A5">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6">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Prostitution revenue for individual countries</w:t>
      </w:r>
    </w:p>
    <w:p w:rsidR="00000000" w:rsidDel="00000000" w:rsidP="00000000" w:rsidRDefault="00000000" w:rsidRPr="00000000" w14:paraId="000000A7">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8">
      <w:pPr>
        <w:ind w:left="0" w:firstLine="0"/>
        <w:rPr>
          <w:rFonts w:ascii="Times New Roman" w:cs="Times New Roman" w:eastAsia="Times New Roman" w:hAnsi="Times New Roman"/>
          <w:b w:val="1"/>
        </w:rPr>
      </w:pPr>
      <w:r w:rsidDel="00000000" w:rsidR="00000000" w:rsidRPr="00000000">
        <w:rPr>
          <w:rtl w:val="0"/>
        </w:rPr>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6540"/>
        <w:tblGridChange w:id="0">
          <w:tblGrid>
            <w:gridCol w:w="2460"/>
            <w:gridCol w:w="6540"/>
          </w:tblGrid>
        </w:tblGridChange>
      </w:tblGrid>
      <w:tr>
        <w:trPr>
          <w:cantSplit w:val="0"/>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Country</w:t>
            </w:r>
          </w:p>
        </w:tc>
        <w:tc>
          <w:tcPr>
            <w:shd w:fill="4c1130"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Revenue</w:t>
            </w:r>
            <w:r w:rsidDel="00000000" w:rsidR="00000000" w:rsidRPr="00000000">
              <w:rPr>
                <w:rFonts w:ascii="Times New Roman" w:cs="Times New Roman" w:eastAsia="Times New Roman" w:hAnsi="Times New Roman"/>
                <w:b w:val="1"/>
                <w:color w:val="ffffff"/>
                <w:vertAlign w:val="superscript"/>
              </w:rPr>
              <w:footnoteReference w:customMarkFollows="0" w:id="26"/>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China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Spain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$26.5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Japan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Germany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United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$14.6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South Korea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India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Thailand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Philippines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Turkey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Switzerland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Indonesia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$2.25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Taiwan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$1.84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Ukraine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Bulgaria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United Kingdom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Netherlands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 million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Italy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 million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Cambodia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$511 million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Israel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 million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Ireland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$326 million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Czech Republic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 million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Jamaica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 million</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Australia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million</w:t>
            </w:r>
          </w:p>
        </w:tc>
      </w:tr>
    </w:tbl>
    <w:p w:rsidR="00000000" w:rsidDel="00000000" w:rsidP="00000000" w:rsidRDefault="00000000" w:rsidRPr="00000000" w14:paraId="000000DB">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D">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Prostitution customers segregated by gender</w:t>
      </w:r>
    </w:p>
    <w:p w:rsidR="00000000" w:rsidDel="00000000" w:rsidP="00000000" w:rsidRDefault="00000000" w:rsidRPr="00000000" w14:paraId="000000DE">
      <w:pPr>
        <w:ind w:left="0" w:firstLine="0"/>
        <w:rPr>
          <w:rFonts w:ascii="Times New Roman" w:cs="Times New Roman" w:eastAsia="Times New Roman" w:hAnsi="Times New Roman"/>
          <w:b w:val="1"/>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Country</w:t>
            </w:r>
          </w:p>
        </w:tc>
        <w:tc>
          <w:tcPr>
            <w:shd w:fill="4c1130"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Gender</w:t>
            </w:r>
          </w:p>
        </w:tc>
        <w:tc>
          <w:tcPr>
            <w:shd w:fill="4c1130"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Percentage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w:t>
            </w:r>
            <w:r w:rsidDel="00000000" w:rsidR="00000000" w:rsidRPr="00000000">
              <w:rPr>
                <w:rFonts w:ascii="Times New Roman" w:cs="Times New Roman" w:eastAsia="Times New Roman" w:hAnsi="Times New Roman"/>
                <w:vertAlign w:val="superscript"/>
              </w:rPr>
              <w:footnoteReference w:customMarkFollows="0" w:id="27"/>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bl>
    <w:p w:rsidR="00000000" w:rsidDel="00000000" w:rsidP="00000000" w:rsidRDefault="00000000" w:rsidRPr="00000000" w14:paraId="000000E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9">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Prostitution service price per hour by country</w:t>
      </w:r>
    </w:p>
    <w:p w:rsidR="00000000" w:rsidDel="00000000" w:rsidP="00000000" w:rsidRDefault="00000000" w:rsidRPr="00000000" w14:paraId="000000EA">
      <w:pPr>
        <w:ind w:left="0" w:firstLine="0"/>
        <w:rPr>
          <w:rFonts w:ascii="Times New Roman" w:cs="Times New Roman" w:eastAsia="Times New Roman" w:hAnsi="Times New Roman"/>
          <w:b w:val="1"/>
        </w:rPr>
      </w:pPr>
      <w:r w:rsidDel="00000000" w:rsidR="00000000" w:rsidRPr="00000000">
        <w:rPr>
          <w:rtl w:val="0"/>
        </w:rPr>
      </w:r>
    </w:p>
    <w:tbl>
      <w:tblPr>
        <w:tblStyle w:val="Table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6645"/>
        <w:tblGridChange w:id="0">
          <w:tblGrid>
            <w:gridCol w:w="2355"/>
            <w:gridCol w:w="6645"/>
          </w:tblGrid>
        </w:tblGridChange>
      </w:tblGrid>
      <w:tr>
        <w:trPr>
          <w:cantSplit w:val="0"/>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Country</w:t>
            </w:r>
          </w:p>
        </w:tc>
        <w:tc>
          <w:tcPr>
            <w:shd w:fill="4c1130"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Rate per hour in USD</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Australia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$350 USD</w:t>
            </w:r>
            <w:r w:rsidDel="00000000" w:rsidR="00000000" w:rsidRPr="00000000">
              <w:rPr>
                <w:rFonts w:ascii="Times New Roman" w:cs="Times New Roman" w:eastAsia="Times New Roman" w:hAnsi="Times New Roman"/>
                <w:vertAlign w:val="superscript"/>
              </w:rPr>
              <w:footnoteReference w:customMarkFollows="0" w:id="28"/>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Germany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$350 USD</w:t>
            </w:r>
            <w:r w:rsidDel="00000000" w:rsidR="00000000" w:rsidRPr="00000000">
              <w:rPr>
                <w:rFonts w:ascii="Times New Roman" w:cs="Times New Roman" w:eastAsia="Times New Roman" w:hAnsi="Times New Roman"/>
                <w:vertAlign w:val="superscript"/>
              </w:rPr>
              <w:footnoteReference w:customMarkFollows="0" w:id="29"/>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Singapore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$350 USD</w:t>
            </w:r>
            <w:r w:rsidDel="00000000" w:rsidR="00000000" w:rsidRPr="00000000">
              <w:rPr>
                <w:rFonts w:ascii="Times New Roman" w:cs="Times New Roman" w:eastAsia="Times New Roman" w:hAnsi="Times New Roman"/>
                <w:vertAlign w:val="superscript"/>
              </w:rPr>
              <w:footnoteReference w:customMarkFollows="0" w:id="30"/>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UK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$350 USD</w:t>
            </w:r>
            <w:r w:rsidDel="00000000" w:rsidR="00000000" w:rsidRPr="00000000">
              <w:rPr>
                <w:rFonts w:ascii="Times New Roman" w:cs="Times New Roman" w:eastAsia="Times New Roman" w:hAnsi="Times New Roman"/>
                <w:vertAlign w:val="superscript"/>
              </w:rPr>
              <w:footnoteReference w:customMarkFollows="0" w:id="31"/>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Poland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$ 320 USD</w:t>
            </w:r>
            <w:r w:rsidDel="00000000" w:rsidR="00000000" w:rsidRPr="00000000">
              <w:rPr>
                <w:rFonts w:ascii="Times New Roman" w:cs="Times New Roman" w:eastAsia="Times New Roman" w:hAnsi="Times New Roman"/>
                <w:vertAlign w:val="superscript"/>
              </w:rPr>
              <w:footnoteReference w:customMarkFollows="0" w:id="32"/>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Belgium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$ 300 USD</w:t>
            </w:r>
            <w:r w:rsidDel="00000000" w:rsidR="00000000" w:rsidRPr="00000000">
              <w:rPr>
                <w:rFonts w:ascii="Times New Roman" w:cs="Times New Roman" w:eastAsia="Times New Roman" w:hAnsi="Times New Roman"/>
                <w:vertAlign w:val="superscript"/>
              </w:rPr>
              <w:footnoteReference w:customMarkFollows="0" w:id="33"/>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France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 USD</w:t>
            </w:r>
            <w:r w:rsidDel="00000000" w:rsidR="00000000" w:rsidRPr="00000000">
              <w:rPr>
                <w:rFonts w:ascii="Times New Roman" w:cs="Times New Roman" w:eastAsia="Times New Roman" w:hAnsi="Times New Roman"/>
                <w:vertAlign w:val="superscript"/>
              </w:rPr>
              <w:footnoteReference w:customMarkFollows="0" w:id="34"/>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Japan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 USD</w:t>
            </w:r>
            <w:r w:rsidDel="00000000" w:rsidR="00000000" w:rsidRPr="00000000">
              <w:rPr>
                <w:rFonts w:ascii="Times New Roman" w:cs="Times New Roman" w:eastAsia="Times New Roman" w:hAnsi="Times New Roman"/>
                <w:vertAlign w:val="superscript"/>
              </w:rPr>
              <w:footnoteReference w:customMarkFollows="0" w:id="35"/>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Brazil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 USD</w:t>
            </w:r>
            <w:r w:rsidDel="00000000" w:rsidR="00000000" w:rsidRPr="00000000">
              <w:rPr>
                <w:rFonts w:ascii="Times New Roman" w:cs="Times New Roman" w:eastAsia="Times New Roman" w:hAnsi="Times New Roman"/>
                <w:vertAlign w:val="superscript"/>
              </w:rPr>
              <w:footnoteReference w:customMarkFollows="0" w:id="36"/>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Peru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 USD</w:t>
            </w:r>
            <w:r w:rsidDel="00000000" w:rsidR="00000000" w:rsidRPr="00000000">
              <w:rPr>
                <w:rFonts w:ascii="Times New Roman" w:cs="Times New Roman" w:eastAsia="Times New Roman" w:hAnsi="Times New Roman"/>
                <w:vertAlign w:val="superscript"/>
              </w:rPr>
              <w:footnoteReference w:customMarkFollows="0" w:id="37"/>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Argentina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USD</w:t>
            </w:r>
            <w:r w:rsidDel="00000000" w:rsidR="00000000" w:rsidRPr="00000000">
              <w:rPr>
                <w:rFonts w:ascii="Times New Roman" w:cs="Times New Roman" w:eastAsia="Times New Roman" w:hAnsi="Times New Roman"/>
                <w:vertAlign w:val="superscript"/>
              </w:rPr>
              <w:footnoteReference w:customMarkFollows="0" w:id="38"/>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4c1130"/>
              </w:rPr>
            </w:pPr>
            <w:r w:rsidDel="00000000" w:rsidR="00000000" w:rsidRPr="00000000">
              <w:rPr>
                <w:rFonts w:ascii="Times New Roman" w:cs="Times New Roman" w:eastAsia="Times New Roman" w:hAnsi="Times New Roman"/>
                <w:b w:val="1"/>
                <w:color w:val="4c1130"/>
                <w:rtl w:val="0"/>
              </w:rPr>
              <w:t xml:space="preserve">Colombia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USD</w:t>
            </w:r>
            <w:r w:rsidDel="00000000" w:rsidR="00000000" w:rsidRPr="00000000">
              <w:rPr>
                <w:rFonts w:ascii="Times New Roman" w:cs="Times New Roman" w:eastAsia="Times New Roman" w:hAnsi="Times New Roman"/>
                <w:vertAlign w:val="superscript"/>
              </w:rPr>
              <w:footnoteReference w:customMarkFollows="0" w:id="39"/>
            </w:r>
            <w:r w:rsidDel="00000000" w:rsidR="00000000" w:rsidRPr="00000000">
              <w:rPr>
                <w:rFonts w:ascii="Times New Roman" w:cs="Times New Roman" w:eastAsia="Times New Roman" w:hAnsi="Times New Roman"/>
                <w:rtl w:val="0"/>
              </w:rPr>
              <w:t xml:space="preserve">-$50 USD</w:t>
            </w:r>
            <w:r w:rsidDel="00000000" w:rsidR="00000000" w:rsidRPr="00000000">
              <w:rPr>
                <w:rFonts w:ascii="Times New Roman" w:cs="Times New Roman" w:eastAsia="Times New Roman" w:hAnsi="Times New Roman"/>
                <w:vertAlign w:val="superscript"/>
              </w:rPr>
              <w:footnoteReference w:customMarkFollows="0" w:id="40"/>
            </w:r>
            <w:r w:rsidDel="00000000" w:rsidR="00000000" w:rsidRPr="00000000">
              <w:rPr>
                <w:rtl w:val="0"/>
              </w:rPr>
            </w:r>
          </w:p>
        </w:tc>
      </w:tr>
    </w:tbl>
    <w:p w:rsidR="00000000" w:rsidDel="00000000" w:rsidP="00000000" w:rsidRDefault="00000000" w:rsidRPr="00000000" w14:paraId="000001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6">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Prostitution arrests</w:t>
      </w:r>
    </w:p>
    <w:p w:rsidR="00000000" w:rsidDel="00000000" w:rsidP="00000000" w:rsidRDefault="00000000" w:rsidRPr="00000000" w14:paraId="00000107">
      <w:pPr>
        <w:ind w:left="0" w:firstLine="0"/>
        <w:rPr>
          <w:rFonts w:ascii="Times New Roman" w:cs="Times New Roman" w:eastAsia="Times New Roman" w:hAnsi="Times New Roman"/>
          <w:b w:val="1"/>
        </w:rPr>
      </w:pP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Country</w:t>
            </w:r>
          </w:p>
        </w:tc>
        <w:tc>
          <w:tcPr>
            <w:shd w:fill="4c1130"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Charges</w:t>
            </w:r>
          </w:p>
        </w:tc>
        <w:tc>
          <w:tcPr>
            <w:shd w:fill="4c1130"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Number of people</w:t>
            </w:r>
          </w:p>
        </w:tc>
      </w:tr>
      <w:tr>
        <w:trPr>
          <w:cantSplit w:val="0"/>
          <w:trHeight w:val="420" w:hRule="atLeast"/>
          <w:tblHeader w:val="0"/>
        </w:trPr>
        <w:tc>
          <w:tcPr>
            <w:vMerge w:val="restart"/>
            <w:shd w:fill="b7b7b7"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United States</w:t>
            </w:r>
            <w:r w:rsidDel="00000000" w:rsidR="00000000" w:rsidRPr="00000000">
              <w:rPr>
                <w:rFonts w:ascii="Times New Roman" w:cs="Times New Roman" w:eastAsia="Times New Roman" w:hAnsi="Times New Roman"/>
                <w:b w:val="1"/>
                <w:vertAlign w:val="superscript"/>
              </w:rPr>
              <w:footnoteReference w:customMarkFollows="0" w:id="41"/>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Prostitution and commercialized 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326,191</w:t>
            </w:r>
          </w:p>
        </w:tc>
      </w:tr>
      <w:tr>
        <w:trPr>
          <w:cantSplit w:val="0"/>
          <w:trHeight w:val="420" w:hRule="atLeast"/>
          <w:tblHeader w:val="0"/>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42,995</w:t>
            </w:r>
          </w:p>
        </w:tc>
      </w:tr>
      <w:tr>
        <w:trPr>
          <w:cantSplit w:val="0"/>
          <w:trHeight w:val="420" w:hRule="atLeast"/>
          <w:tblHeader w:val="0"/>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Assisting or Promoting Prostitution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7,011</w:t>
            </w:r>
          </w:p>
        </w:tc>
      </w:tr>
      <w:tr>
        <w:trPr>
          <w:cantSplit w:val="0"/>
          <w:trHeight w:val="420" w:hRule="atLeast"/>
          <w:tblHeader w:val="0"/>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Purchasing prostitution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4,019</w:t>
            </w:r>
          </w:p>
        </w:tc>
      </w:tr>
      <w:tr>
        <w:trPr>
          <w:cantSplit w:val="0"/>
          <w:trHeight w:val="420" w:hRule="atLeast"/>
          <w:tblHeader w:val="0"/>
        </w:trPr>
        <w:tc>
          <w:tcPr>
            <w:vMerge w:val="restart"/>
            <w:shd w:fill="b7b7b7"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Spain</w:t>
            </w:r>
            <w:r w:rsidDel="00000000" w:rsidR="00000000" w:rsidRPr="00000000">
              <w:rPr>
                <w:rFonts w:ascii="Times New Roman" w:cs="Times New Roman" w:eastAsia="Times New Roman" w:hAnsi="Times New Roman"/>
                <w:b w:val="1"/>
                <w:vertAlign w:val="superscript"/>
              </w:rPr>
              <w:footnoteReference w:customMarkFollows="0" w:id="42"/>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sex trafficking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883</w:t>
            </w:r>
          </w:p>
        </w:tc>
      </w:tr>
      <w:tr>
        <w:trPr>
          <w:cantSplit w:val="0"/>
          <w:trHeight w:val="420" w:hRule="atLeast"/>
          <w:tblHeader w:val="0"/>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Sexual Exploitation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824-1872</w:t>
            </w:r>
          </w:p>
        </w:tc>
      </w:tr>
    </w:tbl>
    <w:p w:rsidR="00000000" w:rsidDel="00000000" w:rsidP="00000000" w:rsidRDefault="00000000" w:rsidRPr="00000000" w14:paraId="000001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E">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Prostitution pregnancy rates</w:t>
      </w:r>
    </w:p>
    <w:p w:rsidR="00000000" w:rsidDel="00000000" w:rsidP="00000000" w:rsidRDefault="00000000" w:rsidRPr="00000000" w14:paraId="0000011F">
      <w:pPr>
        <w:rPr>
          <w:rFonts w:ascii="Times New Roman" w:cs="Times New Roman" w:eastAsia="Times New Roman" w:hAnsi="Times New Roman"/>
          <w:b w:val="1"/>
        </w:rPr>
      </w:pP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Country</w:t>
            </w:r>
          </w:p>
        </w:tc>
        <w:tc>
          <w:tcPr>
            <w:shd w:fill="4c1130"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Pregnancy</w:t>
            </w:r>
          </w:p>
        </w:tc>
        <w:tc>
          <w:tcPr>
            <w:shd w:fill="4c1130"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Percentage</w:t>
            </w:r>
          </w:p>
        </w:tc>
      </w:tr>
      <w:tr>
        <w:trPr>
          <w:cantSplit w:val="0"/>
          <w:trHeight w:val="420" w:hRule="atLeast"/>
          <w:tblHeader w:val="0"/>
        </w:trPr>
        <w:tc>
          <w:tcPr>
            <w:vMerge w:val="restart"/>
            <w:shd w:fill="b7b7b7"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Canada</w:t>
            </w:r>
            <w:r w:rsidDel="00000000" w:rsidR="00000000" w:rsidRPr="00000000">
              <w:rPr>
                <w:rFonts w:ascii="Times New Roman" w:cs="Times New Roman" w:eastAsia="Times New Roman" w:hAnsi="Times New Roman"/>
                <w:b w:val="1"/>
                <w:vertAlign w:val="superscript"/>
              </w:rPr>
              <w:footnoteReference w:customMarkFollows="0" w:id="43"/>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pregnant at least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w:t>
            </w:r>
          </w:p>
        </w:tc>
      </w:tr>
      <w:tr>
        <w:trPr>
          <w:cantSplit w:val="0"/>
          <w:trHeight w:val="420" w:hRule="atLeast"/>
          <w:tblHeader w:val="0"/>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Former </w:t>
            </w:r>
            <w:r w:rsidDel="00000000" w:rsidR="00000000" w:rsidRPr="00000000">
              <w:rPr>
                <w:rFonts w:ascii="Times New Roman" w:cs="Times New Roman" w:eastAsia="Times New Roman" w:hAnsi="Times New Roman"/>
                <w:rtl w:val="0"/>
              </w:rPr>
              <w:t xml:space="preserve">prostitution victims with a dependent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42,6%</w:t>
            </w:r>
          </w:p>
        </w:tc>
      </w:tr>
      <w:tr>
        <w:trPr>
          <w:cantSplit w:val="0"/>
          <w:trHeight w:val="420" w:hRule="atLeast"/>
          <w:tblHeader w:val="0"/>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Active </w:t>
            </w:r>
            <w:r w:rsidDel="00000000" w:rsidR="00000000" w:rsidRPr="00000000">
              <w:rPr>
                <w:rFonts w:ascii="Times New Roman" w:cs="Times New Roman" w:eastAsia="Times New Roman" w:hAnsi="Times New Roman"/>
                <w:rtl w:val="0"/>
              </w:rPr>
              <w:t xml:space="preserve">prostitution victims with a dependent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18,4%</w:t>
            </w:r>
          </w:p>
        </w:tc>
      </w:tr>
      <w:tr>
        <w:trPr>
          <w:cantSplit w:val="0"/>
          <w:trHeight w:val="420" w:hRule="atLeast"/>
          <w:tblHeader w:val="0"/>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had an abortion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52,8%</w:t>
            </w:r>
          </w:p>
        </w:tc>
      </w:tr>
    </w:tbl>
    <w:p w:rsidR="00000000" w:rsidDel="00000000" w:rsidP="00000000" w:rsidRDefault="00000000" w:rsidRPr="00000000" w14:paraId="000001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1">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Frequency of sexual intercourse of prostitution victims, by country </w:t>
      </w:r>
    </w:p>
    <w:p w:rsidR="00000000" w:rsidDel="00000000" w:rsidP="00000000" w:rsidRDefault="00000000" w:rsidRPr="00000000" w14:paraId="00000132">
      <w:pPr>
        <w:ind w:left="0" w:firstLine="0"/>
        <w:rPr>
          <w:rFonts w:ascii="Times New Roman" w:cs="Times New Roman" w:eastAsia="Times New Roman" w:hAnsi="Times New Roman"/>
          <w:b w:val="1"/>
        </w:rPr>
      </w:pPr>
      <w:r w:rsidDel="00000000" w:rsidR="00000000" w:rsidRPr="00000000">
        <w:rPr>
          <w:rtl w:val="0"/>
        </w:rPr>
      </w:r>
    </w:p>
    <w:tbl>
      <w:tblPr>
        <w:tblStyle w:val="Table12"/>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2220"/>
        <w:gridCol w:w="2790"/>
        <w:gridCol w:w="2235"/>
        <w:tblGridChange w:id="0">
          <w:tblGrid>
            <w:gridCol w:w="1695"/>
            <w:gridCol w:w="2220"/>
            <w:gridCol w:w="2790"/>
            <w:gridCol w:w="2235"/>
          </w:tblGrid>
        </w:tblGridChange>
      </w:tblGrid>
      <w:tr>
        <w:trPr>
          <w:cantSplit w:val="0"/>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Country</w:t>
            </w:r>
          </w:p>
        </w:tc>
        <w:tc>
          <w:tcPr>
            <w:shd w:fill="4c1130"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Type of prostitution</w:t>
            </w:r>
          </w:p>
        </w:tc>
        <w:tc>
          <w:tcPr>
            <w:shd w:fill="4c1130"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Question answered</w:t>
            </w:r>
          </w:p>
        </w:tc>
        <w:tc>
          <w:tcPr>
            <w:shd w:fill="4c1130"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Quantity</w:t>
            </w:r>
          </w:p>
        </w:tc>
      </w:tr>
      <w:tr>
        <w:trPr>
          <w:cantSplit w:val="0"/>
          <w:trHeight w:val="420" w:hRule="atLeast"/>
          <w:tblHeader w:val="0"/>
        </w:trPr>
        <w:tc>
          <w:tcPr>
            <w:vMerge w:val="restart"/>
            <w:shd w:fill="cccccc"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United States</w:t>
            </w:r>
            <w:r w:rsidDel="00000000" w:rsidR="00000000" w:rsidRPr="00000000">
              <w:rPr>
                <w:rFonts w:ascii="Times New Roman" w:cs="Times New Roman" w:eastAsia="Times New Roman" w:hAnsi="Times New Roman"/>
                <w:b w:val="1"/>
                <w:vertAlign w:val="superscript"/>
              </w:rPr>
              <w:footnoteReference w:customMarkFollows="0" w:id="44"/>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Parlor prostitution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times in a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-14</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Range 0-60</w:t>
            </w:r>
          </w:p>
        </w:tc>
      </w:tr>
      <w:tr>
        <w:trPr>
          <w:cantSplit w:val="0"/>
          <w:trHeight w:val="420" w:hRule="atLeast"/>
          <w:tblHeader w:val="0"/>
        </w:trPr>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different 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- 11</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Range 0-40</w:t>
            </w:r>
          </w:p>
        </w:tc>
      </w:tr>
      <w:tr>
        <w:trPr>
          <w:cantSplit w:val="0"/>
          <w:trHeight w:val="420" w:hRule="atLeast"/>
          <w:tblHeader w:val="0"/>
        </w:trPr>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Street prostitution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times in a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- 22</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Range 1-80</w:t>
            </w:r>
          </w:p>
        </w:tc>
      </w:tr>
      <w:tr>
        <w:trPr>
          <w:cantSplit w:val="0"/>
          <w:trHeight w:val="420" w:hRule="atLeast"/>
          <w:tblHeader w:val="0"/>
        </w:trPr>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different men in a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- 19</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Range 0 - 70</w:t>
            </w:r>
          </w:p>
        </w:tc>
      </w:tr>
    </w:tbl>
    <w:p w:rsidR="00000000" w:rsidDel="00000000" w:rsidP="00000000" w:rsidRDefault="00000000" w:rsidRPr="00000000" w14:paraId="0000014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C">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Violence suffered by prostitution victims</w:t>
      </w:r>
    </w:p>
    <w:p w:rsidR="00000000" w:rsidDel="00000000" w:rsidP="00000000" w:rsidRDefault="00000000" w:rsidRPr="00000000" w14:paraId="0000014D">
      <w:pPr>
        <w:rPr>
          <w:rFonts w:ascii="Times New Roman" w:cs="Times New Roman" w:eastAsia="Times New Roman" w:hAnsi="Times New Roman"/>
          <w:b w:val="1"/>
        </w:rPr>
      </w:pPr>
      <w:r w:rsidDel="00000000" w:rsidR="00000000" w:rsidRPr="00000000">
        <w:rPr>
          <w:rtl w:val="0"/>
        </w:rPr>
      </w:r>
    </w:p>
    <w:tbl>
      <w:tblPr>
        <w:tblStyle w:val="Table13"/>
        <w:tblW w:w="8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4185"/>
        <w:gridCol w:w="3000"/>
        <w:tblGridChange w:id="0">
          <w:tblGrid>
            <w:gridCol w:w="1695"/>
            <w:gridCol w:w="4185"/>
            <w:gridCol w:w="3000"/>
          </w:tblGrid>
        </w:tblGridChange>
      </w:tblGrid>
      <w:tr>
        <w:trPr>
          <w:cantSplit w:val="0"/>
          <w:trHeight w:val="447.978515625" w:hRule="atLeast"/>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Country</w:t>
            </w:r>
          </w:p>
        </w:tc>
        <w:tc>
          <w:tcPr>
            <w:shd w:fill="4c1130"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Question answered</w:t>
            </w:r>
          </w:p>
        </w:tc>
        <w:tc>
          <w:tcPr>
            <w:shd w:fill="4c1130"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Percentage</w:t>
            </w:r>
          </w:p>
        </w:tc>
      </w:tr>
      <w:tr>
        <w:trPr>
          <w:cantSplit w:val="0"/>
          <w:trHeight w:val="420" w:hRule="atLeast"/>
          <w:tblHeader w:val="0"/>
        </w:trPr>
        <w:tc>
          <w:tcPr>
            <w:vMerge w:val="restart"/>
            <w:shd w:fill="cccccc" w:val="clear"/>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United Kingdom</w:t>
            </w:r>
            <w:r w:rsidDel="00000000" w:rsidR="00000000" w:rsidRPr="00000000">
              <w:rPr>
                <w:rFonts w:ascii="Times New Roman" w:cs="Times New Roman" w:eastAsia="Times New Roman" w:hAnsi="Times New Roman"/>
                <w:b w:val="1"/>
                <w:vertAlign w:val="superscript"/>
              </w:rPr>
              <w:footnoteReference w:customMarkFollows="0" w:id="45"/>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slapped, punched or kicked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r>
          </w:p>
        </w:tc>
      </w:tr>
      <w:tr>
        <w:trPr>
          <w:cantSplit w:val="0"/>
          <w:trHeight w:val="420" w:hRule="atLeast"/>
          <w:tblHeader w:val="0"/>
        </w:trPr>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robbed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r>
      <w:tr>
        <w:trPr>
          <w:cantSplit w:val="0"/>
          <w:trHeight w:val="420" w:hRule="atLeast"/>
          <w:tblHeader w:val="0"/>
        </w:trPr>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threatened with a weapon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r>
      <w:tr>
        <w:trPr>
          <w:cantSplit w:val="0"/>
          <w:trHeight w:val="420" w:hRule="atLeast"/>
          <w:tblHeader w:val="0"/>
        </w:trPr>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15A">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held against will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rHeight w:val="420" w:hRule="atLeast"/>
          <w:tblHeader w:val="0"/>
        </w:trPr>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15D">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suffered an attempted rape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r>
      <w:tr>
        <w:trPr>
          <w:cantSplit w:val="0"/>
          <w:trHeight w:val="420" w:hRule="atLeast"/>
          <w:tblHeader w:val="0"/>
        </w:trPr>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160">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strangulated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rHeight w:val="420" w:hRule="atLeast"/>
          <w:tblHeader w:val="0"/>
        </w:trPr>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raped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r>
      <w:tr>
        <w:trPr>
          <w:cantSplit w:val="0"/>
          <w:trHeight w:val="420" w:hRule="atLeast"/>
          <w:tblHeader w:val="0"/>
        </w:trPr>
        <w:tc>
          <w:tcPr>
            <w:shd w:fill="cccccc" w:val="clear"/>
          </w:tcPr>
          <w:p w:rsidR="00000000" w:rsidDel="00000000" w:rsidP="00000000" w:rsidRDefault="00000000" w:rsidRPr="00000000" w14:paraId="0000016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United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69">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6A">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Prostitution and drug use</w:t>
      </w:r>
    </w:p>
    <w:p w:rsidR="00000000" w:rsidDel="00000000" w:rsidP="00000000" w:rsidRDefault="00000000" w:rsidRPr="00000000" w14:paraId="0000016B">
      <w:pPr>
        <w:rPr>
          <w:rFonts w:ascii="Times New Roman" w:cs="Times New Roman" w:eastAsia="Times New Roman" w:hAnsi="Times New Roman"/>
          <w:b w:val="1"/>
        </w:rPr>
      </w:pPr>
      <w:r w:rsidDel="00000000" w:rsidR="00000000" w:rsidRPr="00000000">
        <w:rPr>
          <w:rtl w:val="0"/>
        </w:rPr>
      </w:r>
    </w:p>
    <w:tbl>
      <w:tblPr>
        <w:tblStyle w:val="Table14"/>
        <w:tblW w:w="8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4185"/>
        <w:gridCol w:w="3000"/>
        <w:tblGridChange w:id="0">
          <w:tblGrid>
            <w:gridCol w:w="1695"/>
            <w:gridCol w:w="4185"/>
            <w:gridCol w:w="3000"/>
          </w:tblGrid>
        </w:tblGridChange>
      </w:tblGrid>
      <w:tr>
        <w:trPr>
          <w:cantSplit w:val="0"/>
          <w:trHeight w:val="447.978515625" w:hRule="atLeast"/>
          <w:tblHeader w:val="0"/>
        </w:trPr>
        <w:tc>
          <w:tcPr>
            <w:shd w:fill="4c1130"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Country</w:t>
            </w:r>
          </w:p>
        </w:tc>
        <w:tc>
          <w:tcPr>
            <w:shd w:fill="4c1130"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Question answered</w:t>
            </w:r>
          </w:p>
        </w:tc>
        <w:tc>
          <w:tcPr>
            <w:shd w:fill="4c1130"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Percentage</w:t>
            </w:r>
          </w:p>
        </w:tc>
      </w:tr>
      <w:tr>
        <w:trPr>
          <w:cantSplit w:val="0"/>
          <w:trHeight w:val="420" w:hRule="atLeast"/>
          <w:tblHeader w:val="0"/>
        </w:trPr>
        <w:tc>
          <w:tcPr>
            <w:vMerge w:val="restart"/>
            <w:shd w:fill="b7b7b7" w:val="clear"/>
          </w:tcPr>
          <w:p w:rsidR="00000000" w:rsidDel="00000000" w:rsidP="00000000" w:rsidRDefault="00000000" w:rsidRPr="00000000" w14:paraId="000001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United Kingdom</w:t>
            </w:r>
            <w:r w:rsidDel="00000000" w:rsidR="00000000" w:rsidRPr="00000000">
              <w:rPr>
                <w:rFonts w:ascii="Times New Roman" w:cs="Times New Roman" w:eastAsia="Times New Roman" w:hAnsi="Times New Roman"/>
                <w:b w:val="1"/>
                <w:vertAlign w:val="superscript"/>
              </w:rPr>
              <w:footnoteReference w:customMarkFollows="0" w:id="46"/>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used a drug in the past six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80.42%</w:t>
            </w:r>
          </w:p>
        </w:tc>
      </w:tr>
      <w:tr>
        <w:trPr>
          <w:cantSplit w:val="0"/>
          <w:trHeight w:val="420" w:hRule="atLeast"/>
          <w:tblHeader w:val="0"/>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used heroin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w:t>
            </w:r>
          </w:p>
        </w:tc>
      </w:tr>
      <w:tr>
        <w:trPr>
          <w:cantSplit w:val="0"/>
          <w:trHeight w:val="420" w:hRule="atLeast"/>
          <w:tblHeader w:val="0"/>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used opiates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r>
      <w:tr>
        <w:trPr>
          <w:cantSplit w:val="0"/>
          <w:trHeight w:val="420" w:hRule="atLeast"/>
          <w:tblHeader w:val="0"/>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used tranquilizers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r>
      <w:tr>
        <w:trPr>
          <w:cantSplit w:val="0"/>
          <w:trHeight w:val="420" w:hRule="atLeast"/>
          <w:tblHeader w:val="0"/>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used crack cocaine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r>
      <w:tr>
        <w:trPr>
          <w:cantSplit w:val="0"/>
          <w:trHeight w:val="420" w:hRule="atLeast"/>
          <w:tblHeader w:val="0"/>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used cannabis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r>
      <w:tr>
        <w:trPr>
          <w:cantSplit w:val="0"/>
          <w:trHeight w:val="420" w:hRule="atLeast"/>
          <w:tblHeader w:val="0"/>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used cocaine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bl>
    <w:p w:rsidR="00000000" w:rsidDel="00000000" w:rsidP="00000000" w:rsidRDefault="00000000" w:rsidRPr="00000000" w14:paraId="00000184">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1">
    <w:p w:rsidR="00000000" w:rsidDel="00000000" w:rsidP="00000000" w:rsidRDefault="00000000" w:rsidRPr="00000000" w14:paraId="000001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International Union of Sex Workers. Sex Worker Statistics by Cuntry, Gender (2023).</w:t>
      </w:r>
    </w:p>
  </w:footnote>
  <w:footnote w:id="1">
    <w:p w:rsidR="00000000" w:rsidDel="00000000" w:rsidP="00000000" w:rsidRDefault="00000000" w:rsidRPr="00000000" w14:paraId="0000018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Ibid</w:t>
      </w:r>
    </w:p>
  </w:footnote>
  <w:footnote w:id="0">
    <w:p w:rsidR="00000000" w:rsidDel="00000000" w:rsidP="00000000" w:rsidRDefault="00000000" w:rsidRPr="00000000" w14:paraId="000001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International Union of Sex Workers. Sex Worker Statistics by Cuntry, Gender (2023). Retrieved from: https://www.iusw.org/sex-worker-statistics/#:~:text=3%2C000%2C000%2B-,Female%20Sex%20Worker%20Statistics,female%20sex%20workers%20being%2014.</w:t>
      </w:r>
    </w:p>
  </w:footnote>
  <w:footnote w:id="2">
    <w:p w:rsidR="00000000" w:rsidDel="00000000" w:rsidP="00000000" w:rsidRDefault="00000000" w:rsidRPr="00000000" w14:paraId="0000018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Ibid</w:t>
      </w:r>
    </w:p>
  </w:footnote>
  <w:footnote w:id="3">
    <w:p w:rsidR="00000000" w:rsidDel="00000000" w:rsidP="00000000" w:rsidRDefault="00000000" w:rsidRPr="00000000" w14:paraId="0000018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Ibid</w:t>
      </w:r>
    </w:p>
  </w:footnote>
  <w:footnote w:id="4">
    <w:p w:rsidR="00000000" w:rsidDel="00000000" w:rsidP="00000000" w:rsidRDefault="00000000" w:rsidRPr="00000000" w14:paraId="0000018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Ibid</w:t>
      </w:r>
    </w:p>
  </w:footnote>
  <w:footnote w:id="5">
    <w:p w:rsidR="00000000" w:rsidDel="00000000" w:rsidP="00000000" w:rsidRDefault="00000000" w:rsidRPr="00000000" w14:paraId="0000018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Ibid</w:t>
      </w:r>
    </w:p>
  </w:footnote>
  <w:footnote w:id="6">
    <w:p w:rsidR="00000000" w:rsidDel="00000000" w:rsidP="00000000" w:rsidRDefault="00000000" w:rsidRPr="00000000" w14:paraId="000001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Ibid</w:t>
      </w:r>
    </w:p>
  </w:footnote>
  <w:footnote w:id="7">
    <w:p w:rsidR="00000000" w:rsidDel="00000000" w:rsidP="00000000" w:rsidRDefault="00000000" w:rsidRPr="00000000" w14:paraId="000001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Ibid</w:t>
      </w:r>
    </w:p>
  </w:footnote>
  <w:footnote w:id="9">
    <w:p w:rsidR="00000000" w:rsidDel="00000000" w:rsidP="00000000" w:rsidRDefault="00000000" w:rsidRPr="00000000" w14:paraId="000001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International Union of Sex Workers. Sex Worker Statistics by Cuntry, Gender (2023). Retrieved from: https://www.iusw.org/sex-worker-statistics/#:~:text=3%2C000%2C000%2B-,Female%20Sex%20Worker%20Statistics,female%20sex%20workers%20being%2014.</w:t>
      </w:r>
    </w:p>
  </w:footnote>
  <w:footnote w:id="19">
    <w:p w:rsidR="00000000" w:rsidDel="00000000" w:rsidP="00000000" w:rsidRDefault="00000000" w:rsidRPr="00000000" w14:paraId="000001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International Union of Sex Workers. Sex Worker Statistics by Cuntry, Gender (2023). Retrieved from: https://www.iusw.org/sex-worker-statistics/#:~:text=3%2C000%2C000%2B-,Female%20Sex%20Worker%20Statistics,female%20sex%20workers%20being%2014.</w:t>
      </w:r>
    </w:p>
  </w:footnote>
  <w:footnote w:id="20">
    <w:p w:rsidR="00000000" w:rsidDel="00000000" w:rsidP="00000000" w:rsidRDefault="00000000" w:rsidRPr="00000000" w14:paraId="0000019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21">
    <w:p w:rsidR="00000000" w:rsidDel="00000000" w:rsidP="00000000" w:rsidRDefault="00000000" w:rsidRPr="00000000" w14:paraId="000001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22">
    <w:p w:rsidR="00000000" w:rsidDel="00000000" w:rsidP="00000000" w:rsidRDefault="00000000" w:rsidRPr="00000000" w14:paraId="0000019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Labour Organization. </w:t>
      </w:r>
    </w:p>
  </w:footnote>
  <w:footnote w:id="23">
    <w:p w:rsidR="00000000" w:rsidDel="00000000" w:rsidP="00000000" w:rsidRDefault="00000000" w:rsidRPr="00000000" w14:paraId="00000197">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Roboto" w:cs="Roboto" w:eastAsia="Roboto" w:hAnsi="Roboto"/>
          <w:color w:val="212121"/>
          <w:sz w:val="18"/>
          <w:szCs w:val="18"/>
          <w:highlight w:val="white"/>
          <w:rtl w:val="0"/>
        </w:rPr>
        <w:t xml:space="preserve">Jung YE, Song JM, Chong J, Seo HJ, Chae JH. Symptoms of posttraumatic stress disorder and mental health in women who escaped prostitution and helping activists in shelters. Yonsei Med J. 2008 Jun 30;49(3):372-82. doi: 10.3349/ymj.2008.49.3.372. PMID: 18581585; PMCID: PMC2615337.</w:t>
      </w:r>
      <w:r w:rsidDel="00000000" w:rsidR="00000000" w:rsidRPr="00000000">
        <w:rPr>
          <w:rtl w:val="0"/>
        </w:rPr>
      </w:r>
    </w:p>
  </w:footnote>
  <w:footnote w:id="24">
    <w:p w:rsidR="00000000" w:rsidDel="00000000" w:rsidP="00000000" w:rsidRDefault="00000000" w:rsidRPr="00000000" w14:paraId="0000019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International Union of Sex Workers. Sex Worker Statistics by Cuntry, Gender (2023). Retrieved from: https://www.iusw.org/sex-worker-statistics/#:~:text=3%2C000%2C000%2B-,Female%20Sex%20Worker%20Statistics,female%20sex%20workers%20being%2014.</w:t>
      </w:r>
    </w:p>
  </w:footnote>
  <w:footnote w:id="26">
    <w:p w:rsidR="00000000" w:rsidDel="00000000" w:rsidP="00000000" w:rsidRDefault="00000000" w:rsidRPr="00000000" w14:paraId="0000019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Sexual Alpha. Prostitution Statistics. 2023: https://sexualalpha.com/prostitution-statistics/</w:t>
      </w:r>
    </w:p>
  </w:footnote>
  <w:footnote w:id="12">
    <w:p w:rsidR="00000000" w:rsidDel="00000000" w:rsidP="00000000" w:rsidRDefault="00000000" w:rsidRPr="00000000" w14:paraId="0000019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Joint United Nations Programme on HIV/AIDS. 2021:</w:t>
      </w:r>
      <w:r w:rsidDel="00000000" w:rsidR="00000000" w:rsidRPr="00000000">
        <w:rPr>
          <w:rtl w:val="0"/>
        </w:rPr>
        <w:t xml:space="preserve">. A population atlas with information on prostitutes by country: </w:t>
      </w:r>
      <w:hyperlink r:id="rId1">
        <w:r w:rsidDel="00000000" w:rsidR="00000000" w:rsidRPr="00000000">
          <w:rPr>
            <w:color w:val="1155cc"/>
            <w:u w:val="single"/>
            <w:rtl w:val="0"/>
          </w:rPr>
          <w:t xml:space="preserve">https://kpatlas.unaids.org/dashboard</w:t>
        </w:r>
      </w:hyperlink>
      <w:r w:rsidDel="00000000" w:rsidR="00000000" w:rsidRPr="00000000">
        <w:rPr>
          <w:rtl w:val="0"/>
        </w:rPr>
        <w:t xml:space="preserve">. </w:t>
      </w:r>
      <w:r w:rsidDel="00000000" w:rsidR="00000000" w:rsidRPr="00000000">
        <w:rPr>
          <w:rtl w:val="0"/>
        </w:rPr>
      </w:r>
    </w:p>
  </w:footnote>
  <w:footnote w:id="8">
    <w:p w:rsidR="00000000" w:rsidDel="00000000" w:rsidP="00000000" w:rsidRDefault="00000000" w:rsidRPr="00000000" w14:paraId="0000019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Joint United Nations Programme on HIV/AIDS. 2021:</w:t>
      </w:r>
      <w:r w:rsidDel="00000000" w:rsidR="00000000" w:rsidRPr="00000000">
        <w:rPr>
          <w:rtl w:val="0"/>
        </w:rPr>
        <w:t xml:space="preserve">. A population atlas with information on prostitutes by country: </w:t>
      </w:r>
      <w:hyperlink r:id="rId2">
        <w:r w:rsidDel="00000000" w:rsidR="00000000" w:rsidRPr="00000000">
          <w:rPr>
            <w:color w:val="1155cc"/>
            <w:u w:val="single"/>
            <w:rtl w:val="0"/>
          </w:rPr>
          <w:t xml:space="preserve">https://kpatlas.unaids.org/dashboard</w:t>
        </w:r>
      </w:hyperlink>
      <w:r w:rsidDel="00000000" w:rsidR="00000000" w:rsidRPr="00000000">
        <w:rPr>
          <w:rtl w:val="0"/>
        </w:rPr>
        <w:t xml:space="preserve">. </w:t>
      </w:r>
      <w:r w:rsidDel="00000000" w:rsidR="00000000" w:rsidRPr="00000000">
        <w:rPr>
          <w:rtl w:val="0"/>
        </w:rPr>
      </w:r>
    </w:p>
  </w:footnote>
  <w:footnote w:id="10">
    <w:p w:rsidR="00000000" w:rsidDel="00000000" w:rsidP="00000000" w:rsidRDefault="00000000" w:rsidRPr="00000000" w14:paraId="0000019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Joint United Nations Programme on HIV/AIDS. 2021:</w:t>
      </w:r>
      <w:r w:rsidDel="00000000" w:rsidR="00000000" w:rsidRPr="00000000">
        <w:rPr>
          <w:rtl w:val="0"/>
        </w:rPr>
        <w:t xml:space="preserve">. A population atlas with information on prostitutes by country: </w:t>
      </w:r>
      <w:hyperlink r:id="rId3">
        <w:r w:rsidDel="00000000" w:rsidR="00000000" w:rsidRPr="00000000">
          <w:rPr>
            <w:color w:val="1155cc"/>
            <w:u w:val="single"/>
            <w:rtl w:val="0"/>
          </w:rPr>
          <w:t xml:space="preserve">https://kpatlas.unaids.org/dashboard</w:t>
        </w:r>
      </w:hyperlink>
      <w:r w:rsidDel="00000000" w:rsidR="00000000" w:rsidRPr="00000000">
        <w:rPr>
          <w:rtl w:val="0"/>
        </w:rPr>
        <w:t xml:space="preserve">. </w:t>
      </w:r>
      <w:r w:rsidDel="00000000" w:rsidR="00000000" w:rsidRPr="00000000">
        <w:rPr>
          <w:rtl w:val="0"/>
        </w:rPr>
      </w:r>
    </w:p>
  </w:footnote>
  <w:footnote w:id="13">
    <w:p w:rsidR="00000000" w:rsidDel="00000000" w:rsidP="00000000" w:rsidRDefault="00000000" w:rsidRPr="00000000" w14:paraId="0000019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4">
    <w:p w:rsidR="00000000" w:rsidDel="00000000" w:rsidP="00000000" w:rsidRDefault="00000000" w:rsidRPr="00000000" w14:paraId="0000019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5">
    <w:p w:rsidR="00000000" w:rsidDel="00000000" w:rsidP="00000000" w:rsidRDefault="00000000" w:rsidRPr="00000000" w14:paraId="0000019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6">
    <w:p w:rsidR="00000000" w:rsidDel="00000000" w:rsidP="00000000" w:rsidRDefault="00000000" w:rsidRPr="00000000" w14:paraId="000001A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25">
    <w:p w:rsidR="00000000" w:rsidDel="00000000" w:rsidP="00000000" w:rsidRDefault="00000000" w:rsidRPr="00000000" w14:paraId="000001A1">
      <w:pPr>
        <w:jc w:val="both"/>
        <w:rPr>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University of Victoria</w:t>
      </w:r>
      <w:r w:rsidDel="00000000" w:rsidR="00000000" w:rsidRPr="00000000">
        <w:rPr>
          <w:sz w:val="18"/>
          <w:szCs w:val="18"/>
          <w:rtl w:val="0"/>
        </w:rPr>
        <w:t xml:space="preserve">, 2001. A study of 201 active and prior sex workers to differentiate between common myths and the realities of prostitution: </w:t>
      </w:r>
      <w:hyperlink r:id="rId4">
        <w:r w:rsidDel="00000000" w:rsidR="00000000" w:rsidRPr="00000000">
          <w:rPr>
            <w:color w:val="1155cc"/>
            <w:sz w:val="18"/>
            <w:szCs w:val="18"/>
            <w:u w:val="single"/>
            <w:rtl w:val="0"/>
          </w:rPr>
          <w:t xml:space="preserve">https://dspace.library.uvic.ca/bitstream/handle/1828/7473/Benoit_Cecilia_DispellingMyths_2001.pdf?sequence=1%26isAllowed=y</w:t>
        </w:r>
      </w:hyperlink>
      <w:r w:rsidDel="00000000" w:rsidR="00000000" w:rsidRPr="00000000">
        <w:rPr>
          <w:sz w:val="18"/>
          <w:szCs w:val="18"/>
          <w:rtl w:val="0"/>
        </w:rPr>
        <w:t xml:space="preserve">. </w:t>
      </w:r>
      <w:r w:rsidDel="00000000" w:rsidR="00000000" w:rsidRPr="00000000">
        <w:rPr>
          <w:rtl w:val="0"/>
        </w:rPr>
      </w:r>
    </w:p>
  </w:footnote>
  <w:footnote w:id="27">
    <w:p w:rsidR="00000000" w:rsidDel="00000000" w:rsidP="00000000" w:rsidRDefault="00000000" w:rsidRPr="00000000" w14:paraId="000001A2">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Federal Bureau of Investigation, 2020. A crime data explorer providing statistics on crimes in the U.S: https://crime-data-explorer.app.cloud.gov/pages/explorer/crime/arrest</w:t>
      </w:r>
    </w:p>
  </w:footnote>
  <w:footnote w:id="28">
    <w:p w:rsidR="00000000" w:rsidDel="00000000" w:rsidP="00000000" w:rsidRDefault="00000000" w:rsidRPr="00000000" w14:paraId="000001A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1"/>
          <w:szCs w:val="21"/>
          <w:highlight w:val="white"/>
          <w:rtl w:val="0"/>
        </w:rPr>
        <w:t xml:space="preserve">Pasion Erotica</w:t>
      </w:r>
      <w:r w:rsidDel="00000000" w:rsidR="00000000" w:rsidRPr="00000000">
        <w:rPr>
          <w:color w:val="333333"/>
          <w:sz w:val="21"/>
          <w:szCs w:val="21"/>
          <w:highlight w:val="white"/>
          <w:rtl w:val="0"/>
        </w:rPr>
        <w:t xml:space="preserve">, 2019. An article on the prices of prostitution in various countries around the world in 2019: https://pasionerotica.com/the-price-of-prostitution-around-the-world-in-2019</w:t>
      </w:r>
      <w:r w:rsidDel="00000000" w:rsidR="00000000" w:rsidRPr="00000000">
        <w:rPr>
          <w:rtl w:val="0"/>
        </w:rPr>
      </w:r>
    </w:p>
  </w:footnote>
  <w:footnote w:id="29">
    <w:p w:rsidR="00000000" w:rsidDel="00000000" w:rsidP="00000000" w:rsidRDefault="00000000" w:rsidRPr="00000000" w14:paraId="000001A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0">
    <w:p w:rsidR="00000000" w:rsidDel="00000000" w:rsidP="00000000" w:rsidRDefault="00000000" w:rsidRPr="00000000" w14:paraId="000001A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1">
    <w:p w:rsidR="00000000" w:rsidDel="00000000" w:rsidP="00000000" w:rsidRDefault="00000000" w:rsidRPr="00000000" w14:paraId="000001A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2">
    <w:p w:rsidR="00000000" w:rsidDel="00000000" w:rsidP="00000000" w:rsidRDefault="00000000" w:rsidRPr="00000000" w14:paraId="000001A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3">
    <w:p w:rsidR="00000000" w:rsidDel="00000000" w:rsidP="00000000" w:rsidRDefault="00000000" w:rsidRPr="00000000" w14:paraId="000001A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4">
    <w:p w:rsidR="00000000" w:rsidDel="00000000" w:rsidP="00000000" w:rsidRDefault="00000000" w:rsidRPr="00000000" w14:paraId="000001A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5">
    <w:p w:rsidR="00000000" w:rsidDel="00000000" w:rsidP="00000000" w:rsidRDefault="00000000" w:rsidRPr="00000000" w14:paraId="000001A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6">
    <w:p w:rsidR="00000000" w:rsidDel="00000000" w:rsidP="00000000" w:rsidRDefault="00000000" w:rsidRPr="00000000" w14:paraId="000001A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7">
    <w:p w:rsidR="00000000" w:rsidDel="00000000" w:rsidP="00000000" w:rsidRDefault="00000000" w:rsidRPr="00000000" w14:paraId="000001A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8">
    <w:p w:rsidR="00000000" w:rsidDel="00000000" w:rsidP="00000000" w:rsidRDefault="00000000" w:rsidRPr="00000000" w14:paraId="000001A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40">
    <w:p w:rsidR="00000000" w:rsidDel="00000000" w:rsidP="00000000" w:rsidRDefault="00000000" w:rsidRPr="00000000" w14:paraId="000001A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41">
    <w:p w:rsidR="00000000" w:rsidDel="00000000" w:rsidP="00000000" w:rsidRDefault="00000000" w:rsidRPr="00000000" w14:paraId="000001AF">
      <w:pPr>
        <w:rPr>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Federal Bureau of Investigation, 2020. A crime data explorer providing statistics on crimes in the U.S: https://crime-data-explorer.app.cloud.gov/pages/explorer/crime/arrest</w:t>
      </w:r>
      <w:r w:rsidDel="00000000" w:rsidR="00000000" w:rsidRPr="00000000">
        <w:rPr>
          <w:rtl w:val="0"/>
        </w:rPr>
      </w:r>
    </w:p>
  </w:footnote>
  <w:footnote w:id="43">
    <w:p w:rsidR="00000000" w:rsidDel="00000000" w:rsidP="00000000" w:rsidRDefault="00000000" w:rsidRPr="00000000" w14:paraId="000001B0">
      <w:pPr>
        <w:jc w:val="both"/>
        <w:rPr>
          <w:sz w:val="12"/>
          <w:szCs w:val="12"/>
        </w:rPr>
      </w:pPr>
      <w:r w:rsidDel="00000000" w:rsidR="00000000" w:rsidRPr="00000000">
        <w:rPr>
          <w:rStyle w:val="FootnoteReference"/>
          <w:vertAlign w:val="superscript"/>
        </w:rPr>
        <w:footnoteRef/>
      </w:r>
      <w:r w:rsidDel="00000000" w:rsidR="00000000" w:rsidRPr="00000000">
        <w:rPr>
          <w:sz w:val="18"/>
          <w:szCs w:val="18"/>
          <w:rtl w:val="0"/>
        </w:rPr>
        <w:t xml:space="preserve"> University of Victoria, 2001. A study of 201 active and prior sex workers to differentiate between common myths and the realities of prostitution: http://dspace.library.uvic.ca/bitstream/handle/1828/7473/Benoit_Cecilia_DispellingMyths_2001.pdf?sequence=1%26isAllowed=y</w:t>
      </w:r>
      <w:r w:rsidDel="00000000" w:rsidR="00000000" w:rsidRPr="00000000">
        <w:rPr>
          <w:rtl w:val="0"/>
        </w:rPr>
      </w:r>
    </w:p>
  </w:footnote>
  <w:footnote w:id="44">
    <w:p w:rsidR="00000000" w:rsidDel="00000000" w:rsidP="00000000" w:rsidRDefault="00000000" w:rsidRPr="00000000" w14:paraId="000001B1">
      <w:pPr>
        <w:rPr>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BJOG: An International Journal of Obstetrics &amp; Gynaecology, 2007. A study on the health needs of parlor prostitutes and street prostitutes: https://citeseerx.ist.psu.edu/pdf/9d02abadc58f2f6faecd4648336773411f795ca6</w:t>
      </w:r>
      <w:r w:rsidDel="00000000" w:rsidR="00000000" w:rsidRPr="00000000">
        <w:rPr>
          <w:rtl w:val="0"/>
        </w:rPr>
      </w:r>
    </w:p>
  </w:footnote>
  <w:footnote w:id="45">
    <w:p w:rsidR="00000000" w:rsidDel="00000000" w:rsidP="00000000" w:rsidRDefault="00000000" w:rsidRPr="00000000" w14:paraId="000001B2">
      <w:pPr>
        <w:jc w:val="both"/>
        <w:rPr>
          <w:sz w:val="10"/>
          <w:szCs w:val="10"/>
        </w:rPr>
      </w:pPr>
      <w:r w:rsidDel="00000000" w:rsidR="00000000" w:rsidRPr="00000000">
        <w:rPr>
          <w:rStyle w:val="FootnoteReference"/>
          <w:vertAlign w:val="superscript"/>
        </w:rPr>
        <w:footnoteRef/>
      </w:r>
      <w:r w:rsidDel="00000000" w:rsidR="00000000" w:rsidRPr="00000000">
        <w:rPr>
          <w:sz w:val="16"/>
          <w:szCs w:val="16"/>
          <w:rtl w:val="0"/>
        </w:rPr>
        <w:t xml:space="preserve"> British Medical Journal, 2001. A survey of 240 female prostitutes in the U.K. to determine violence from clients in different work settings: https://www.ncbi.nlm.nih.gov/pmc/articles/PMC26557/</w:t>
      </w:r>
      <w:r w:rsidDel="00000000" w:rsidR="00000000" w:rsidRPr="00000000">
        <w:rPr>
          <w:rtl w:val="0"/>
        </w:rPr>
      </w:r>
    </w:p>
  </w:footnote>
  <w:footnote w:id="46">
    <w:p w:rsidR="00000000" w:rsidDel="00000000" w:rsidP="00000000" w:rsidRDefault="00000000" w:rsidRPr="00000000" w14:paraId="000001B3">
      <w:pPr>
        <w:jc w:val="both"/>
        <w:rPr>
          <w:sz w:val="10"/>
          <w:szCs w:val="10"/>
        </w:rPr>
      </w:pPr>
      <w:r w:rsidDel="00000000" w:rsidR="00000000" w:rsidRPr="00000000">
        <w:rPr>
          <w:rStyle w:val="FootnoteReference"/>
          <w:vertAlign w:val="superscript"/>
        </w:rPr>
        <w:footnoteRef/>
      </w:r>
      <w:r w:rsidDel="00000000" w:rsidR="00000000" w:rsidRPr="00000000">
        <w:rPr>
          <w:sz w:val="16"/>
          <w:szCs w:val="16"/>
          <w:rtl w:val="0"/>
        </w:rPr>
        <w:t xml:space="preserve"> British Medical Journal, 2001. A survey of 240 female prostitutes in the U.K. to determine violence from clients in different work settings: https://www.ncbi.nlm.nih.gov/pmc/articles/PMC26557/</w:t>
      </w:r>
      <w:r w:rsidDel="00000000" w:rsidR="00000000" w:rsidRPr="00000000">
        <w:rPr>
          <w:rtl w:val="0"/>
        </w:rPr>
      </w:r>
    </w:p>
  </w:footnote>
  <w:footnote w:id="17">
    <w:p w:rsidR="00000000" w:rsidDel="00000000" w:rsidP="00000000" w:rsidRDefault="00000000" w:rsidRPr="00000000" w14:paraId="000001B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u w:val="single"/>
            <w:rtl w:val="0"/>
          </w:rPr>
          <w:t xml:space="preserve">https://violenciagenero.igualdad.gob.es/planActuacion/planContraExplotacionSexual/docs/Plan_Integral_Trata_18_Septiembre2015_2018.pdf</w:t>
        </w:r>
      </w:hyperlink>
      <w:r w:rsidDel="00000000" w:rsidR="00000000" w:rsidRPr="00000000">
        <w:rPr>
          <w:rtl w:val="0"/>
        </w:rPr>
        <w:t xml:space="preserve"> </w:t>
      </w:r>
      <w:r w:rsidDel="00000000" w:rsidR="00000000" w:rsidRPr="00000000">
        <w:rPr>
          <w:rtl w:val="0"/>
        </w:rPr>
      </w:r>
    </w:p>
  </w:footnote>
  <w:footnote w:id="42">
    <w:p w:rsidR="00000000" w:rsidDel="00000000" w:rsidP="00000000" w:rsidRDefault="00000000" w:rsidRPr="00000000" w14:paraId="000001B5">
      <w:pPr>
        <w:spacing w:line="240" w:lineRule="auto"/>
        <w:rPr>
          <w:b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u w:val="single"/>
            <w:rtl w:val="0"/>
          </w:rPr>
          <w:t xml:space="preserve">https://violenciagenero.igualdad.gob.es/planActuacion/planContraExplotacionSexual/docs/Plan_Integral_Trata_18_Septiembre2015_2018.pdf</w:t>
        </w:r>
      </w:hyperlink>
      <w:r w:rsidDel="00000000" w:rsidR="00000000" w:rsidRPr="00000000">
        <w:rPr>
          <w:rtl w:val="0"/>
        </w:rPr>
        <w:t xml:space="preserve"> </w:t>
      </w:r>
      <w:r w:rsidDel="00000000" w:rsidR="00000000" w:rsidRPr="00000000">
        <w:rPr>
          <w:rtl w:val="0"/>
        </w:rPr>
      </w:r>
    </w:p>
  </w:footnote>
  <w:footnote w:id="18">
    <w:p w:rsidR="00000000" w:rsidDel="00000000" w:rsidP="00000000" w:rsidRDefault="00000000" w:rsidRPr="00000000" w14:paraId="000001B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Joint United Nations Programme on HIV/AIDS. 2021:</w:t>
      </w:r>
      <w:r w:rsidDel="00000000" w:rsidR="00000000" w:rsidRPr="00000000">
        <w:rPr>
          <w:rtl w:val="0"/>
        </w:rPr>
        <w:t xml:space="preserve">. A population atlas with information on prostitutes by country: </w:t>
      </w:r>
      <w:hyperlink r:id="rId7">
        <w:r w:rsidDel="00000000" w:rsidR="00000000" w:rsidRPr="00000000">
          <w:rPr>
            <w:color w:val="1155cc"/>
            <w:u w:val="single"/>
            <w:rtl w:val="0"/>
          </w:rPr>
          <w:t xml:space="preserve">https://kpatlas.unaids.org/dashboard</w:t>
        </w:r>
      </w:hyperlink>
      <w:r w:rsidDel="00000000" w:rsidR="00000000" w:rsidRPr="00000000">
        <w:rPr>
          <w:rtl w:val="0"/>
        </w:rPr>
        <w:t xml:space="preserve">. </w:t>
      </w:r>
      <w:r w:rsidDel="00000000" w:rsidR="00000000" w:rsidRPr="00000000">
        <w:rPr>
          <w:rtl w:val="0"/>
        </w:rPr>
      </w:r>
    </w:p>
  </w:footnote>
  <w:footnote w:id="39">
    <w:p w:rsidR="00000000" w:rsidDel="00000000" w:rsidP="00000000" w:rsidRDefault="00000000" w:rsidRPr="00000000" w14:paraId="000001B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https://elpais.com/america-colombia/2022-07-30/la-proliferacion-de-la-prostitucion-en-medellin-ha-llevado-a-que-la-llamen-burdel-a-cielo-abierto.html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spacing w:line="276" w:lineRule="auto"/>
      <w:jc w:val="right"/>
      <w:rPr/>
    </w:pPr>
    <w:r w:rsidDel="00000000" w:rsidR="00000000" w:rsidRPr="00000000">
      <w:rPr>
        <w:rtl w:val="0"/>
      </w:rPr>
    </w:r>
  </w:p>
  <w:p w:rsidR="00000000" w:rsidDel="00000000" w:rsidP="00000000" w:rsidRDefault="00000000" w:rsidRPr="00000000" w14:paraId="00000187">
    <w:pPr>
      <w:spacing w:line="276" w:lineRule="auto"/>
      <w:jc w:val="right"/>
      <w:rPr/>
    </w:pPr>
    <w:r w:rsidDel="00000000" w:rsidR="00000000" w:rsidRPr="00000000">
      <w:rPr>
        <w:rtl w:val="0"/>
      </w:rPr>
    </w:r>
  </w:p>
  <w:p w:rsidR="00000000" w:rsidDel="00000000" w:rsidP="00000000" w:rsidRDefault="00000000" w:rsidRPr="00000000" w14:paraId="00000188">
    <w:pPr>
      <w:spacing w:line="276"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kpatlas.unaids.org/dashboard" TargetMode="External"/><Relationship Id="rId2" Type="http://schemas.openxmlformats.org/officeDocument/2006/relationships/hyperlink" Target="https://kpatlas.unaids.org/dashboard" TargetMode="External"/><Relationship Id="rId3" Type="http://schemas.openxmlformats.org/officeDocument/2006/relationships/hyperlink" Target="https://kpatlas.unaids.org/dashboard" TargetMode="External"/><Relationship Id="rId4" Type="http://schemas.openxmlformats.org/officeDocument/2006/relationships/hyperlink" Target="https://dspace.library.uvic.ca/bitstream/handle/1828/7473/Benoit_Cecilia_DispellingMyths_2001.pdf?sequence=1%26isAllowed=y" TargetMode="External"/><Relationship Id="rId5" Type="http://schemas.openxmlformats.org/officeDocument/2006/relationships/hyperlink" Target="https://violenciagenero.igualdad.gob.es/planActuacion/planContraExplotacionSexual/docs/Plan_Integral_Trata_18_Septiembre2015_2018.pdf" TargetMode="External"/><Relationship Id="rId6" Type="http://schemas.openxmlformats.org/officeDocument/2006/relationships/hyperlink" Target="https://violenciagenero.igualdad.gob.es/planActuacion/planContraExplotacionSexual/docs/Plan_Integral_Trata_18_Septiembre2015_2018.pdf" TargetMode="External"/><Relationship Id="rId7" Type="http://schemas.openxmlformats.org/officeDocument/2006/relationships/hyperlink" Target="https://kpatlas.unaids.org/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Filename xmlns="d42e65b2-cf21-49c1-b27d-d23f90380c0e" xsi:nil="true"/>
    <Doctype xmlns="d42e65b2-cf21-49c1-b27d-d23f90380c0e">annex-3</Doctype>
    <Contributor xmlns="d42e65b2-cf21-49c1-b27d-d23f90380c0e">Universidad de La Sabana</Contributor>
  </documentManagement>
</p:properties>
</file>

<file path=customXml/itemProps1.xml><?xml version="1.0" encoding="utf-8"?>
<ds:datastoreItem xmlns:ds="http://schemas.openxmlformats.org/officeDocument/2006/customXml" ds:itemID="{1FF536DC-2091-42D0-B920-C04881B9FF30}"/>
</file>

<file path=customXml/itemProps2.xml><?xml version="1.0" encoding="utf-8"?>
<ds:datastoreItem xmlns:ds="http://schemas.openxmlformats.org/officeDocument/2006/customXml" ds:itemID="{15E4F064-8511-48E8-B513-0D3E4B9F34B3}"/>
</file>

<file path=customXml/itemProps3.xml><?xml version="1.0" encoding="utf-8"?>
<ds:datastoreItem xmlns:ds="http://schemas.openxmlformats.org/officeDocument/2006/customXml" ds:itemID="{A008BDA9-7250-43B0-835E-15C3BD3DC1C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