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4563" w14:textId="77777777" w:rsidR="00D974BF" w:rsidRPr="001C6C9F" w:rsidRDefault="00D974BF" w:rsidP="00D974BF">
      <w:pPr>
        <w:rPr>
          <w:rFonts w:ascii="Cambria" w:hAnsi="Cambria" w:cstheme="minorHAnsi"/>
          <w:b/>
          <w:color w:val="0070C0"/>
        </w:rPr>
      </w:pPr>
    </w:p>
    <w:p w14:paraId="46B8BB42" w14:textId="77777777" w:rsidR="00B53022" w:rsidRPr="001C6C9F" w:rsidRDefault="00B53022" w:rsidP="00B53022">
      <w:pPr>
        <w:jc w:val="center"/>
        <w:rPr>
          <w:rFonts w:ascii="Cambria" w:hAnsi="Cambria" w:cstheme="minorHAnsi"/>
          <w:b/>
          <w:color w:val="0070C0"/>
        </w:rPr>
      </w:pPr>
    </w:p>
    <w:p w14:paraId="37F4BA14" w14:textId="77777777" w:rsidR="00935791" w:rsidRDefault="00B53022" w:rsidP="00B53022">
      <w:pPr>
        <w:jc w:val="center"/>
        <w:rPr>
          <w:rFonts w:ascii="Cambria" w:hAnsi="Cambria" w:cstheme="minorHAnsi"/>
          <w:b/>
          <w:color w:val="0070C0"/>
          <w:sz w:val="36"/>
          <w:szCs w:val="36"/>
        </w:rPr>
      </w:pPr>
      <w:r w:rsidRPr="00935791">
        <w:rPr>
          <w:rFonts w:ascii="Cambria" w:hAnsi="Cambria" w:cstheme="minorHAnsi"/>
          <w:b/>
          <w:color w:val="0070C0"/>
          <w:sz w:val="36"/>
          <w:szCs w:val="36"/>
        </w:rPr>
        <w:t>Report</w:t>
      </w:r>
      <w:r w:rsidR="00641444" w:rsidRPr="00935791">
        <w:rPr>
          <w:rFonts w:ascii="Cambria" w:hAnsi="Cambria" w:cstheme="minorHAnsi"/>
          <w:b/>
          <w:color w:val="0070C0"/>
          <w:sz w:val="36"/>
          <w:szCs w:val="36"/>
        </w:rPr>
        <w:t>s</w:t>
      </w:r>
      <w:r w:rsidRPr="00935791">
        <w:rPr>
          <w:rFonts w:ascii="Cambria" w:hAnsi="Cambria" w:cstheme="minorHAnsi"/>
          <w:b/>
          <w:color w:val="0070C0"/>
          <w:sz w:val="36"/>
          <w:szCs w:val="36"/>
        </w:rPr>
        <w:t xml:space="preserve"> on the </w:t>
      </w:r>
      <w:r w:rsidR="00641444" w:rsidRPr="00935791">
        <w:rPr>
          <w:rFonts w:ascii="Cambria" w:hAnsi="Cambria" w:cstheme="minorHAnsi"/>
          <w:b/>
          <w:color w:val="0070C0"/>
          <w:sz w:val="36"/>
          <w:szCs w:val="36"/>
        </w:rPr>
        <w:t xml:space="preserve">issue of child, early and </w:t>
      </w:r>
    </w:p>
    <w:p w14:paraId="429368B5" w14:textId="77777777" w:rsidR="00B53022" w:rsidRPr="00935791" w:rsidRDefault="00641444" w:rsidP="00B53022">
      <w:pPr>
        <w:jc w:val="center"/>
        <w:rPr>
          <w:rFonts w:ascii="Cambria" w:hAnsi="Cambria" w:cstheme="minorHAnsi"/>
          <w:b/>
          <w:color w:val="0070C0"/>
          <w:sz w:val="36"/>
          <w:szCs w:val="36"/>
        </w:rPr>
      </w:pPr>
      <w:r w:rsidRPr="00935791">
        <w:rPr>
          <w:rFonts w:ascii="Cambria" w:hAnsi="Cambria" w:cstheme="minorHAnsi"/>
          <w:b/>
          <w:color w:val="0070C0"/>
          <w:sz w:val="36"/>
          <w:szCs w:val="36"/>
        </w:rPr>
        <w:t>forced marriage</w:t>
      </w:r>
    </w:p>
    <w:p w14:paraId="2C24C09F" w14:textId="77777777" w:rsidR="00B53022" w:rsidRPr="001C6C9F" w:rsidRDefault="00B53022" w:rsidP="00B53022">
      <w:pPr>
        <w:jc w:val="center"/>
        <w:rPr>
          <w:rFonts w:ascii="Cambria" w:hAnsi="Cambria" w:cstheme="minorHAnsi"/>
          <w:b/>
          <w:color w:val="0070C0"/>
        </w:rPr>
      </w:pPr>
    </w:p>
    <w:p w14:paraId="18FE5793" w14:textId="77777777" w:rsidR="00B53022" w:rsidRPr="001C6C9F" w:rsidRDefault="00B53022" w:rsidP="00D974BF">
      <w:pPr>
        <w:rPr>
          <w:rFonts w:ascii="Cambria" w:hAnsi="Cambria" w:cstheme="minorHAnsi"/>
          <w:b/>
          <w:color w:val="0070C0"/>
        </w:rPr>
      </w:pPr>
    </w:p>
    <w:p w14:paraId="707264A3" w14:textId="77777777" w:rsidR="00D974BF" w:rsidRPr="001C6C9F" w:rsidRDefault="00D974BF" w:rsidP="00D974BF">
      <w:pPr>
        <w:rPr>
          <w:rFonts w:ascii="Cambria" w:hAnsi="Cambria" w:cstheme="minorHAnsi"/>
          <w:b/>
          <w:color w:val="0070C0"/>
        </w:rPr>
      </w:pPr>
    </w:p>
    <w:p w14:paraId="6F8BB0EE" w14:textId="77777777" w:rsidR="0006522F" w:rsidRDefault="00312F46" w:rsidP="00312F46">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What measures have been taken to implement the recommendations of the last report of the Secretary-General on the issue of child, early and forced marriage (A/75/262)?</w:t>
      </w:r>
    </w:p>
    <w:p w14:paraId="5D0F9411" w14:textId="77777777" w:rsidR="00461978" w:rsidRDefault="00461978" w:rsidP="00461978">
      <w:pPr>
        <w:spacing w:line="276" w:lineRule="auto"/>
        <w:jc w:val="both"/>
        <w:rPr>
          <w:rFonts w:ascii="Cambria" w:hAnsi="Cambria" w:cstheme="minorHAnsi"/>
          <w:b/>
          <w:color w:val="0070C0"/>
        </w:rPr>
      </w:pPr>
    </w:p>
    <w:p w14:paraId="39B048E3" w14:textId="22402991" w:rsidR="00461978" w:rsidRPr="007D0B6E" w:rsidRDefault="00461978" w:rsidP="007D0B6E">
      <w:pPr>
        <w:autoSpaceDE w:val="0"/>
        <w:autoSpaceDN w:val="0"/>
        <w:adjustRightInd w:val="0"/>
        <w:spacing w:line="360" w:lineRule="auto"/>
        <w:jc w:val="both"/>
        <w:rPr>
          <w:rFonts w:ascii="Cambria" w:hAnsi="Cambria" w:cstheme="minorHAnsi"/>
          <w:lang w:val="en-US"/>
        </w:rPr>
      </w:pPr>
      <w:r w:rsidRPr="007D0B6E">
        <w:rPr>
          <w:rFonts w:ascii="Cambria" w:hAnsi="Cambria" w:cstheme="minorHAnsi"/>
          <w:lang w:val="en-US"/>
        </w:rPr>
        <w:t xml:space="preserve">Regarding the issue of child, early and forced marriage, it is the mission of the </w:t>
      </w:r>
      <w:r w:rsidRPr="007D0B6E">
        <w:rPr>
          <w:rFonts w:ascii="Cambria" w:hAnsi="Cambria" w:cstheme="minorHAnsi"/>
          <w:i/>
          <w:iCs/>
          <w:lang w:val="en-US"/>
        </w:rPr>
        <w:t>Guarda Nacional Republicana</w:t>
      </w:r>
      <w:r w:rsidRPr="007D0B6E">
        <w:rPr>
          <w:rFonts w:ascii="Cambria" w:hAnsi="Cambria" w:cstheme="minorHAnsi"/>
          <w:lang w:val="en-US"/>
        </w:rPr>
        <w:t xml:space="preserve"> (GNR),</w:t>
      </w:r>
      <w:r w:rsidR="00101BC0">
        <w:rPr>
          <w:rStyle w:val="FootnoteReference"/>
          <w:rFonts w:ascii="Cambria" w:hAnsi="Cambria" w:cstheme="minorHAnsi"/>
          <w:lang w:val="en-US"/>
        </w:rPr>
        <w:footnoteReference w:id="1"/>
      </w:r>
      <w:r w:rsidRPr="007D0B6E">
        <w:rPr>
          <w:rFonts w:ascii="Cambria" w:hAnsi="Cambria" w:cstheme="minorHAnsi"/>
          <w:lang w:val="en-US"/>
        </w:rPr>
        <w:t xml:space="preserve"> in partnership with the National Commission for the Promotion of the Rights and Protection of Children and Youth (entity that trains </w:t>
      </w:r>
      <w:r w:rsidR="00101BC0">
        <w:rPr>
          <w:rFonts w:ascii="Cambria" w:hAnsi="Cambria" w:cstheme="minorHAnsi"/>
          <w:lang w:val="en-US"/>
        </w:rPr>
        <w:t>GNR</w:t>
      </w:r>
      <w:r w:rsidRPr="007D0B6E">
        <w:rPr>
          <w:rFonts w:ascii="Cambria" w:hAnsi="Cambria" w:cstheme="minorHAnsi"/>
          <w:lang w:val="en-US"/>
        </w:rPr>
        <w:t xml:space="preserve"> in this area), to preventively raise </w:t>
      </w:r>
      <w:r w:rsidR="007D0B6E">
        <w:rPr>
          <w:rFonts w:ascii="Cambria" w:hAnsi="Cambria" w:cstheme="minorHAnsi"/>
          <w:lang w:val="en-US"/>
        </w:rPr>
        <w:t xml:space="preserve">awareness of </w:t>
      </w:r>
      <w:r w:rsidRPr="007D0B6E">
        <w:rPr>
          <w:rFonts w:ascii="Cambria" w:hAnsi="Cambria" w:cstheme="minorHAnsi"/>
          <w:lang w:val="en-US"/>
        </w:rPr>
        <w:t xml:space="preserve">children </w:t>
      </w:r>
      <w:r w:rsidR="00E022C9" w:rsidRPr="007D0B6E">
        <w:rPr>
          <w:rFonts w:ascii="Cambria" w:hAnsi="Cambria" w:cstheme="minorHAnsi"/>
          <w:lang w:val="en-US"/>
        </w:rPr>
        <w:t>cognizance</w:t>
      </w:r>
      <w:r w:rsidRPr="007D0B6E">
        <w:rPr>
          <w:rFonts w:ascii="Cambria" w:hAnsi="Cambria" w:cstheme="minorHAnsi"/>
          <w:lang w:val="en-US"/>
        </w:rPr>
        <w:t xml:space="preserve"> </w:t>
      </w:r>
      <w:r w:rsidR="00E022C9">
        <w:rPr>
          <w:rFonts w:ascii="Cambria" w:hAnsi="Cambria" w:cstheme="minorHAnsi"/>
          <w:lang w:val="en-US"/>
        </w:rPr>
        <w:t>of</w:t>
      </w:r>
      <w:r w:rsidRPr="007D0B6E">
        <w:rPr>
          <w:rFonts w:ascii="Cambria" w:hAnsi="Cambria" w:cstheme="minorHAnsi"/>
          <w:lang w:val="en-US"/>
        </w:rPr>
        <w:t xml:space="preserve"> their rights under the Convention on the Rights of the Child, and these awareness </w:t>
      </w:r>
      <w:r w:rsidR="00E022C9">
        <w:rPr>
          <w:rFonts w:ascii="Cambria" w:hAnsi="Cambria" w:cstheme="minorHAnsi"/>
          <w:lang w:val="en-US"/>
        </w:rPr>
        <w:t xml:space="preserve">raising </w:t>
      </w:r>
      <w:r w:rsidRPr="007D0B6E">
        <w:rPr>
          <w:rFonts w:ascii="Cambria" w:hAnsi="Cambria" w:cstheme="minorHAnsi"/>
          <w:lang w:val="en-US"/>
        </w:rPr>
        <w:t xml:space="preserve">actions are reinforced on the </w:t>
      </w:r>
      <w:r w:rsidR="007D0B6E" w:rsidRPr="007D0B6E">
        <w:rPr>
          <w:rFonts w:ascii="Cambria" w:hAnsi="Cambria" w:cstheme="minorHAnsi"/>
          <w:lang w:val="en-US"/>
        </w:rPr>
        <w:t>World Children's Day</w:t>
      </w:r>
      <w:r w:rsidR="007D0B6E">
        <w:rPr>
          <w:rFonts w:ascii="Cambria" w:hAnsi="Cambria" w:cstheme="minorHAnsi"/>
          <w:lang w:val="en-US"/>
        </w:rPr>
        <w:t xml:space="preserve"> (</w:t>
      </w:r>
      <w:r w:rsidR="007D0B6E" w:rsidRPr="007D0B6E">
        <w:rPr>
          <w:rFonts w:ascii="Cambria" w:hAnsi="Cambria" w:cstheme="minorHAnsi"/>
          <w:lang w:val="en-US"/>
        </w:rPr>
        <w:t>20 November</w:t>
      </w:r>
      <w:r w:rsidR="007D0B6E">
        <w:rPr>
          <w:rFonts w:ascii="Cambria" w:hAnsi="Cambria" w:cstheme="minorHAnsi"/>
          <w:lang w:val="en-US"/>
        </w:rPr>
        <w:t>)</w:t>
      </w:r>
      <w:r w:rsidRPr="007D0B6E">
        <w:rPr>
          <w:rFonts w:ascii="Cambria" w:hAnsi="Cambria" w:cstheme="minorHAnsi"/>
          <w:lang w:val="en-US"/>
        </w:rPr>
        <w:t>.</w:t>
      </w:r>
    </w:p>
    <w:p w14:paraId="1678E8F8" w14:textId="77777777" w:rsidR="00312F46" w:rsidRPr="001C6C9F" w:rsidRDefault="00312F46" w:rsidP="00312F46">
      <w:pPr>
        <w:spacing w:line="276" w:lineRule="auto"/>
        <w:jc w:val="both"/>
        <w:rPr>
          <w:rFonts w:ascii="Cambria" w:hAnsi="Cambria" w:cstheme="minorHAnsi"/>
          <w:b/>
          <w:color w:val="0070C0"/>
        </w:rPr>
      </w:pPr>
    </w:p>
    <w:p w14:paraId="378E4138" w14:textId="77777777" w:rsidR="00312F46" w:rsidRPr="001C6C9F" w:rsidRDefault="00312F46" w:rsidP="002902D9">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What legislate actions have you taken to address the root causes of child, early and forced marriage? Any exa</w:t>
      </w:r>
      <w:r w:rsidR="002902D9" w:rsidRPr="001C6C9F">
        <w:rPr>
          <w:rFonts w:ascii="Cambria" w:hAnsi="Cambria" w:cstheme="minorHAnsi"/>
          <w:b/>
          <w:color w:val="0070C0"/>
        </w:rPr>
        <w:t>m</w:t>
      </w:r>
      <w:r w:rsidRPr="001C6C9F">
        <w:rPr>
          <w:rFonts w:ascii="Cambria" w:hAnsi="Cambria" w:cstheme="minorHAnsi"/>
          <w:b/>
          <w:color w:val="0070C0"/>
        </w:rPr>
        <w:t xml:space="preserve">ples of </w:t>
      </w:r>
      <w:r w:rsidR="002902D9" w:rsidRPr="001C6C9F">
        <w:rPr>
          <w:rFonts w:ascii="Cambria" w:hAnsi="Cambria" w:cstheme="minorHAnsi"/>
          <w:b/>
          <w:color w:val="0070C0"/>
        </w:rPr>
        <w:t>legislation</w:t>
      </w:r>
      <w:r w:rsidRPr="001C6C9F">
        <w:rPr>
          <w:rFonts w:ascii="Cambria" w:hAnsi="Cambria" w:cstheme="minorHAnsi"/>
          <w:b/>
          <w:color w:val="0070C0"/>
        </w:rPr>
        <w:t xml:space="preserve"> </w:t>
      </w:r>
      <w:r w:rsidR="002902D9" w:rsidRPr="001C6C9F">
        <w:rPr>
          <w:rFonts w:ascii="Cambria" w:hAnsi="Cambria" w:cstheme="minorHAnsi"/>
          <w:b/>
          <w:color w:val="0070C0"/>
        </w:rPr>
        <w:t>enacted</w:t>
      </w:r>
      <w:r w:rsidRPr="001C6C9F">
        <w:rPr>
          <w:rFonts w:ascii="Cambria" w:hAnsi="Cambria" w:cstheme="minorHAnsi"/>
          <w:b/>
          <w:color w:val="0070C0"/>
        </w:rPr>
        <w:t xml:space="preserve">, beyond the </w:t>
      </w:r>
      <w:r w:rsidR="002902D9" w:rsidRPr="001C6C9F">
        <w:rPr>
          <w:rFonts w:ascii="Cambria" w:hAnsi="Cambria" w:cstheme="minorHAnsi"/>
          <w:b/>
          <w:color w:val="0070C0"/>
        </w:rPr>
        <w:t>minimum</w:t>
      </w:r>
      <w:r w:rsidRPr="001C6C9F">
        <w:rPr>
          <w:rFonts w:ascii="Cambria" w:hAnsi="Cambria" w:cstheme="minorHAnsi"/>
          <w:b/>
          <w:color w:val="0070C0"/>
        </w:rPr>
        <w:t xml:space="preserve"> age of marriage, such as laws repealing or amending provision</w:t>
      </w:r>
      <w:r w:rsidR="002902D9" w:rsidRPr="001C6C9F">
        <w:rPr>
          <w:rFonts w:ascii="Cambria" w:hAnsi="Cambria" w:cstheme="minorHAnsi"/>
          <w:b/>
          <w:color w:val="0070C0"/>
        </w:rPr>
        <w:t>s</w:t>
      </w:r>
      <w:r w:rsidRPr="001C6C9F">
        <w:rPr>
          <w:rFonts w:ascii="Cambria" w:hAnsi="Cambria" w:cstheme="minorHAnsi"/>
          <w:b/>
          <w:color w:val="0070C0"/>
        </w:rPr>
        <w:t xml:space="preserve"> that enable perpetrators of rape, sexual abuse or abduction to </w:t>
      </w:r>
      <w:r w:rsidR="002902D9" w:rsidRPr="001C6C9F">
        <w:rPr>
          <w:rFonts w:ascii="Cambria" w:hAnsi="Cambria" w:cstheme="minorHAnsi"/>
          <w:b/>
          <w:color w:val="0070C0"/>
        </w:rPr>
        <w:t>b</w:t>
      </w:r>
      <w:r w:rsidRPr="001C6C9F">
        <w:rPr>
          <w:rFonts w:ascii="Cambria" w:hAnsi="Cambria" w:cstheme="minorHAnsi"/>
          <w:b/>
          <w:color w:val="0070C0"/>
        </w:rPr>
        <w:t>e exempted from prosecuti</w:t>
      </w:r>
      <w:r w:rsidR="002902D9" w:rsidRPr="001C6C9F">
        <w:rPr>
          <w:rFonts w:ascii="Cambria" w:hAnsi="Cambria" w:cstheme="minorHAnsi"/>
          <w:b/>
          <w:color w:val="0070C0"/>
        </w:rPr>
        <w:t>on</w:t>
      </w:r>
      <w:r w:rsidRPr="001C6C9F">
        <w:rPr>
          <w:rFonts w:ascii="Cambria" w:hAnsi="Cambria" w:cstheme="minorHAnsi"/>
          <w:b/>
          <w:color w:val="0070C0"/>
        </w:rPr>
        <w:t xml:space="preserve"> and </w:t>
      </w:r>
      <w:r w:rsidR="002902D9" w:rsidRPr="001C6C9F">
        <w:rPr>
          <w:rFonts w:ascii="Cambria" w:hAnsi="Cambria" w:cstheme="minorHAnsi"/>
          <w:b/>
          <w:color w:val="0070C0"/>
        </w:rPr>
        <w:t>punishment</w:t>
      </w:r>
      <w:r w:rsidRPr="001C6C9F">
        <w:rPr>
          <w:rFonts w:ascii="Cambria" w:hAnsi="Cambria" w:cstheme="minorHAnsi"/>
          <w:b/>
          <w:color w:val="0070C0"/>
        </w:rPr>
        <w:t xml:space="preserve"> by marrying </w:t>
      </w:r>
      <w:r w:rsidR="002902D9" w:rsidRPr="001C6C9F">
        <w:rPr>
          <w:rFonts w:ascii="Cambria" w:hAnsi="Cambria" w:cstheme="minorHAnsi"/>
          <w:b/>
          <w:color w:val="0070C0"/>
        </w:rPr>
        <w:t>their</w:t>
      </w:r>
      <w:r w:rsidRPr="001C6C9F">
        <w:rPr>
          <w:rFonts w:ascii="Cambria" w:hAnsi="Cambria" w:cstheme="minorHAnsi"/>
          <w:b/>
          <w:color w:val="0070C0"/>
        </w:rPr>
        <w:t xml:space="preserve"> victims? </w:t>
      </w:r>
    </w:p>
    <w:p w14:paraId="68A49709" w14:textId="30CB2FDF" w:rsidR="007D0B6E" w:rsidRDefault="007D0B6E" w:rsidP="00312F46">
      <w:pPr>
        <w:spacing w:line="276" w:lineRule="auto"/>
        <w:jc w:val="both"/>
        <w:rPr>
          <w:rFonts w:ascii="Cambria" w:hAnsi="Cambria" w:cstheme="minorHAnsi"/>
          <w:b/>
          <w:color w:val="0070C0"/>
        </w:rPr>
      </w:pPr>
    </w:p>
    <w:p w14:paraId="7DF85021" w14:textId="1DA5DDD9" w:rsidR="00101BC0" w:rsidRPr="00101BC0" w:rsidRDefault="00101BC0" w:rsidP="00312F46">
      <w:pPr>
        <w:spacing w:line="276" w:lineRule="auto"/>
        <w:jc w:val="both"/>
        <w:rPr>
          <w:rFonts w:ascii="Cambria" w:hAnsi="Cambria" w:cstheme="minorHAnsi"/>
          <w:bCs/>
        </w:rPr>
      </w:pPr>
      <w:r w:rsidRPr="00101BC0">
        <w:rPr>
          <w:rFonts w:ascii="Cambria" w:hAnsi="Cambria" w:cstheme="minorHAnsi"/>
          <w:bCs/>
        </w:rPr>
        <w:t>N/A</w:t>
      </w:r>
    </w:p>
    <w:p w14:paraId="2770E342" w14:textId="77777777" w:rsidR="00101BC0" w:rsidRPr="001C6C9F" w:rsidRDefault="00101BC0" w:rsidP="00312F46">
      <w:pPr>
        <w:spacing w:line="276" w:lineRule="auto"/>
        <w:jc w:val="both"/>
        <w:rPr>
          <w:rFonts w:ascii="Cambria" w:hAnsi="Cambria" w:cstheme="minorHAnsi"/>
          <w:b/>
          <w:color w:val="0070C0"/>
        </w:rPr>
      </w:pPr>
    </w:p>
    <w:p w14:paraId="09A3A247" w14:textId="77777777" w:rsidR="00312F46" w:rsidRPr="001C6C9F" w:rsidRDefault="00312F46" w:rsidP="002902D9">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 xml:space="preserve">What measures have you adopted </w:t>
      </w:r>
      <w:r w:rsidR="002902D9" w:rsidRPr="001C6C9F">
        <w:rPr>
          <w:rFonts w:ascii="Cambria" w:hAnsi="Cambria" w:cstheme="minorHAnsi"/>
          <w:b/>
          <w:color w:val="0070C0"/>
        </w:rPr>
        <w:t>to</w:t>
      </w:r>
      <w:r w:rsidRPr="001C6C9F">
        <w:rPr>
          <w:rFonts w:ascii="Cambria" w:hAnsi="Cambria" w:cstheme="minorHAnsi"/>
          <w:b/>
          <w:color w:val="0070C0"/>
        </w:rPr>
        <w:t xml:space="preserve"> support girls that are already married or </w:t>
      </w:r>
      <w:r w:rsidR="002902D9" w:rsidRPr="001C6C9F">
        <w:rPr>
          <w:rFonts w:ascii="Cambria" w:hAnsi="Cambria" w:cstheme="minorHAnsi"/>
          <w:b/>
          <w:color w:val="0070C0"/>
        </w:rPr>
        <w:t xml:space="preserve">in </w:t>
      </w:r>
      <w:r w:rsidRPr="001C6C9F">
        <w:rPr>
          <w:rFonts w:ascii="Cambria" w:hAnsi="Cambria" w:cstheme="minorHAnsi"/>
          <w:b/>
          <w:color w:val="0070C0"/>
        </w:rPr>
        <w:t xml:space="preserve">informal unions? </w:t>
      </w:r>
    </w:p>
    <w:p w14:paraId="6595280D" w14:textId="77777777" w:rsidR="00312F46" w:rsidRPr="001C6C9F" w:rsidRDefault="002902D9" w:rsidP="002902D9">
      <w:pPr>
        <w:spacing w:line="276" w:lineRule="auto"/>
        <w:ind w:left="993"/>
        <w:jc w:val="both"/>
        <w:rPr>
          <w:rFonts w:ascii="Cambria" w:hAnsi="Cambria" w:cstheme="minorHAnsi"/>
          <w:b/>
          <w:color w:val="0070C0"/>
        </w:rPr>
      </w:pPr>
      <w:r w:rsidRPr="001C6C9F">
        <w:rPr>
          <w:rFonts w:ascii="Cambria" w:hAnsi="Cambria" w:cstheme="minorHAnsi"/>
          <w:b/>
          <w:color w:val="0070C0"/>
        </w:rPr>
        <w:t xml:space="preserve">  </w:t>
      </w:r>
      <w:r w:rsidR="00312F46" w:rsidRPr="001C6C9F">
        <w:rPr>
          <w:rFonts w:ascii="Cambria" w:hAnsi="Cambria" w:cstheme="minorHAnsi"/>
          <w:b/>
          <w:color w:val="0070C0"/>
        </w:rPr>
        <w:t xml:space="preserve">Do those measures contribute to: </w:t>
      </w:r>
    </w:p>
    <w:p w14:paraId="262E65A6" w14:textId="77777777" w:rsidR="00312F46" w:rsidRPr="001C6C9F" w:rsidRDefault="00312F46" w:rsidP="0013722D">
      <w:pPr>
        <w:pStyle w:val="ListParagraph"/>
        <w:numPr>
          <w:ilvl w:val="0"/>
          <w:numId w:val="12"/>
        </w:numPr>
        <w:spacing w:line="276" w:lineRule="auto"/>
        <w:jc w:val="both"/>
        <w:rPr>
          <w:rFonts w:ascii="Cambria" w:hAnsi="Cambria" w:cstheme="minorHAnsi"/>
          <w:b/>
          <w:color w:val="0070C0"/>
        </w:rPr>
      </w:pPr>
      <w:r w:rsidRPr="001C6C9F">
        <w:rPr>
          <w:rFonts w:ascii="Cambria" w:hAnsi="Cambria" w:cstheme="minorHAnsi"/>
          <w:b/>
          <w:color w:val="0070C0"/>
        </w:rPr>
        <w:t xml:space="preserve">Ensure </w:t>
      </w:r>
      <w:r w:rsidR="002902D9" w:rsidRPr="001C6C9F">
        <w:rPr>
          <w:rFonts w:ascii="Cambria" w:hAnsi="Cambria" w:cstheme="minorHAnsi"/>
          <w:b/>
          <w:color w:val="0070C0"/>
        </w:rPr>
        <w:t>their</w:t>
      </w:r>
      <w:r w:rsidRPr="001C6C9F">
        <w:rPr>
          <w:rFonts w:ascii="Cambria" w:hAnsi="Cambria" w:cstheme="minorHAnsi"/>
          <w:b/>
          <w:color w:val="0070C0"/>
        </w:rPr>
        <w:t xml:space="preserve"> free, active and meaningful participation in decision-making on all issues affecting them, particu</w:t>
      </w:r>
      <w:r w:rsidR="002902D9" w:rsidRPr="001C6C9F">
        <w:rPr>
          <w:rFonts w:ascii="Cambria" w:hAnsi="Cambria" w:cstheme="minorHAnsi"/>
          <w:b/>
          <w:color w:val="0070C0"/>
        </w:rPr>
        <w:t>larly</w:t>
      </w:r>
      <w:r w:rsidRPr="001C6C9F">
        <w:rPr>
          <w:rFonts w:ascii="Cambria" w:hAnsi="Cambria" w:cstheme="minorHAnsi"/>
          <w:b/>
          <w:color w:val="0070C0"/>
        </w:rPr>
        <w:t xml:space="preserve"> when developing and </w:t>
      </w:r>
      <w:r w:rsidR="002902D9" w:rsidRPr="001C6C9F">
        <w:rPr>
          <w:rFonts w:ascii="Cambria" w:hAnsi="Cambria" w:cstheme="minorHAnsi"/>
          <w:b/>
          <w:color w:val="0070C0"/>
        </w:rPr>
        <w:t>implementing</w:t>
      </w:r>
      <w:r w:rsidRPr="001C6C9F">
        <w:rPr>
          <w:rFonts w:ascii="Cambria" w:hAnsi="Cambria" w:cstheme="minorHAnsi"/>
          <w:b/>
          <w:color w:val="0070C0"/>
        </w:rPr>
        <w:t xml:space="preserve"> coordinated resp</w:t>
      </w:r>
      <w:r w:rsidR="002902D9" w:rsidRPr="001C6C9F">
        <w:rPr>
          <w:rFonts w:ascii="Cambria" w:hAnsi="Cambria" w:cstheme="minorHAnsi"/>
          <w:b/>
          <w:color w:val="0070C0"/>
        </w:rPr>
        <w:t>onses</w:t>
      </w:r>
      <w:r w:rsidRPr="001C6C9F">
        <w:rPr>
          <w:rFonts w:ascii="Cambria" w:hAnsi="Cambria" w:cstheme="minorHAnsi"/>
          <w:b/>
          <w:color w:val="0070C0"/>
        </w:rPr>
        <w:t xml:space="preserve"> a</w:t>
      </w:r>
      <w:r w:rsidR="002902D9" w:rsidRPr="001C6C9F">
        <w:rPr>
          <w:rFonts w:ascii="Cambria" w:hAnsi="Cambria" w:cstheme="minorHAnsi"/>
          <w:b/>
          <w:color w:val="0070C0"/>
        </w:rPr>
        <w:t>n</w:t>
      </w:r>
      <w:r w:rsidRPr="001C6C9F">
        <w:rPr>
          <w:rFonts w:ascii="Cambria" w:hAnsi="Cambria" w:cstheme="minorHAnsi"/>
          <w:b/>
          <w:color w:val="0070C0"/>
        </w:rPr>
        <w:t xml:space="preserve">d strategies to </w:t>
      </w:r>
      <w:r w:rsidR="002902D9" w:rsidRPr="001C6C9F">
        <w:rPr>
          <w:rFonts w:ascii="Cambria" w:hAnsi="Cambria" w:cstheme="minorHAnsi"/>
          <w:b/>
          <w:color w:val="0070C0"/>
        </w:rPr>
        <w:t>prevent</w:t>
      </w:r>
      <w:r w:rsidRPr="001C6C9F">
        <w:rPr>
          <w:rFonts w:ascii="Cambria" w:hAnsi="Cambria" w:cstheme="minorHAnsi"/>
          <w:b/>
          <w:color w:val="0070C0"/>
        </w:rPr>
        <w:t xml:space="preserve"> and </w:t>
      </w:r>
      <w:r w:rsidR="002902D9" w:rsidRPr="001C6C9F">
        <w:rPr>
          <w:rFonts w:ascii="Cambria" w:hAnsi="Cambria" w:cstheme="minorHAnsi"/>
          <w:b/>
          <w:color w:val="0070C0"/>
        </w:rPr>
        <w:t>eliminate</w:t>
      </w:r>
      <w:r w:rsidRPr="001C6C9F">
        <w:rPr>
          <w:rFonts w:ascii="Cambria" w:hAnsi="Cambria" w:cstheme="minorHAnsi"/>
          <w:b/>
          <w:color w:val="0070C0"/>
        </w:rPr>
        <w:t xml:space="preserve"> </w:t>
      </w:r>
      <w:r w:rsidR="002902D9" w:rsidRPr="001C6C9F">
        <w:rPr>
          <w:rFonts w:ascii="Cambria" w:hAnsi="Cambria" w:cstheme="minorHAnsi"/>
          <w:b/>
          <w:color w:val="0070C0"/>
        </w:rPr>
        <w:t>child,</w:t>
      </w:r>
      <w:r w:rsidRPr="001C6C9F">
        <w:rPr>
          <w:rFonts w:ascii="Cambria" w:hAnsi="Cambria" w:cstheme="minorHAnsi"/>
          <w:b/>
          <w:color w:val="0070C0"/>
        </w:rPr>
        <w:t xml:space="preserve"> ear</w:t>
      </w:r>
      <w:r w:rsidR="002902D9" w:rsidRPr="001C6C9F">
        <w:rPr>
          <w:rFonts w:ascii="Cambria" w:hAnsi="Cambria" w:cstheme="minorHAnsi"/>
          <w:b/>
          <w:color w:val="0070C0"/>
        </w:rPr>
        <w:t>l</w:t>
      </w:r>
      <w:r w:rsidRPr="001C6C9F">
        <w:rPr>
          <w:rFonts w:ascii="Cambria" w:hAnsi="Cambria" w:cstheme="minorHAnsi"/>
          <w:b/>
          <w:color w:val="0070C0"/>
        </w:rPr>
        <w:t>y and for</w:t>
      </w:r>
      <w:r w:rsidR="002902D9" w:rsidRPr="001C6C9F">
        <w:rPr>
          <w:rFonts w:ascii="Cambria" w:hAnsi="Cambria" w:cstheme="minorHAnsi"/>
          <w:b/>
          <w:color w:val="0070C0"/>
        </w:rPr>
        <w:t>c</w:t>
      </w:r>
      <w:r w:rsidRPr="001C6C9F">
        <w:rPr>
          <w:rFonts w:ascii="Cambria" w:hAnsi="Cambria" w:cstheme="minorHAnsi"/>
          <w:b/>
          <w:color w:val="0070C0"/>
        </w:rPr>
        <w:t>ed marriage?</w:t>
      </w:r>
    </w:p>
    <w:p w14:paraId="5CFE4C7F" w14:textId="77777777" w:rsidR="001C6C9F" w:rsidRPr="001C6C9F" w:rsidRDefault="001C6C9F" w:rsidP="001C6C9F">
      <w:pPr>
        <w:spacing w:line="276" w:lineRule="auto"/>
        <w:ind w:left="1353"/>
        <w:jc w:val="both"/>
        <w:rPr>
          <w:rFonts w:ascii="Cambria" w:hAnsi="Cambria" w:cstheme="minorHAnsi"/>
          <w:b/>
          <w:color w:val="0070C0"/>
        </w:rPr>
      </w:pPr>
    </w:p>
    <w:p w14:paraId="22C99102" w14:textId="77777777" w:rsidR="00312F46" w:rsidRPr="001C6C9F" w:rsidRDefault="00312F46" w:rsidP="0013722D">
      <w:pPr>
        <w:pStyle w:val="ListParagraph"/>
        <w:numPr>
          <w:ilvl w:val="0"/>
          <w:numId w:val="12"/>
        </w:numPr>
        <w:spacing w:line="276" w:lineRule="auto"/>
        <w:jc w:val="both"/>
        <w:rPr>
          <w:rFonts w:ascii="Cambria" w:hAnsi="Cambria" w:cstheme="minorHAnsi"/>
          <w:b/>
          <w:color w:val="0070C0"/>
        </w:rPr>
      </w:pPr>
      <w:r w:rsidRPr="001C6C9F">
        <w:rPr>
          <w:rFonts w:ascii="Cambria" w:hAnsi="Cambria" w:cstheme="minorHAnsi"/>
          <w:b/>
          <w:color w:val="0070C0"/>
        </w:rPr>
        <w:lastRenderedPageBreak/>
        <w:t xml:space="preserve">Protect their economic security and </w:t>
      </w:r>
      <w:r w:rsidR="002902D9" w:rsidRPr="001C6C9F">
        <w:rPr>
          <w:rFonts w:ascii="Cambria" w:hAnsi="Cambria" w:cstheme="minorHAnsi"/>
          <w:b/>
          <w:color w:val="0070C0"/>
        </w:rPr>
        <w:t>that</w:t>
      </w:r>
      <w:r w:rsidRPr="001C6C9F">
        <w:rPr>
          <w:rFonts w:ascii="Cambria" w:hAnsi="Cambria" w:cstheme="minorHAnsi"/>
          <w:b/>
          <w:color w:val="0070C0"/>
        </w:rPr>
        <w:t xml:space="preserve"> of their families, </w:t>
      </w:r>
      <w:r w:rsidR="002902D9" w:rsidRPr="001C6C9F">
        <w:rPr>
          <w:rFonts w:ascii="Cambria" w:hAnsi="Cambria" w:cstheme="minorHAnsi"/>
          <w:b/>
          <w:color w:val="0070C0"/>
        </w:rPr>
        <w:t>including</w:t>
      </w:r>
      <w:r w:rsidRPr="001C6C9F">
        <w:rPr>
          <w:rFonts w:ascii="Cambria" w:hAnsi="Cambria" w:cstheme="minorHAnsi"/>
          <w:b/>
          <w:color w:val="0070C0"/>
        </w:rPr>
        <w:t xml:space="preserve"> equal </w:t>
      </w:r>
      <w:r w:rsidR="002902D9" w:rsidRPr="001C6C9F">
        <w:rPr>
          <w:rFonts w:ascii="Cambria" w:hAnsi="Cambria" w:cstheme="minorHAnsi"/>
          <w:b/>
          <w:color w:val="0070C0"/>
        </w:rPr>
        <w:t>access</w:t>
      </w:r>
      <w:r w:rsidRPr="001C6C9F">
        <w:rPr>
          <w:rFonts w:ascii="Cambria" w:hAnsi="Cambria" w:cstheme="minorHAnsi"/>
          <w:b/>
          <w:color w:val="0070C0"/>
        </w:rPr>
        <w:t xml:space="preserve"> to </w:t>
      </w:r>
      <w:r w:rsidR="002902D9" w:rsidRPr="001C6C9F">
        <w:rPr>
          <w:rFonts w:ascii="Cambria" w:hAnsi="Cambria" w:cstheme="minorHAnsi"/>
          <w:b/>
          <w:color w:val="0070C0"/>
        </w:rPr>
        <w:t>inheritance</w:t>
      </w:r>
      <w:r w:rsidRPr="001C6C9F">
        <w:rPr>
          <w:rFonts w:ascii="Cambria" w:hAnsi="Cambria" w:cstheme="minorHAnsi"/>
          <w:b/>
          <w:color w:val="0070C0"/>
        </w:rPr>
        <w:t xml:space="preserve"> and property, social protection, </w:t>
      </w:r>
      <w:r w:rsidR="002902D9" w:rsidRPr="001C6C9F">
        <w:rPr>
          <w:rFonts w:ascii="Cambria" w:hAnsi="Cambria" w:cstheme="minorHAnsi"/>
          <w:b/>
          <w:color w:val="0070C0"/>
        </w:rPr>
        <w:t>employment</w:t>
      </w:r>
      <w:r w:rsidRPr="001C6C9F">
        <w:rPr>
          <w:rFonts w:ascii="Cambria" w:hAnsi="Cambria" w:cstheme="minorHAnsi"/>
          <w:b/>
          <w:color w:val="0070C0"/>
        </w:rPr>
        <w:t xml:space="preserve"> and financial services?</w:t>
      </w:r>
    </w:p>
    <w:p w14:paraId="29CCD0A5" w14:textId="77777777" w:rsidR="001C6C9F" w:rsidRPr="001C6C9F" w:rsidRDefault="001C6C9F" w:rsidP="001C6C9F">
      <w:pPr>
        <w:pStyle w:val="ListParagraph"/>
        <w:rPr>
          <w:rFonts w:ascii="Cambria" w:hAnsi="Cambria" w:cstheme="minorHAnsi"/>
          <w:b/>
          <w:color w:val="0070C0"/>
        </w:rPr>
      </w:pPr>
    </w:p>
    <w:p w14:paraId="316D1864" w14:textId="77777777" w:rsidR="00312F46" w:rsidRPr="001C6C9F" w:rsidRDefault="00312F46" w:rsidP="0013722D">
      <w:pPr>
        <w:pStyle w:val="ListParagraph"/>
        <w:numPr>
          <w:ilvl w:val="0"/>
          <w:numId w:val="12"/>
        </w:numPr>
        <w:spacing w:line="276" w:lineRule="auto"/>
        <w:jc w:val="both"/>
        <w:rPr>
          <w:rFonts w:ascii="Cambria" w:hAnsi="Cambria" w:cstheme="minorHAnsi"/>
          <w:b/>
          <w:color w:val="0070C0"/>
        </w:rPr>
      </w:pPr>
      <w:r w:rsidRPr="001C6C9F">
        <w:rPr>
          <w:rFonts w:ascii="Cambria" w:hAnsi="Cambria" w:cstheme="minorHAnsi"/>
          <w:b/>
          <w:color w:val="0070C0"/>
        </w:rPr>
        <w:t xml:space="preserve">Support them to maintain or return to </w:t>
      </w:r>
      <w:r w:rsidR="002902D9" w:rsidRPr="001C6C9F">
        <w:rPr>
          <w:rFonts w:ascii="Cambria" w:hAnsi="Cambria" w:cstheme="minorHAnsi"/>
          <w:b/>
          <w:color w:val="0070C0"/>
        </w:rPr>
        <w:t>education</w:t>
      </w:r>
      <w:r w:rsidRPr="001C6C9F">
        <w:rPr>
          <w:rFonts w:ascii="Cambria" w:hAnsi="Cambria" w:cstheme="minorHAnsi"/>
          <w:b/>
          <w:color w:val="0070C0"/>
        </w:rPr>
        <w:t xml:space="preserve">, including technical and </w:t>
      </w:r>
      <w:r w:rsidR="002902D9" w:rsidRPr="001C6C9F">
        <w:rPr>
          <w:rFonts w:ascii="Cambria" w:hAnsi="Cambria" w:cstheme="minorHAnsi"/>
          <w:b/>
          <w:color w:val="0070C0"/>
        </w:rPr>
        <w:t>vocational</w:t>
      </w:r>
      <w:r w:rsidRPr="001C6C9F">
        <w:rPr>
          <w:rFonts w:ascii="Cambria" w:hAnsi="Cambria" w:cstheme="minorHAnsi"/>
          <w:b/>
          <w:color w:val="0070C0"/>
        </w:rPr>
        <w:t xml:space="preserve"> education?</w:t>
      </w:r>
    </w:p>
    <w:p w14:paraId="414D94FC" w14:textId="77777777" w:rsidR="001C6C9F" w:rsidRPr="001C6C9F" w:rsidRDefault="001C6C9F" w:rsidP="001C6C9F">
      <w:pPr>
        <w:pStyle w:val="ListParagraph"/>
        <w:rPr>
          <w:rFonts w:ascii="Cambria" w:hAnsi="Cambria" w:cstheme="minorHAnsi"/>
          <w:b/>
          <w:color w:val="0070C0"/>
        </w:rPr>
      </w:pPr>
    </w:p>
    <w:p w14:paraId="58596D86" w14:textId="77777777" w:rsidR="00312F46" w:rsidRPr="001C6C9F" w:rsidRDefault="00312F46" w:rsidP="0013722D">
      <w:pPr>
        <w:pStyle w:val="ListParagraph"/>
        <w:numPr>
          <w:ilvl w:val="0"/>
          <w:numId w:val="12"/>
        </w:numPr>
        <w:spacing w:line="276" w:lineRule="auto"/>
        <w:jc w:val="both"/>
        <w:rPr>
          <w:rFonts w:ascii="Cambria" w:hAnsi="Cambria" w:cstheme="minorHAnsi"/>
          <w:b/>
          <w:color w:val="0070C0"/>
        </w:rPr>
      </w:pPr>
      <w:r w:rsidRPr="001C6C9F">
        <w:rPr>
          <w:rFonts w:ascii="Cambria" w:hAnsi="Cambria" w:cstheme="minorHAnsi"/>
          <w:b/>
          <w:color w:val="0070C0"/>
        </w:rPr>
        <w:t xml:space="preserve">Ensure their access to health services, </w:t>
      </w:r>
      <w:r w:rsidR="002902D9" w:rsidRPr="001C6C9F">
        <w:rPr>
          <w:rFonts w:ascii="Cambria" w:hAnsi="Cambria" w:cstheme="minorHAnsi"/>
          <w:b/>
          <w:color w:val="0070C0"/>
        </w:rPr>
        <w:t>including</w:t>
      </w:r>
      <w:r w:rsidRPr="001C6C9F">
        <w:rPr>
          <w:rFonts w:ascii="Cambria" w:hAnsi="Cambria" w:cstheme="minorHAnsi"/>
          <w:b/>
          <w:color w:val="0070C0"/>
        </w:rPr>
        <w:t xml:space="preserve"> </w:t>
      </w:r>
      <w:r w:rsidR="002902D9" w:rsidRPr="001C6C9F">
        <w:rPr>
          <w:rFonts w:ascii="Cambria" w:hAnsi="Cambria" w:cstheme="minorHAnsi"/>
          <w:b/>
          <w:color w:val="0070C0"/>
        </w:rPr>
        <w:t>services</w:t>
      </w:r>
      <w:r w:rsidRPr="001C6C9F">
        <w:rPr>
          <w:rFonts w:ascii="Cambria" w:hAnsi="Cambria" w:cstheme="minorHAnsi"/>
          <w:b/>
          <w:color w:val="0070C0"/>
        </w:rPr>
        <w:t xml:space="preserve"> related to sexual and </w:t>
      </w:r>
      <w:r w:rsidR="002902D9" w:rsidRPr="001C6C9F">
        <w:rPr>
          <w:rFonts w:ascii="Cambria" w:hAnsi="Cambria" w:cstheme="minorHAnsi"/>
          <w:b/>
          <w:color w:val="0070C0"/>
        </w:rPr>
        <w:t>reproductive</w:t>
      </w:r>
      <w:r w:rsidRPr="001C6C9F">
        <w:rPr>
          <w:rFonts w:ascii="Cambria" w:hAnsi="Cambria" w:cstheme="minorHAnsi"/>
          <w:b/>
          <w:color w:val="0070C0"/>
        </w:rPr>
        <w:t xml:space="preserve"> </w:t>
      </w:r>
      <w:r w:rsidR="002902D9" w:rsidRPr="001C6C9F">
        <w:rPr>
          <w:rFonts w:ascii="Cambria" w:hAnsi="Cambria" w:cstheme="minorHAnsi"/>
          <w:b/>
          <w:color w:val="0070C0"/>
        </w:rPr>
        <w:t>health</w:t>
      </w:r>
      <w:r w:rsidR="0013722D" w:rsidRPr="001C6C9F">
        <w:rPr>
          <w:rFonts w:ascii="Cambria" w:hAnsi="Cambria" w:cstheme="minorHAnsi"/>
          <w:b/>
          <w:color w:val="0070C0"/>
        </w:rPr>
        <w:t>?</w:t>
      </w:r>
    </w:p>
    <w:p w14:paraId="79CB8FAF" w14:textId="77777777" w:rsidR="001C6C9F" w:rsidRPr="001C6C9F" w:rsidRDefault="001C6C9F" w:rsidP="001C6C9F">
      <w:pPr>
        <w:pStyle w:val="ListParagraph"/>
        <w:rPr>
          <w:rFonts w:ascii="Cambria" w:hAnsi="Cambria" w:cstheme="minorHAnsi"/>
          <w:b/>
          <w:color w:val="0070C0"/>
        </w:rPr>
      </w:pPr>
    </w:p>
    <w:p w14:paraId="11541CE5" w14:textId="77777777" w:rsidR="00312F46" w:rsidRPr="001C6C9F" w:rsidRDefault="00312F46" w:rsidP="0013722D">
      <w:pPr>
        <w:pStyle w:val="ListParagraph"/>
        <w:numPr>
          <w:ilvl w:val="0"/>
          <w:numId w:val="12"/>
        </w:numPr>
        <w:spacing w:line="276" w:lineRule="auto"/>
        <w:jc w:val="both"/>
        <w:rPr>
          <w:rFonts w:ascii="Cambria" w:hAnsi="Cambria" w:cstheme="minorHAnsi"/>
          <w:b/>
          <w:color w:val="0070C0"/>
        </w:rPr>
      </w:pPr>
      <w:r w:rsidRPr="001C6C9F">
        <w:rPr>
          <w:rFonts w:ascii="Cambria" w:hAnsi="Cambria" w:cstheme="minorHAnsi"/>
          <w:b/>
          <w:color w:val="0070C0"/>
        </w:rPr>
        <w:t xml:space="preserve">Ensure their food </w:t>
      </w:r>
      <w:r w:rsidR="002902D9" w:rsidRPr="001C6C9F">
        <w:rPr>
          <w:rFonts w:ascii="Cambria" w:hAnsi="Cambria" w:cstheme="minorHAnsi"/>
          <w:b/>
          <w:color w:val="0070C0"/>
        </w:rPr>
        <w:t>and</w:t>
      </w:r>
      <w:r w:rsidRPr="001C6C9F">
        <w:rPr>
          <w:rFonts w:ascii="Cambria" w:hAnsi="Cambria" w:cstheme="minorHAnsi"/>
          <w:b/>
          <w:color w:val="0070C0"/>
        </w:rPr>
        <w:t xml:space="preserve"> nutrition security, and their access </w:t>
      </w:r>
      <w:r w:rsidR="002902D9" w:rsidRPr="001C6C9F">
        <w:rPr>
          <w:rFonts w:ascii="Cambria" w:hAnsi="Cambria" w:cstheme="minorHAnsi"/>
          <w:b/>
          <w:color w:val="0070C0"/>
        </w:rPr>
        <w:t>t</w:t>
      </w:r>
      <w:r w:rsidRPr="001C6C9F">
        <w:rPr>
          <w:rFonts w:ascii="Cambria" w:hAnsi="Cambria" w:cstheme="minorHAnsi"/>
          <w:b/>
          <w:color w:val="0070C0"/>
        </w:rPr>
        <w:t xml:space="preserve">o safe and </w:t>
      </w:r>
      <w:r w:rsidR="002902D9" w:rsidRPr="001C6C9F">
        <w:rPr>
          <w:rFonts w:ascii="Cambria" w:hAnsi="Cambria" w:cstheme="minorHAnsi"/>
          <w:b/>
          <w:color w:val="0070C0"/>
        </w:rPr>
        <w:t>affordable</w:t>
      </w:r>
      <w:r w:rsidRPr="001C6C9F">
        <w:rPr>
          <w:rFonts w:ascii="Cambria" w:hAnsi="Cambria" w:cstheme="minorHAnsi"/>
          <w:b/>
          <w:color w:val="0070C0"/>
        </w:rPr>
        <w:t xml:space="preserve"> drinking water?</w:t>
      </w:r>
    </w:p>
    <w:p w14:paraId="62E53B74" w14:textId="1DFE43FF" w:rsidR="00312F46" w:rsidRDefault="00312F46" w:rsidP="00312F46">
      <w:pPr>
        <w:spacing w:line="276" w:lineRule="auto"/>
        <w:jc w:val="both"/>
        <w:rPr>
          <w:rFonts w:ascii="Cambria" w:hAnsi="Cambria" w:cstheme="minorHAnsi"/>
          <w:b/>
          <w:color w:val="0070C0"/>
        </w:rPr>
      </w:pPr>
    </w:p>
    <w:p w14:paraId="3E83581E" w14:textId="3318D72E" w:rsidR="00101BC0" w:rsidRPr="00101BC0" w:rsidRDefault="00101BC0" w:rsidP="00312F46">
      <w:pPr>
        <w:spacing w:line="276" w:lineRule="auto"/>
        <w:jc w:val="both"/>
        <w:rPr>
          <w:rFonts w:ascii="Cambria" w:hAnsi="Cambria" w:cstheme="minorHAnsi"/>
          <w:bCs/>
        </w:rPr>
      </w:pPr>
      <w:r w:rsidRPr="00101BC0">
        <w:rPr>
          <w:rFonts w:ascii="Cambria" w:hAnsi="Cambria" w:cstheme="minorHAnsi"/>
          <w:bCs/>
        </w:rPr>
        <w:t>N/A</w:t>
      </w:r>
    </w:p>
    <w:p w14:paraId="36091214" w14:textId="77777777" w:rsidR="00101BC0" w:rsidRPr="001C6C9F" w:rsidRDefault="00101BC0" w:rsidP="00312F46">
      <w:pPr>
        <w:spacing w:line="276" w:lineRule="auto"/>
        <w:jc w:val="both"/>
        <w:rPr>
          <w:rFonts w:ascii="Cambria" w:hAnsi="Cambria" w:cstheme="minorHAnsi"/>
          <w:b/>
          <w:color w:val="0070C0"/>
        </w:rPr>
      </w:pPr>
    </w:p>
    <w:p w14:paraId="0F26CF2C" w14:textId="77777777" w:rsidR="00312F46" w:rsidRDefault="00312F46" w:rsidP="0013722D">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 xml:space="preserve">What actions do </w:t>
      </w:r>
      <w:r w:rsidR="0013722D" w:rsidRPr="001C6C9F">
        <w:rPr>
          <w:rFonts w:ascii="Cambria" w:hAnsi="Cambria" w:cstheme="minorHAnsi"/>
          <w:b/>
          <w:color w:val="0070C0"/>
        </w:rPr>
        <w:t>you</w:t>
      </w:r>
      <w:r w:rsidRPr="001C6C9F">
        <w:rPr>
          <w:rFonts w:ascii="Cambria" w:hAnsi="Cambria" w:cstheme="minorHAnsi"/>
          <w:b/>
          <w:color w:val="0070C0"/>
        </w:rPr>
        <w:t xml:space="preserve"> take to support </w:t>
      </w:r>
      <w:r w:rsidR="0013722D" w:rsidRPr="001C6C9F">
        <w:rPr>
          <w:rFonts w:ascii="Cambria" w:hAnsi="Cambria" w:cstheme="minorHAnsi"/>
          <w:b/>
          <w:color w:val="0070C0"/>
        </w:rPr>
        <w:t>girls</w:t>
      </w:r>
      <w:r w:rsidRPr="001C6C9F">
        <w:rPr>
          <w:rFonts w:ascii="Cambria" w:hAnsi="Cambria" w:cstheme="minorHAnsi"/>
          <w:b/>
          <w:color w:val="0070C0"/>
        </w:rPr>
        <w:t xml:space="preserve"> and </w:t>
      </w:r>
      <w:r w:rsidR="0013722D" w:rsidRPr="001C6C9F">
        <w:rPr>
          <w:rFonts w:ascii="Cambria" w:hAnsi="Cambria" w:cstheme="minorHAnsi"/>
          <w:b/>
          <w:color w:val="0070C0"/>
        </w:rPr>
        <w:t>women</w:t>
      </w:r>
      <w:r w:rsidRPr="001C6C9F">
        <w:rPr>
          <w:rFonts w:ascii="Cambria" w:hAnsi="Cambria" w:cstheme="minorHAnsi"/>
          <w:b/>
          <w:color w:val="0070C0"/>
        </w:rPr>
        <w:t xml:space="preserve"> affected or at risk of child, early and forced marriage; especially those who have fled such a </w:t>
      </w:r>
      <w:r w:rsidR="0013722D" w:rsidRPr="001C6C9F">
        <w:rPr>
          <w:rFonts w:ascii="Cambria" w:hAnsi="Cambria" w:cstheme="minorHAnsi"/>
          <w:b/>
          <w:color w:val="0070C0"/>
        </w:rPr>
        <w:t>marri</w:t>
      </w:r>
      <w:r w:rsidRPr="001C6C9F">
        <w:rPr>
          <w:rFonts w:ascii="Cambria" w:hAnsi="Cambria" w:cstheme="minorHAnsi"/>
          <w:b/>
          <w:color w:val="0070C0"/>
        </w:rPr>
        <w:t xml:space="preserve">age or whose </w:t>
      </w:r>
      <w:r w:rsidR="0013722D" w:rsidRPr="001C6C9F">
        <w:rPr>
          <w:rFonts w:ascii="Cambria" w:hAnsi="Cambria" w:cstheme="minorHAnsi"/>
          <w:b/>
          <w:color w:val="0070C0"/>
        </w:rPr>
        <w:t>m</w:t>
      </w:r>
      <w:r w:rsidRPr="001C6C9F">
        <w:rPr>
          <w:rFonts w:ascii="Cambria" w:hAnsi="Cambria" w:cstheme="minorHAnsi"/>
          <w:b/>
          <w:color w:val="0070C0"/>
        </w:rPr>
        <w:t>arriage has diss</w:t>
      </w:r>
      <w:r w:rsidR="0013722D" w:rsidRPr="001C6C9F">
        <w:rPr>
          <w:rFonts w:ascii="Cambria" w:hAnsi="Cambria" w:cstheme="minorHAnsi"/>
          <w:b/>
          <w:color w:val="0070C0"/>
        </w:rPr>
        <w:t>olve</w:t>
      </w:r>
      <w:r w:rsidRPr="001C6C9F">
        <w:rPr>
          <w:rFonts w:ascii="Cambria" w:hAnsi="Cambria" w:cstheme="minorHAnsi"/>
          <w:b/>
          <w:color w:val="0070C0"/>
        </w:rPr>
        <w:t xml:space="preserve">d, and to support widowed girls or </w:t>
      </w:r>
      <w:r w:rsidR="0013722D" w:rsidRPr="001C6C9F">
        <w:rPr>
          <w:rFonts w:ascii="Cambria" w:hAnsi="Cambria" w:cstheme="minorHAnsi"/>
          <w:b/>
          <w:color w:val="0070C0"/>
        </w:rPr>
        <w:t>women</w:t>
      </w:r>
      <w:r w:rsidRPr="001C6C9F">
        <w:rPr>
          <w:rFonts w:ascii="Cambria" w:hAnsi="Cambria" w:cstheme="minorHAnsi"/>
          <w:b/>
          <w:color w:val="0070C0"/>
        </w:rPr>
        <w:t xml:space="preserve"> who were married as girls?</w:t>
      </w:r>
    </w:p>
    <w:p w14:paraId="1CED35B4" w14:textId="77777777" w:rsidR="007D0B6E" w:rsidRDefault="007D0B6E" w:rsidP="007D0B6E">
      <w:pPr>
        <w:spacing w:line="360" w:lineRule="auto"/>
        <w:ind w:left="360"/>
        <w:jc w:val="both"/>
        <w:rPr>
          <w:rFonts w:ascii="Cambria" w:hAnsi="Cambria"/>
          <w:lang w:val="en-US"/>
        </w:rPr>
      </w:pPr>
    </w:p>
    <w:p w14:paraId="5EE69264" w14:textId="3BA6E298" w:rsidR="00850472" w:rsidRPr="007D0B6E" w:rsidRDefault="00DE17A0" w:rsidP="00101BC0">
      <w:pPr>
        <w:spacing w:line="360" w:lineRule="auto"/>
        <w:jc w:val="both"/>
        <w:rPr>
          <w:rFonts w:ascii="Cambria" w:hAnsi="Cambria"/>
          <w:lang w:val="en-US"/>
        </w:rPr>
      </w:pPr>
      <w:r w:rsidRPr="007D0B6E">
        <w:rPr>
          <w:rFonts w:ascii="Cambria" w:hAnsi="Cambria"/>
          <w:lang w:val="en-US"/>
        </w:rPr>
        <w:t xml:space="preserve">The </w:t>
      </w:r>
      <w:r w:rsidR="00101BC0">
        <w:rPr>
          <w:rFonts w:ascii="Cambria" w:hAnsi="Cambria"/>
          <w:lang w:val="en-US"/>
        </w:rPr>
        <w:t xml:space="preserve">actions developed by </w:t>
      </w:r>
      <w:r w:rsidRPr="007D0B6E">
        <w:rPr>
          <w:rFonts w:ascii="Cambria" w:hAnsi="Cambria"/>
          <w:lang w:val="en-US"/>
        </w:rPr>
        <w:t xml:space="preserve">the </w:t>
      </w:r>
      <w:r w:rsidRPr="007D0B6E">
        <w:rPr>
          <w:rFonts w:ascii="Cambria" w:hAnsi="Cambria"/>
          <w:i/>
          <w:iCs/>
          <w:lang w:val="en-US"/>
        </w:rPr>
        <w:t>Public Security Police</w:t>
      </w:r>
      <w:r w:rsidRPr="007D0B6E">
        <w:rPr>
          <w:rFonts w:ascii="Cambria" w:hAnsi="Cambria"/>
          <w:lang w:val="en-US"/>
        </w:rPr>
        <w:t xml:space="preserve"> </w:t>
      </w:r>
      <w:r w:rsidR="00E25AC7" w:rsidRPr="007D0B6E">
        <w:rPr>
          <w:rFonts w:ascii="Cambria" w:hAnsi="Cambria"/>
          <w:lang w:val="en-US"/>
        </w:rPr>
        <w:t>(</w:t>
      </w:r>
      <w:r w:rsidRPr="007D0B6E">
        <w:rPr>
          <w:rFonts w:ascii="Cambria" w:hAnsi="Cambria"/>
          <w:lang w:val="en-US"/>
        </w:rPr>
        <w:t>PSP</w:t>
      </w:r>
      <w:r w:rsidR="00E25AC7" w:rsidRPr="007D0B6E">
        <w:rPr>
          <w:rFonts w:ascii="Cambria" w:hAnsi="Cambria"/>
          <w:lang w:val="en-US"/>
        </w:rPr>
        <w:t>)</w:t>
      </w:r>
      <w:r w:rsidRPr="007D0B6E">
        <w:rPr>
          <w:rFonts w:ascii="Cambria" w:hAnsi="Cambria"/>
          <w:lang w:val="en-US"/>
        </w:rPr>
        <w:t xml:space="preserve"> within the scope of the Safe School Program are transversally related to the theme in question.</w:t>
      </w:r>
      <w:r w:rsidR="00850472" w:rsidRPr="007D0B6E">
        <w:rPr>
          <w:rFonts w:ascii="Cambria" w:hAnsi="Cambria"/>
          <w:lang w:val="en-US"/>
        </w:rPr>
        <w:t xml:space="preserve"> </w:t>
      </w:r>
      <w:r w:rsidR="00850472" w:rsidRPr="007D0B6E">
        <w:rPr>
          <w:rFonts w:ascii="Cambria" w:hAnsi="Cambria"/>
          <w:b/>
          <w:lang w:val="en-US"/>
        </w:rPr>
        <w:t>Please see Annex I.</w:t>
      </w:r>
    </w:p>
    <w:p w14:paraId="4E8AE423" w14:textId="77777777" w:rsidR="00DE17A0" w:rsidRDefault="00DE17A0" w:rsidP="00DE17A0">
      <w:pPr>
        <w:ind w:left="360"/>
        <w:jc w:val="both"/>
        <w:rPr>
          <w:lang w:val="en-US"/>
        </w:rPr>
      </w:pPr>
    </w:p>
    <w:p w14:paraId="415EFC70" w14:textId="77777777" w:rsidR="00312F46" w:rsidRPr="001C6C9F" w:rsidRDefault="00312F46" w:rsidP="0013722D">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 xml:space="preserve">What </w:t>
      </w:r>
      <w:r w:rsidR="0013722D" w:rsidRPr="001C6C9F">
        <w:rPr>
          <w:rFonts w:ascii="Cambria" w:hAnsi="Cambria" w:cstheme="minorHAnsi"/>
          <w:b/>
          <w:color w:val="0070C0"/>
        </w:rPr>
        <w:t>measures</w:t>
      </w:r>
      <w:r w:rsidRPr="001C6C9F">
        <w:rPr>
          <w:rFonts w:ascii="Cambria" w:hAnsi="Cambria" w:cstheme="minorHAnsi"/>
          <w:b/>
          <w:color w:val="0070C0"/>
        </w:rPr>
        <w:t xml:space="preserve"> are in place to facilitate </w:t>
      </w:r>
      <w:r w:rsidR="0013722D" w:rsidRPr="001C6C9F">
        <w:rPr>
          <w:rFonts w:ascii="Cambria" w:hAnsi="Cambria" w:cstheme="minorHAnsi"/>
          <w:b/>
          <w:color w:val="0070C0"/>
        </w:rPr>
        <w:t>access</w:t>
      </w:r>
      <w:r w:rsidRPr="001C6C9F">
        <w:rPr>
          <w:rFonts w:ascii="Cambria" w:hAnsi="Cambria" w:cstheme="minorHAnsi"/>
          <w:b/>
          <w:color w:val="0070C0"/>
        </w:rPr>
        <w:t xml:space="preserve"> by girls and women a</w:t>
      </w:r>
      <w:r w:rsidR="0013722D" w:rsidRPr="001C6C9F">
        <w:rPr>
          <w:rFonts w:ascii="Cambria" w:hAnsi="Cambria" w:cstheme="minorHAnsi"/>
          <w:b/>
          <w:color w:val="0070C0"/>
        </w:rPr>
        <w:t>t</w:t>
      </w:r>
      <w:r w:rsidRPr="001C6C9F">
        <w:rPr>
          <w:rFonts w:ascii="Cambria" w:hAnsi="Cambria" w:cstheme="minorHAnsi"/>
          <w:b/>
          <w:color w:val="0070C0"/>
        </w:rPr>
        <w:t xml:space="preserve"> risk and for already married girls and </w:t>
      </w:r>
      <w:r w:rsidR="0013722D" w:rsidRPr="001C6C9F">
        <w:rPr>
          <w:rFonts w:ascii="Cambria" w:hAnsi="Cambria" w:cstheme="minorHAnsi"/>
          <w:b/>
          <w:color w:val="0070C0"/>
        </w:rPr>
        <w:t>women</w:t>
      </w:r>
      <w:r w:rsidRPr="001C6C9F">
        <w:rPr>
          <w:rFonts w:ascii="Cambria" w:hAnsi="Cambria" w:cstheme="minorHAnsi"/>
          <w:b/>
          <w:color w:val="0070C0"/>
        </w:rPr>
        <w:t xml:space="preserve"> to protective </w:t>
      </w:r>
      <w:r w:rsidR="0013722D" w:rsidRPr="001C6C9F">
        <w:rPr>
          <w:rFonts w:ascii="Cambria" w:hAnsi="Cambria" w:cstheme="minorHAnsi"/>
          <w:b/>
          <w:color w:val="0070C0"/>
        </w:rPr>
        <w:t>mechanisms</w:t>
      </w:r>
      <w:r w:rsidRPr="001C6C9F">
        <w:rPr>
          <w:rFonts w:ascii="Cambria" w:hAnsi="Cambria" w:cstheme="minorHAnsi"/>
          <w:b/>
          <w:color w:val="0070C0"/>
        </w:rPr>
        <w:t xml:space="preserve"> and services, inclu</w:t>
      </w:r>
      <w:r w:rsidR="0013722D" w:rsidRPr="001C6C9F">
        <w:rPr>
          <w:rFonts w:ascii="Cambria" w:hAnsi="Cambria" w:cstheme="minorHAnsi"/>
          <w:b/>
          <w:color w:val="0070C0"/>
        </w:rPr>
        <w:t>d</w:t>
      </w:r>
      <w:r w:rsidRPr="001C6C9F">
        <w:rPr>
          <w:rFonts w:ascii="Cambria" w:hAnsi="Cambria" w:cstheme="minorHAnsi"/>
          <w:b/>
          <w:color w:val="0070C0"/>
        </w:rPr>
        <w:t xml:space="preserve">ing legal services, safe accommodation and psychosocial support? </w:t>
      </w:r>
    </w:p>
    <w:p w14:paraId="740739D6" w14:textId="4F81DDFD" w:rsidR="001C6C9F" w:rsidRDefault="001C6C9F" w:rsidP="00101BC0">
      <w:pPr>
        <w:rPr>
          <w:rFonts w:ascii="Cambria" w:hAnsi="Cambria" w:cstheme="minorHAnsi"/>
          <w:b/>
          <w:color w:val="0070C0"/>
        </w:rPr>
      </w:pPr>
    </w:p>
    <w:p w14:paraId="442E0CAD" w14:textId="6F747FD8" w:rsidR="00101BC0" w:rsidRPr="00101BC0" w:rsidRDefault="00101BC0" w:rsidP="00101BC0">
      <w:pPr>
        <w:rPr>
          <w:rFonts w:ascii="Cambria" w:hAnsi="Cambria" w:cstheme="minorHAnsi"/>
          <w:bCs/>
        </w:rPr>
      </w:pPr>
      <w:r w:rsidRPr="00101BC0">
        <w:rPr>
          <w:rFonts w:ascii="Cambria" w:hAnsi="Cambria" w:cstheme="minorHAnsi"/>
          <w:bCs/>
        </w:rPr>
        <w:t>N/A</w:t>
      </w:r>
    </w:p>
    <w:p w14:paraId="325FE5BC" w14:textId="77777777" w:rsidR="00101BC0" w:rsidRPr="00101BC0" w:rsidRDefault="00101BC0" w:rsidP="00101BC0">
      <w:pPr>
        <w:rPr>
          <w:rFonts w:ascii="Cambria" w:hAnsi="Cambria" w:cstheme="minorHAnsi"/>
          <w:b/>
          <w:color w:val="0070C0"/>
        </w:rPr>
      </w:pPr>
    </w:p>
    <w:p w14:paraId="5442CF30" w14:textId="77777777" w:rsidR="00312F46" w:rsidRDefault="00312F46" w:rsidP="0013722D">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 xml:space="preserve">What progress is </w:t>
      </w:r>
      <w:r w:rsidR="0013722D" w:rsidRPr="001C6C9F">
        <w:rPr>
          <w:rFonts w:ascii="Cambria" w:hAnsi="Cambria" w:cstheme="minorHAnsi"/>
          <w:b/>
          <w:color w:val="0070C0"/>
        </w:rPr>
        <w:t>m</w:t>
      </w:r>
      <w:r w:rsidRPr="001C6C9F">
        <w:rPr>
          <w:rFonts w:ascii="Cambria" w:hAnsi="Cambria" w:cstheme="minorHAnsi"/>
          <w:b/>
          <w:color w:val="0070C0"/>
        </w:rPr>
        <w:t xml:space="preserve">ade </w:t>
      </w:r>
      <w:r w:rsidR="0013722D" w:rsidRPr="001C6C9F">
        <w:rPr>
          <w:rFonts w:ascii="Cambria" w:hAnsi="Cambria" w:cstheme="minorHAnsi"/>
          <w:b/>
          <w:color w:val="0070C0"/>
        </w:rPr>
        <w:t>i</w:t>
      </w:r>
      <w:r w:rsidRPr="001C6C9F">
        <w:rPr>
          <w:rFonts w:ascii="Cambria" w:hAnsi="Cambria" w:cstheme="minorHAnsi"/>
          <w:b/>
          <w:color w:val="0070C0"/>
        </w:rPr>
        <w:t xml:space="preserve">n gathering data </w:t>
      </w:r>
      <w:r w:rsidR="0013722D" w:rsidRPr="001C6C9F">
        <w:rPr>
          <w:rFonts w:ascii="Cambria" w:hAnsi="Cambria" w:cstheme="minorHAnsi"/>
          <w:b/>
          <w:color w:val="0070C0"/>
        </w:rPr>
        <w:t>disaggregated</w:t>
      </w:r>
      <w:r w:rsidRPr="001C6C9F">
        <w:rPr>
          <w:rFonts w:ascii="Cambria" w:hAnsi="Cambria" w:cstheme="minorHAnsi"/>
          <w:b/>
          <w:color w:val="0070C0"/>
        </w:rPr>
        <w:t xml:space="preserve"> by sex/gender, age, </w:t>
      </w:r>
      <w:r w:rsidR="0013722D" w:rsidRPr="001C6C9F">
        <w:rPr>
          <w:rFonts w:ascii="Cambria" w:hAnsi="Cambria" w:cstheme="minorHAnsi"/>
          <w:b/>
          <w:color w:val="0070C0"/>
        </w:rPr>
        <w:t>geographical</w:t>
      </w:r>
      <w:r w:rsidRPr="001C6C9F">
        <w:rPr>
          <w:rFonts w:ascii="Cambria" w:hAnsi="Cambria" w:cstheme="minorHAnsi"/>
          <w:b/>
          <w:color w:val="0070C0"/>
        </w:rPr>
        <w:t xml:space="preserve"> </w:t>
      </w:r>
      <w:r w:rsidR="0013722D" w:rsidRPr="001C6C9F">
        <w:rPr>
          <w:rFonts w:ascii="Cambria" w:hAnsi="Cambria" w:cstheme="minorHAnsi"/>
          <w:b/>
          <w:color w:val="0070C0"/>
        </w:rPr>
        <w:t>location</w:t>
      </w:r>
      <w:r w:rsidRPr="001C6C9F">
        <w:rPr>
          <w:rFonts w:ascii="Cambria" w:hAnsi="Cambria" w:cstheme="minorHAnsi"/>
          <w:b/>
          <w:color w:val="0070C0"/>
        </w:rPr>
        <w:t xml:space="preserve">, socioeconomic status, </w:t>
      </w:r>
      <w:r w:rsidR="0013722D" w:rsidRPr="001C6C9F">
        <w:rPr>
          <w:rFonts w:ascii="Cambria" w:hAnsi="Cambria" w:cstheme="minorHAnsi"/>
          <w:b/>
          <w:color w:val="0070C0"/>
        </w:rPr>
        <w:t>disabilities</w:t>
      </w:r>
      <w:r w:rsidRPr="001C6C9F">
        <w:rPr>
          <w:rFonts w:ascii="Cambria" w:hAnsi="Cambria" w:cstheme="minorHAnsi"/>
          <w:b/>
          <w:color w:val="0070C0"/>
        </w:rPr>
        <w:t xml:space="preserve">, </w:t>
      </w:r>
      <w:r w:rsidR="0013722D" w:rsidRPr="001C6C9F">
        <w:rPr>
          <w:rFonts w:ascii="Cambria" w:hAnsi="Cambria" w:cstheme="minorHAnsi"/>
          <w:b/>
          <w:color w:val="0070C0"/>
        </w:rPr>
        <w:t>educational</w:t>
      </w:r>
      <w:r w:rsidRPr="001C6C9F">
        <w:rPr>
          <w:rFonts w:ascii="Cambria" w:hAnsi="Cambria" w:cstheme="minorHAnsi"/>
          <w:b/>
          <w:color w:val="0070C0"/>
        </w:rPr>
        <w:t xml:space="preserve"> level and other factors, in particular on the situation of already </w:t>
      </w:r>
      <w:r w:rsidR="0013722D" w:rsidRPr="001C6C9F">
        <w:rPr>
          <w:rFonts w:ascii="Cambria" w:hAnsi="Cambria" w:cstheme="minorHAnsi"/>
          <w:b/>
          <w:color w:val="0070C0"/>
        </w:rPr>
        <w:t>married</w:t>
      </w:r>
      <w:r w:rsidRPr="001C6C9F">
        <w:rPr>
          <w:rFonts w:ascii="Cambria" w:hAnsi="Cambria" w:cstheme="minorHAnsi"/>
          <w:b/>
          <w:color w:val="0070C0"/>
        </w:rPr>
        <w:t xml:space="preserve"> girls and girls i</w:t>
      </w:r>
      <w:r w:rsidR="0013722D" w:rsidRPr="001C6C9F">
        <w:rPr>
          <w:rFonts w:ascii="Cambria" w:hAnsi="Cambria" w:cstheme="minorHAnsi"/>
          <w:b/>
          <w:color w:val="0070C0"/>
        </w:rPr>
        <w:t>n</w:t>
      </w:r>
      <w:r w:rsidRPr="001C6C9F">
        <w:rPr>
          <w:rFonts w:ascii="Cambria" w:hAnsi="Cambria" w:cstheme="minorHAnsi"/>
          <w:b/>
          <w:color w:val="0070C0"/>
        </w:rPr>
        <w:t xml:space="preserve"> informal </w:t>
      </w:r>
      <w:r w:rsidR="0013722D" w:rsidRPr="001C6C9F">
        <w:rPr>
          <w:rFonts w:ascii="Cambria" w:hAnsi="Cambria" w:cstheme="minorHAnsi"/>
          <w:b/>
          <w:color w:val="0070C0"/>
        </w:rPr>
        <w:t>unions</w:t>
      </w:r>
      <w:r w:rsidRPr="001C6C9F">
        <w:rPr>
          <w:rFonts w:ascii="Cambria" w:hAnsi="Cambria" w:cstheme="minorHAnsi"/>
          <w:b/>
          <w:color w:val="0070C0"/>
        </w:rPr>
        <w:t xml:space="preserve">? </w:t>
      </w:r>
    </w:p>
    <w:p w14:paraId="7257D84A" w14:textId="77777777" w:rsidR="007D0B6E" w:rsidRDefault="007D0B6E" w:rsidP="007D0B6E">
      <w:pPr>
        <w:spacing w:line="360" w:lineRule="auto"/>
        <w:ind w:left="360"/>
        <w:jc w:val="both"/>
        <w:rPr>
          <w:rFonts w:ascii="Cambria" w:hAnsi="Cambria"/>
          <w:lang w:val="en-US"/>
        </w:rPr>
      </w:pPr>
    </w:p>
    <w:p w14:paraId="22133570" w14:textId="0C33EC5A" w:rsidR="00461978" w:rsidRPr="007D0B6E" w:rsidRDefault="009046CE" w:rsidP="00101BC0">
      <w:pPr>
        <w:spacing w:line="360" w:lineRule="auto"/>
        <w:jc w:val="both"/>
        <w:rPr>
          <w:rFonts w:ascii="Cambria" w:hAnsi="Cambria"/>
          <w:lang w:val="en-US"/>
        </w:rPr>
      </w:pPr>
      <w:r>
        <w:rPr>
          <w:rFonts w:ascii="Cambria" w:hAnsi="Cambria"/>
          <w:lang w:val="en-US"/>
        </w:rPr>
        <w:t>N/A</w:t>
      </w:r>
    </w:p>
    <w:p w14:paraId="55F5CAB9" w14:textId="77777777" w:rsidR="0013722D" w:rsidRPr="001C6C9F" w:rsidRDefault="0013722D" w:rsidP="00312F46">
      <w:pPr>
        <w:spacing w:line="276" w:lineRule="auto"/>
        <w:jc w:val="both"/>
        <w:rPr>
          <w:rFonts w:ascii="Cambria" w:hAnsi="Cambria" w:cstheme="minorHAnsi"/>
          <w:b/>
          <w:color w:val="0070C0"/>
        </w:rPr>
      </w:pPr>
    </w:p>
    <w:p w14:paraId="516F0E85" w14:textId="77777777" w:rsidR="00312F46" w:rsidRPr="001C6C9F" w:rsidRDefault="00312F46" w:rsidP="0013722D">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What research has been conducted on married girls, in</w:t>
      </w:r>
      <w:r w:rsidR="0013722D" w:rsidRPr="001C6C9F">
        <w:rPr>
          <w:rFonts w:ascii="Cambria" w:hAnsi="Cambria" w:cstheme="minorHAnsi"/>
          <w:b/>
          <w:color w:val="0070C0"/>
        </w:rPr>
        <w:t>c</w:t>
      </w:r>
      <w:r w:rsidRPr="001C6C9F">
        <w:rPr>
          <w:rFonts w:ascii="Cambria" w:hAnsi="Cambria" w:cstheme="minorHAnsi"/>
          <w:b/>
          <w:color w:val="0070C0"/>
        </w:rPr>
        <w:t xml:space="preserve">luding widow girls and women, and whose husbands have </w:t>
      </w:r>
      <w:r w:rsidR="0013722D" w:rsidRPr="001C6C9F">
        <w:rPr>
          <w:rFonts w:ascii="Cambria" w:hAnsi="Cambria" w:cstheme="minorHAnsi"/>
          <w:b/>
          <w:color w:val="0070C0"/>
        </w:rPr>
        <w:t>le</w:t>
      </w:r>
      <w:r w:rsidRPr="001C6C9F">
        <w:rPr>
          <w:rFonts w:ascii="Cambria" w:hAnsi="Cambria" w:cstheme="minorHAnsi"/>
          <w:b/>
          <w:color w:val="0070C0"/>
        </w:rPr>
        <w:t xml:space="preserve">ft </w:t>
      </w:r>
      <w:r w:rsidR="0013722D" w:rsidRPr="001C6C9F">
        <w:rPr>
          <w:rFonts w:ascii="Cambria" w:hAnsi="Cambria" w:cstheme="minorHAnsi"/>
          <w:b/>
          <w:color w:val="0070C0"/>
        </w:rPr>
        <w:t>them</w:t>
      </w:r>
      <w:r w:rsidRPr="001C6C9F">
        <w:rPr>
          <w:rFonts w:ascii="Cambria" w:hAnsi="Cambria" w:cstheme="minorHAnsi"/>
          <w:b/>
          <w:color w:val="0070C0"/>
        </w:rPr>
        <w:t xml:space="preserve"> to fight or seek refuge in</w:t>
      </w:r>
      <w:r w:rsidR="0013722D" w:rsidRPr="001C6C9F">
        <w:rPr>
          <w:rFonts w:ascii="Cambria" w:hAnsi="Cambria" w:cstheme="minorHAnsi"/>
          <w:b/>
          <w:color w:val="0070C0"/>
        </w:rPr>
        <w:t>ternally</w:t>
      </w:r>
      <w:r w:rsidRPr="001C6C9F">
        <w:rPr>
          <w:rFonts w:ascii="Cambria" w:hAnsi="Cambria" w:cstheme="minorHAnsi"/>
          <w:b/>
          <w:color w:val="0070C0"/>
        </w:rPr>
        <w:t xml:space="preserve"> or across borders, or who have been detained or disappeared? </w:t>
      </w:r>
    </w:p>
    <w:p w14:paraId="2C8CF310" w14:textId="635986D7" w:rsidR="00312F46" w:rsidRDefault="00312F46" w:rsidP="00312F46">
      <w:pPr>
        <w:spacing w:line="276" w:lineRule="auto"/>
        <w:jc w:val="both"/>
        <w:rPr>
          <w:rFonts w:ascii="Cambria" w:hAnsi="Cambria" w:cstheme="minorHAnsi"/>
          <w:b/>
          <w:color w:val="0070C0"/>
        </w:rPr>
      </w:pPr>
    </w:p>
    <w:p w14:paraId="7C96CC3B" w14:textId="2B8615BB" w:rsidR="00101BC0" w:rsidRDefault="00101BC0" w:rsidP="00312F46">
      <w:pPr>
        <w:spacing w:line="276" w:lineRule="auto"/>
        <w:jc w:val="both"/>
        <w:rPr>
          <w:rFonts w:ascii="Cambria" w:hAnsi="Cambria" w:cstheme="minorHAnsi"/>
          <w:bCs/>
        </w:rPr>
      </w:pPr>
      <w:r w:rsidRPr="00101BC0">
        <w:rPr>
          <w:rFonts w:ascii="Cambria" w:hAnsi="Cambria" w:cstheme="minorHAnsi"/>
          <w:bCs/>
        </w:rPr>
        <w:t>N/A</w:t>
      </w:r>
    </w:p>
    <w:p w14:paraId="51FC6B91" w14:textId="77777777" w:rsidR="00101BC0" w:rsidRPr="00101BC0" w:rsidRDefault="00101BC0" w:rsidP="00312F46">
      <w:pPr>
        <w:spacing w:line="276" w:lineRule="auto"/>
        <w:jc w:val="both"/>
        <w:rPr>
          <w:rFonts w:ascii="Cambria" w:hAnsi="Cambria" w:cstheme="minorHAnsi"/>
          <w:bCs/>
        </w:rPr>
      </w:pPr>
    </w:p>
    <w:p w14:paraId="3655721F" w14:textId="77777777" w:rsidR="00312F46" w:rsidRPr="001C6C9F" w:rsidRDefault="00312F46" w:rsidP="000C76E8">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lastRenderedPageBreak/>
        <w:t>Please share any examples of national reports on CEFM sub</w:t>
      </w:r>
      <w:r w:rsidR="0013722D" w:rsidRPr="001C6C9F">
        <w:rPr>
          <w:rFonts w:ascii="Cambria" w:hAnsi="Cambria" w:cstheme="minorHAnsi"/>
          <w:b/>
          <w:color w:val="0070C0"/>
        </w:rPr>
        <w:t>m</w:t>
      </w:r>
      <w:r w:rsidRPr="001C6C9F">
        <w:rPr>
          <w:rFonts w:ascii="Cambria" w:hAnsi="Cambria" w:cstheme="minorHAnsi"/>
          <w:b/>
          <w:color w:val="0070C0"/>
        </w:rPr>
        <w:t>itted to relevant inte</w:t>
      </w:r>
      <w:r w:rsidR="0013722D" w:rsidRPr="001C6C9F">
        <w:rPr>
          <w:rFonts w:ascii="Cambria" w:hAnsi="Cambria" w:cstheme="minorHAnsi"/>
          <w:b/>
          <w:color w:val="0070C0"/>
        </w:rPr>
        <w:t>rn</w:t>
      </w:r>
      <w:r w:rsidRPr="001C6C9F">
        <w:rPr>
          <w:rFonts w:ascii="Cambria" w:hAnsi="Cambria" w:cstheme="minorHAnsi"/>
          <w:b/>
          <w:color w:val="0070C0"/>
        </w:rPr>
        <w:t xml:space="preserve">ational treaty bodies and the Universal Periodic Review, and national voluntary reviews conducted through the high-level </w:t>
      </w:r>
      <w:r w:rsidR="0013722D" w:rsidRPr="001C6C9F">
        <w:rPr>
          <w:rFonts w:ascii="Cambria" w:hAnsi="Cambria" w:cstheme="minorHAnsi"/>
          <w:b/>
          <w:color w:val="0070C0"/>
        </w:rPr>
        <w:t>political</w:t>
      </w:r>
      <w:r w:rsidRPr="001C6C9F">
        <w:rPr>
          <w:rFonts w:ascii="Cambria" w:hAnsi="Cambria" w:cstheme="minorHAnsi"/>
          <w:b/>
          <w:color w:val="0070C0"/>
        </w:rPr>
        <w:t xml:space="preserve"> forum </w:t>
      </w:r>
      <w:r w:rsidR="000C76E8" w:rsidRPr="001C6C9F">
        <w:rPr>
          <w:rFonts w:ascii="Cambria" w:hAnsi="Cambria" w:cstheme="minorHAnsi"/>
          <w:b/>
          <w:color w:val="0070C0"/>
        </w:rPr>
        <w:t xml:space="preserve">on </w:t>
      </w:r>
      <w:r w:rsidRPr="001C6C9F">
        <w:rPr>
          <w:rFonts w:ascii="Cambria" w:hAnsi="Cambria" w:cstheme="minorHAnsi"/>
          <w:b/>
          <w:color w:val="0070C0"/>
        </w:rPr>
        <w:t xml:space="preserve">sustainable </w:t>
      </w:r>
      <w:r w:rsidR="0013722D" w:rsidRPr="001C6C9F">
        <w:rPr>
          <w:rFonts w:ascii="Cambria" w:hAnsi="Cambria" w:cstheme="minorHAnsi"/>
          <w:b/>
          <w:color w:val="0070C0"/>
        </w:rPr>
        <w:t>development</w:t>
      </w:r>
      <w:r w:rsidRPr="001C6C9F">
        <w:rPr>
          <w:rFonts w:ascii="Cambria" w:hAnsi="Cambria" w:cstheme="minorHAnsi"/>
          <w:b/>
          <w:color w:val="0070C0"/>
        </w:rPr>
        <w:t>?</w:t>
      </w:r>
    </w:p>
    <w:p w14:paraId="0707E9C7" w14:textId="5BB78233" w:rsidR="00312F46" w:rsidRDefault="00312F46" w:rsidP="00312F46">
      <w:pPr>
        <w:spacing w:line="276" w:lineRule="auto"/>
        <w:jc w:val="both"/>
        <w:rPr>
          <w:rFonts w:ascii="Cambria" w:hAnsi="Cambria" w:cstheme="minorHAnsi"/>
          <w:b/>
          <w:color w:val="0070C0"/>
        </w:rPr>
      </w:pPr>
    </w:p>
    <w:p w14:paraId="2A0AC747" w14:textId="1E0FAE90" w:rsidR="00101BC0" w:rsidRPr="00101BC0" w:rsidRDefault="00101BC0" w:rsidP="00312F46">
      <w:pPr>
        <w:spacing w:line="276" w:lineRule="auto"/>
        <w:jc w:val="both"/>
        <w:rPr>
          <w:rFonts w:ascii="Cambria" w:hAnsi="Cambria" w:cstheme="minorHAnsi"/>
          <w:bCs/>
        </w:rPr>
      </w:pPr>
      <w:r w:rsidRPr="00101BC0">
        <w:rPr>
          <w:rFonts w:ascii="Cambria" w:hAnsi="Cambria" w:cstheme="minorHAnsi"/>
          <w:bCs/>
        </w:rPr>
        <w:t>N/A</w:t>
      </w:r>
    </w:p>
    <w:p w14:paraId="5F3B04EB" w14:textId="77777777" w:rsidR="00101BC0" w:rsidRPr="001C6C9F" w:rsidRDefault="00101BC0" w:rsidP="00312F46">
      <w:pPr>
        <w:spacing w:line="276" w:lineRule="auto"/>
        <w:jc w:val="both"/>
        <w:rPr>
          <w:rFonts w:ascii="Cambria" w:hAnsi="Cambria" w:cstheme="minorHAnsi"/>
          <w:b/>
          <w:color w:val="0070C0"/>
        </w:rPr>
      </w:pPr>
    </w:p>
    <w:p w14:paraId="55A03AF4" w14:textId="77777777" w:rsidR="00312F46" w:rsidRPr="001C6C9F" w:rsidRDefault="000C76E8" w:rsidP="000C76E8">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Please</w:t>
      </w:r>
      <w:r w:rsidR="00312F46" w:rsidRPr="001C6C9F">
        <w:rPr>
          <w:rFonts w:ascii="Cambria" w:hAnsi="Cambria" w:cstheme="minorHAnsi"/>
          <w:b/>
          <w:color w:val="0070C0"/>
        </w:rPr>
        <w:t xml:space="preserve"> shar</w:t>
      </w:r>
      <w:r w:rsidRPr="001C6C9F">
        <w:rPr>
          <w:rFonts w:ascii="Cambria" w:hAnsi="Cambria" w:cstheme="minorHAnsi"/>
          <w:b/>
          <w:color w:val="0070C0"/>
        </w:rPr>
        <w:t>e</w:t>
      </w:r>
      <w:r w:rsidR="00312F46" w:rsidRPr="001C6C9F">
        <w:rPr>
          <w:rFonts w:ascii="Cambria" w:hAnsi="Cambria" w:cstheme="minorHAnsi"/>
          <w:b/>
          <w:color w:val="0070C0"/>
        </w:rPr>
        <w:t xml:space="preserve"> data and </w:t>
      </w:r>
      <w:r w:rsidRPr="001C6C9F">
        <w:rPr>
          <w:rFonts w:ascii="Cambria" w:hAnsi="Cambria" w:cstheme="minorHAnsi"/>
          <w:b/>
          <w:color w:val="0070C0"/>
        </w:rPr>
        <w:t>evidence</w:t>
      </w:r>
      <w:r w:rsidR="00312F46" w:rsidRPr="001C6C9F">
        <w:rPr>
          <w:rFonts w:ascii="Cambria" w:hAnsi="Cambria" w:cstheme="minorHAnsi"/>
          <w:b/>
          <w:color w:val="0070C0"/>
        </w:rPr>
        <w:t xml:space="preserve"> on the impact </w:t>
      </w:r>
      <w:r w:rsidRPr="001C6C9F">
        <w:rPr>
          <w:rFonts w:ascii="Cambria" w:hAnsi="Cambria" w:cstheme="minorHAnsi"/>
          <w:b/>
          <w:color w:val="0070C0"/>
        </w:rPr>
        <w:t>o</w:t>
      </w:r>
      <w:r w:rsidR="00312F46" w:rsidRPr="001C6C9F">
        <w:rPr>
          <w:rFonts w:ascii="Cambria" w:hAnsi="Cambria" w:cstheme="minorHAnsi"/>
          <w:b/>
          <w:color w:val="0070C0"/>
        </w:rPr>
        <w:t>f the C</w:t>
      </w:r>
      <w:r w:rsidRPr="001C6C9F">
        <w:rPr>
          <w:rFonts w:ascii="Cambria" w:hAnsi="Cambria" w:cstheme="minorHAnsi"/>
          <w:b/>
          <w:color w:val="0070C0"/>
        </w:rPr>
        <w:t>OVID 19</w:t>
      </w:r>
      <w:r w:rsidR="00312F46" w:rsidRPr="001C6C9F">
        <w:rPr>
          <w:rFonts w:ascii="Cambria" w:hAnsi="Cambria" w:cstheme="minorHAnsi"/>
          <w:b/>
          <w:color w:val="0070C0"/>
        </w:rPr>
        <w:t xml:space="preserve"> pandemic on the trend of child, ea</w:t>
      </w:r>
      <w:r w:rsidRPr="001C6C9F">
        <w:rPr>
          <w:rFonts w:ascii="Cambria" w:hAnsi="Cambria" w:cstheme="minorHAnsi"/>
          <w:b/>
          <w:color w:val="0070C0"/>
        </w:rPr>
        <w:t>rl</w:t>
      </w:r>
      <w:r w:rsidR="00312F46" w:rsidRPr="001C6C9F">
        <w:rPr>
          <w:rFonts w:ascii="Cambria" w:hAnsi="Cambria" w:cstheme="minorHAnsi"/>
          <w:b/>
          <w:color w:val="0070C0"/>
        </w:rPr>
        <w:t xml:space="preserve">y and forced </w:t>
      </w:r>
      <w:r w:rsidRPr="001C6C9F">
        <w:rPr>
          <w:rFonts w:ascii="Cambria" w:hAnsi="Cambria" w:cstheme="minorHAnsi"/>
          <w:b/>
          <w:color w:val="0070C0"/>
        </w:rPr>
        <w:t>marriage</w:t>
      </w:r>
      <w:r w:rsidR="00312F46" w:rsidRPr="001C6C9F">
        <w:rPr>
          <w:rFonts w:ascii="Cambria" w:hAnsi="Cambria" w:cstheme="minorHAnsi"/>
          <w:b/>
          <w:color w:val="0070C0"/>
        </w:rPr>
        <w:t xml:space="preserve">. </w:t>
      </w:r>
    </w:p>
    <w:p w14:paraId="7F027D4D" w14:textId="5AA887FA" w:rsidR="000C76E8" w:rsidRDefault="000C76E8" w:rsidP="00312F46">
      <w:pPr>
        <w:spacing w:line="276" w:lineRule="auto"/>
        <w:jc w:val="both"/>
        <w:rPr>
          <w:rFonts w:ascii="Cambria" w:hAnsi="Cambria" w:cstheme="minorHAnsi"/>
          <w:b/>
          <w:color w:val="0070C0"/>
        </w:rPr>
      </w:pPr>
    </w:p>
    <w:p w14:paraId="0E756E78" w14:textId="217385FC" w:rsidR="00101BC0" w:rsidRPr="00101BC0" w:rsidRDefault="00101BC0" w:rsidP="00312F46">
      <w:pPr>
        <w:spacing w:line="276" w:lineRule="auto"/>
        <w:jc w:val="both"/>
        <w:rPr>
          <w:rFonts w:ascii="Cambria" w:hAnsi="Cambria" w:cstheme="minorHAnsi"/>
          <w:bCs/>
        </w:rPr>
      </w:pPr>
      <w:r w:rsidRPr="00101BC0">
        <w:rPr>
          <w:rFonts w:ascii="Cambria" w:hAnsi="Cambria" w:cstheme="minorHAnsi"/>
          <w:bCs/>
        </w:rPr>
        <w:t>N/A</w:t>
      </w:r>
    </w:p>
    <w:p w14:paraId="23C61C20" w14:textId="77777777" w:rsidR="00101BC0" w:rsidRPr="001C6C9F" w:rsidRDefault="00101BC0" w:rsidP="00312F46">
      <w:pPr>
        <w:spacing w:line="276" w:lineRule="auto"/>
        <w:jc w:val="both"/>
        <w:rPr>
          <w:rFonts w:ascii="Cambria" w:hAnsi="Cambria" w:cstheme="minorHAnsi"/>
          <w:b/>
          <w:color w:val="0070C0"/>
        </w:rPr>
      </w:pPr>
    </w:p>
    <w:p w14:paraId="1D8DEAEF" w14:textId="77777777" w:rsidR="00312F46" w:rsidRDefault="00312F46" w:rsidP="000C76E8">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 xml:space="preserve">What </w:t>
      </w:r>
      <w:r w:rsidR="000C76E8" w:rsidRPr="001C6C9F">
        <w:rPr>
          <w:rFonts w:ascii="Cambria" w:hAnsi="Cambria" w:cstheme="minorHAnsi"/>
          <w:b/>
          <w:color w:val="0070C0"/>
        </w:rPr>
        <w:t>m</w:t>
      </w:r>
      <w:r w:rsidRPr="001C6C9F">
        <w:rPr>
          <w:rFonts w:ascii="Cambria" w:hAnsi="Cambria" w:cstheme="minorHAnsi"/>
          <w:b/>
          <w:color w:val="0070C0"/>
        </w:rPr>
        <w:t xml:space="preserve">easures are taken to </w:t>
      </w:r>
      <w:r w:rsidR="000C76E8" w:rsidRPr="001C6C9F">
        <w:rPr>
          <w:rFonts w:ascii="Cambria" w:hAnsi="Cambria" w:cstheme="minorHAnsi"/>
          <w:b/>
          <w:color w:val="0070C0"/>
        </w:rPr>
        <w:t>mitigate</w:t>
      </w:r>
      <w:r w:rsidRPr="001C6C9F">
        <w:rPr>
          <w:rFonts w:ascii="Cambria" w:hAnsi="Cambria" w:cstheme="minorHAnsi"/>
          <w:b/>
          <w:color w:val="0070C0"/>
        </w:rPr>
        <w:t xml:space="preserve"> the impact of COV</w:t>
      </w:r>
      <w:r w:rsidR="000C76E8" w:rsidRPr="001C6C9F">
        <w:rPr>
          <w:rFonts w:ascii="Cambria" w:hAnsi="Cambria" w:cstheme="minorHAnsi"/>
          <w:b/>
          <w:color w:val="0070C0"/>
        </w:rPr>
        <w:t>I</w:t>
      </w:r>
      <w:r w:rsidRPr="001C6C9F">
        <w:rPr>
          <w:rFonts w:ascii="Cambria" w:hAnsi="Cambria" w:cstheme="minorHAnsi"/>
          <w:b/>
          <w:color w:val="0070C0"/>
        </w:rPr>
        <w:t xml:space="preserve">D-19 on girls and women </w:t>
      </w:r>
      <w:r w:rsidR="000C76E8" w:rsidRPr="001C6C9F">
        <w:rPr>
          <w:rFonts w:ascii="Cambria" w:hAnsi="Cambria" w:cstheme="minorHAnsi"/>
          <w:b/>
          <w:color w:val="0070C0"/>
        </w:rPr>
        <w:t>survivors</w:t>
      </w:r>
      <w:r w:rsidRPr="001C6C9F">
        <w:rPr>
          <w:rFonts w:ascii="Cambria" w:hAnsi="Cambria" w:cstheme="minorHAnsi"/>
          <w:b/>
          <w:color w:val="0070C0"/>
        </w:rPr>
        <w:t xml:space="preserve"> of CEFM and at risk? For instance, have you continued or enhanced provision of protection and support services for survivors of gender-based violence, and adapted essential health-care services, </w:t>
      </w:r>
      <w:r w:rsidR="000C76E8" w:rsidRPr="001C6C9F">
        <w:rPr>
          <w:rFonts w:ascii="Cambria" w:hAnsi="Cambria" w:cstheme="minorHAnsi"/>
          <w:b/>
          <w:color w:val="0070C0"/>
        </w:rPr>
        <w:t>including</w:t>
      </w:r>
      <w:r w:rsidRPr="001C6C9F">
        <w:rPr>
          <w:rFonts w:ascii="Cambria" w:hAnsi="Cambria" w:cstheme="minorHAnsi"/>
          <w:b/>
          <w:color w:val="0070C0"/>
        </w:rPr>
        <w:t xml:space="preserve"> sexual and </w:t>
      </w:r>
      <w:r w:rsidR="000C76E8" w:rsidRPr="001C6C9F">
        <w:rPr>
          <w:rFonts w:ascii="Cambria" w:hAnsi="Cambria" w:cstheme="minorHAnsi"/>
          <w:b/>
          <w:color w:val="0070C0"/>
        </w:rPr>
        <w:t>reproductive</w:t>
      </w:r>
      <w:r w:rsidRPr="001C6C9F">
        <w:rPr>
          <w:rFonts w:ascii="Cambria" w:hAnsi="Cambria" w:cstheme="minorHAnsi"/>
          <w:b/>
          <w:color w:val="0070C0"/>
        </w:rPr>
        <w:t xml:space="preserve"> </w:t>
      </w:r>
      <w:r w:rsidR="000C76E8" w:rsidRPr="001C6C9F">
        <w:rPr>
          <w:rFonts w:ascii="Cambria" w:hAnsi="Cambria" w:cstheme="minorHAnsi"/>
          <w:b/>
          <w:color w:val="0070C0"/>
        </w:rPr>
        <w:t>health</w:t>
      </w:r>
      <w:r w:rsidRPr="001C6C9F">
        <w:rPr>
          <w:rFonts w:ascii="Cambria" w:hAnsi="Cambria" w:cstheme="minorHAnsi"/>
          <w:b/>
          <w:color w:val="0070C0"/>
        </w:rPr>
        <w:t>-care services?</w:t>
      </w:r>
    </w:p>
    <w:p w14:paraId="24905318" w14:textId="77777777" w:rsidR="007D0B6E" w:rsidRDefault="007D0B6E" w:rsidP="007D0B6E">
      <w:pPr>
        <w:autoSpaceDE w:val="0"/>
        <w:autoSpaceDN w:val="0"/>
        <w:adjustRightInd w:val="0"/>
        <w:spacing w:line="360" w:lineRule="auto"/>
        <w:jc w:val="both"/>
        <w:rPr>
          <w:rFonts w:ascii="Cambria" w:hAnsi="Cambria" w:cs="Arial-ItalicMT"/>
          <w:lang w:val="en-US"/>
        </w:rPr>
      </w:pPr>
    </w:p>
    <w:p w14:paraId="687AA551" w14:textId="0A7F90B0" w:rsidR="00461978" w:rsidRPr="007D0B6E" w:rsidRDefault="00101BC0" w:rsidP="007D0B6E">
      <w:pPr>
        <w:autoSpaceDE w:val="0"/>
        <w:autoSpaceDN w:val="0"/>
        <w:adjustRightInd w:val="0"/>
        <w:spacing w:line="360" w:lineRule="auto"/>
        <w:jc w:val="both"/>
        <w:rPr>
          <w:rFonts w:ascii="Cambria" w:hAnsi="Cambria" w:cs="Arial-ItalicMT"/>
          <w:lang w:val="en-US"/>
        </w:rPr>
      </w:pPr>
      <w:r>
        <w:rPr>
          <w:rFonts w:ascii="Cambria" w:hAnsi="Cambria" w:cs="Arial-ItalicMT"/>
          <w:lang w:val="en-US"/>
        </w:rPr>
        <w:t>During COVID-19, t</w:t>
      </w:r>
      <w:r w:rsidR="00461978" w:rsidRPr="007D0B6E">
        <w:rPr>
          <w:rFonts w:ascii="Cambria" w:hAnsi="Cambria" w:cs="Arial-ItalicMT"/>
          <w:lang w:val="en-US"/>
        </w:rPr>
        <w:t>he GNR has prioritiz</w:t>
      </w:r>
      <w:r>
        <w:rPr>
          <w:rFonts w:ascii="Cambria" w:hAnsi="Cambria" w:cs="Arial-ItalicMT"/>
          <w:lang w:val="en-US"/>
        </w:rPr>
        <w:t>ed</w:t>
      </w:r>
      <w:r w:rsidR="00461978" w:rsidRPr="007D0B6E">
        <w:rPr>
          <w:rFonts w:ascii="Cambria" w:hAnsi="Cambria" w:cs="Arial-ItalicMT"/>
          <w:lang w:val="en-US"/>
        </w:rPr>
        <w:t xml:space="preserve"> digital contact with school communit</w:t>
      </w:r>
      <w:r>
        <w:rPr>
          <w:rFonts w:ascii="Cambria" w:hAnsi="Cambria" w:cs="Arial-ItalicMT"/>
          <w:lang w:val="en-US"/>
        </w:rPr>
        <w:t>ies</w:t>
      </w:r>
      <w:r w:rsidR="00461978" w:rsidRPr="007D0B6E">
        <w:rPr>
          <w:rFonts w:ascii="Cambria" w:hAnsi="Cambria" w:cs="Arial-ItalicMT"/>
          <w:lang w:val="en-US"/>
        </w:rPr>
        <w:t xml:space="preserve"> as well as with social support entities.</w:t>
      </w:r>
    </w:p>
    <w:p w14:paraId="4425141B" w14:textId="77777777" w:rsidR="00312F46" w:rsidRPr="001C6C9F" w:rsidRDefault="00312F46" w:rsidP="00312F46">
      <w:pPr>
        <w:spacing w:line="276" w:lineRule="auto"/>
        <w:jc w:val="both"/>
        <w:rPr>
          <w:rFonts w:ascii="Cambria" w:hAnsi="Cambria" w:cstheme="minorHAnsi"/>
          <w:b/>
          <w:color w:val="0070C0"/>
        </w:rPr>
      </w:pPr>
    </w:p>
    <w:p w14:paraId="5D811710" w14:textId="77777777" w:rsidR="000C76E8" w:rsidRPr="001C6C9F" w:rsidRDefault="000C76E8" w:rsidP="000C76E8">
      <w:pPr>
        <w:pStyle w:val="ListParagraph"/>
        <w:numPr>
          <w:ilvl w:val="0"/>
          <w:numId w:val="10"/>
        </w:numPr>
        <w:spacing w:line="276" w:lineRule="auto"/>
        <w:jc w:val="both"/>
        <w:rPr>
          <w:rFonts w:ascii="Cambria" w:hAnsi="Cambria" w:cstheme="minorHAnsi"/>
          <w:b/>
          <w:color w:val="0070C0"/>
        </w:rPr>
      </w:pPr>
      <w:r w:rsidRPr="001C6C9F">
        <w:rPr>
          <w:rFonts w:ascii="Cambria" w:hAnsi="Cambria" w:cstheme="minorHAnsi"/>
          <w:b/>
          <w:color w:val="0070C0"/>
        </w:rPr>
        <w:t>A report to the Human Rights Council on progress, gaps and challenges in addressing CEFM and measures to ensure accountability.</w:t>
      </w:r>
    </w:p>
    <w:p w14:paraId="3C5EB70D" w14:textId="77777777" w:rsidR="000C76E8" w:rsidRPr="001C6C9F" w:rsidRDefault="000C76E8" w:rsidP="000C76E8">
      <w:pPr>
        <w:spacing w:line="276" w:lineRule="auto"/>
        <w:jc w:val="both"/>
        <w:rPr>
          <w:rFonts w:ascii="Cambria" w:hAnsi="Cambria" w:cstheme="minorHAnsi"/>
          <w:b/>
          <w:color w:val="0070C0"/>
        </w:rPr>
      </w:pPr>
    </w:p>
    <w:p w14:paraId="18A13954" w14:textId="77777777" w:rsidR="000C76E8" w:rsidRPr="001C6C9F" w:rsidRDefault="000C76E8" w:rsidP="000C76E8">
      <w:pPr>
        <w:spacing w:line="276" w:lineRule="auto"/>
        <w:jc w:val="both"/>
        <w:rPr>
          <w:rFonts w:ascii="Cambria" w:hAnsi="Cambria" w:cstheme="minorHAnsi"/>
          <w:b/>
          <w:color w:val="0070C0"/>
        </w:rPr>
      </w:pPr>
      <w:r w:rsidRPr="001C6C9F">
        <w:rPr>
          <w:rFonts w:ascii="Cambria" w:hAnsi="Cambria" w:cstheme="minorHAnsi"/>
          <w:b/>
          <w:color w:val="0070C0"/>
        </w:rPr>
        <w:t xml:space="preserve">The </w:t>
      </w:r>
      <w:r w:rsidR="00093BFC" w:rsidRPr="001C6C9F">
        <w:rPr>
          <w:rFonts w:ascii="Cambria" w:hAnsi="Cambria" w:cstheme="minorHAnsi"/>
          <w:b/>
          <w:color w:val="0070C0"/>
        </w:rPr>
        <w:t>H</w:t>
      </w:r>
      <w:r w:rsidRPr="001C6C9F">
        <w:rPr>
          <w:rFonts w:ascii="Cambria" w:hAnsi="Cambria" w:cstheme="minorHAnsi"/>
          <w:b/>
          <w:color w:val="0070C0"/>
        </w:rPr>
        <w:t>uman Rig</w:t>
      </w:r>
      <w:r w:rsidR="00093BFC" w:rsidRPr="001C6C9F">
        <w:rPr>
          <w:rFonts w:ascii="Cambria" w:hAnsi="Cambria" w:cstheme="minorHAnsi"/>
          <w:b/>
          <w:color w:val="0070C0"/>
        </w:rPr>
        <w:t>hts</w:t>
      </w:r>
      <w:r w:rsidRPr="001C6C9F">
        <w:rPr>
          <w:rFonts w:ascii="Cambria" w:hAnsi="Cambria" w:cstheme="minorHAnsi"/>
          <w:b/>
          <w:color w:val="0070C0"/>
        </w:rPr>
        <w:t xml:space="preserve"> </w:t>
      </w:r>
      <w:r w:rsidR="00093BFC" w:rsidRPr="001C6C9F">
        <w:rPr>
          <w:rFonts w:ascii="Cambria" w:hAnsi="Cambria" w:cstheme="minorHAnsi"/>
          <w:b/>
          <w:color w:val="0070C0"/>
        </w:rPr>
        <w:t>Council</w:t>
      </w:r>
      <w:r w:rsidRPr="001C6C9F">
        <w:rPr>
          <w:rFonts w:ascii="Cambria" w:hAnsi="Cambria" w:cstheme="minorHAnsi"/>
          <w:b/>
          <w:color w:val="0070C0"/>
        </w:rPr>
        <w:t xml:space="preserve"> resolution 41/8 requests </w:t>
      </w:r>
      <w:r w:rsidR="00093BFC" w:rsidRPr="001C6C9F">
        <w:rPr>
          <w:rFonts w:ascii="Cambria" w:hAnsi="Cambria" w:cstheme="minorHAnsi"/>
          <w:b/>
          <w:color w:val="0070C0"/>
        </w:rPr>
        <w:t>the</w:t>
      </w:r>
      <w:r w:rsidRPr="001C6C9F">
        <w:rPr>
          <w:rFonts w:ascii="Cambria" w:hAnsi="Cambria" w:cstheme="minorHAnsi"/>
          <w:b/>
          <w:color w:val="0070C0"/>
        </w:rPr>
        <w:t xml:space="preserve"> </w:t>
      </w:r>
      <w:r w:rsidR="00093BFC" w:rsidRPr="001C6C9F">
        <w:rPr>
          <w:rFonts w:ascii="Cambria" w:hAnsi="Cambria" w:cstheme="minorHAnsi"/>
          <w:b/>
          <w:color w:val="0070C0"/>
        </w:rPr>
        <w:t>United</w:t>
      </w:r>
      <w:r w:rsidRPr="001C6C9F">
        <w:rPr>
          <w:rFonts w:ascii="Cambria" w:hAnsi="Cambria" w:cstheme="minorHAnsi"/>
          <w:b/>
          <w:color w:val="0070C0"/>
        </w:rPr>
        <w:t xml:space="preserve"> Nations High </w:t>
      </w:r>
      <w:r w:rsidR="00093BFC" w:rsidRPr="001C6C9F">
        <w:rPr>
          <w:rFonts w:ascii="Cambria" w:hAnsi="Cambria" w:cstheme="minorHAnsi"/>
          <w:b/>
          <w:color w:val="0070C0"/>
        </w:rPr>
        <w:t>Commissioner</w:t>
      </w:r>
      <w:r w:rsidRPr="001C6C9F">
        <w:rPr>
          <w:rFonts w:ascii="Cambria" w:hAnsi="Cambria" w:cstheme="minorHAnsi"/>
          <w:b/>
          <w:color w:val="0070C0"/>
        </w:rPr>
        <w:t xml:space="preserve"> for Human Rights to sub</w:t>
      </w:r>
      <w:r w:rsidR="00093BFC" w:rsidRPr="001C6C9F">
        <w:rPr>
          <w:rFonts w:ascii="Cambria" w:hAnsi="Cambria" w:cstheme="minorHAnsi"/>
          <w:b/>
          <w:color w:val="0070C0"/>
        </w:rPr>
        <w:t>m</w:t>
      </w:r>
      <w:r w:rsidRPr="001C6C9F">
        <w:rPr>
          <w:rFonts w:ascii="Cambria" w:hAnsi="Cambria" w:cstheme="minorHAnsi"/>
          <w:b/>
          <w:color w:val="0070C0"/>
        </w:rPr>
        <w:t xml:space="preserve">it a </w:t>
      </w:r>
      <w:r w:rsidR="00093BFC" w:rsidRPr="001C6C9F">
        <w:rPr>
          <w:rFonts w:ascii="Cambria" w:hAnsi="Cambria" w:cstheme="minorHAnsi"/>
          <w:b/>
          <w:color w:val="0070C0"/>
        </w:rPr>
        <w:t>“</w:t>
      </w:r>
      <w:r w:rsidRPr="001C6C9F">
        <w:rPr>
          <w:rFonts w:ascii="Cambria" w:hAnsi="Cambria" w:cstheme="minorHAnsi"/>
          <w:b/>
          <w:color w:val="0070C0"/>
        </w:rPr>
        <w:t xml:space="preserve">written report, </w:t>
      </w:r>
      <w:r w:rsidR="00093BFC" w:rsidRPr="001C6C9F">
        <w:rPr>
          <w:rFonts w:ascii="Cambria" w:hAnsi="Cambria" w:cstheme="minorHAnsi"/>
          <w:b/>
          <w:color w:val="0070C0"/>
        </w:rPr>
        <w:t>with</w:t>
      </w:r>
      <w:r w:rsidRPr="001C6C9F">
        <w:rPr>
          <w:rFonts w:ascii="Cambria" w:hAnsi="Cambria" w:cstheme="minorHAnsi"/>
          <w:b/>
          <w:color w:val="0070C0"/>
        </w:rPr>
        <w:t xml:space="preserve"> input from all releva</w:t>
      </w:r>
      <w:r w:rsidR="00093BFC" w:rsidRPr="001C6C9F">
        <w:rPr>
          <w:rFonts w:ascii="Cambria" w:hAnsi="Cambria" w:cstheme="minorHAnsi"/>
          <w:b/>
          <w:color w:val="0070C0"/>
        </w:rPr>
        <w:t>nt</w:t>
      </w:r>
      <w:r w:rsidRPr="001C6C9F">
        <w:rPr>
          <w:rFonts w:ascii="Cambria" w:hAnsi="Cambria" w:cstheme="minorHAnsi"/>
          <w:b/>
          <w:color w:val="0070C0"/>
        </w:rPr>
        <w:t xml:space="preserve"> stakeholders, on progress, gap</w:t>
      </w:r>
      <w:r w:rsidR="00093BFC" w:rsidRPr="001C6C9F">
        <w:rPr>
          <w:rFonts w:ascii="Cambria" w:hAnsi="Cambria" w:cstheme="minorHAnsi"/>
          <w:b/>
          <w:color w:val="0070C0"/>
        </w:rPr>
        <w:t>s</w:t>
      </w:r>
      <w:r w:rsidRPr="001C6C9F">
        <w:rPr>
          <w:rFonts w:ascii="Cambria" w:hAnsi="Cambria" w:cstheme="minorHAnsi"/>
          <w:b/>
          <w:color w:val="0070C0"/>
        </w:rPr>
        <w:t xml:space="preserve"> and </w:t>
      </w:r>
      <w:r w:rsidR="00093BFC" w:rsidRPr="001C6C9F">
        <w:rPr>
          <w:rFonts w:ascii="Cambria" w:hAnsi="Cambria" w:cstheme="minorHAnsi"/>
          <w:b/>
          <w:color w:val="0070C0"/>
        </w:rPr>
        <w:t>challenges</w:t>
      </w:r>
      <w:r w:rsidRPr="001C6C9F">
        <w:rPr>
          <w:rFonts w:ascii="Cambria" w:hAnsi="Cambria" w:cstheme="minorHAnsi"/>
          <w:b/>
          <w:color w:val="0070C0"/>
        </w:rPr>
        <w:t xml:space="preserve"> ln addressing </w:t>
      </w:r>
      <w:r w:rsidR="00AD6A17" w:rsidRPr="001C6C9F">
        <w:rPr>
          <w:rFonts w:ascii="Cambria" w:hAnsi="Cambria" w:cstheme="minorHAnsi"/>
          <w:b/>
          <w:color w:val="0070C0"/>
        </w:rPr>
        <w:t>c</w:t>
      </w:r>
      <w:r w:rsidRPr="001C6C9F">
        <w:rPr>
          <w:rFonts w:ascii="Cambria" w:hAnsi="Cambria" w:cstheme="minorHAnsi"/>
          <w:b/>
          <w:color w:val="0070C0"/>
        </w:rPr>
        <w:t xml:space="preserve">hild, early and forced marriage, and measures to ensure </w:t>
      </w:r>
      <w:r w:rsidR="00AD6A17" w:rsidRPr="001C6C9F">
        <w:rPr>
          <w:rFonts w:ascii="Cambria" w:hAnsi="Cambria" w:cstheme="minorHAnsi"/>
          <w:b/>
          <w:color w:val="0070C0"/>
        </w:rPr>
        <w:t>accountability</w:t>
      </w:r>
      <w:r w:rsidRPr="001C6C9F">
        <w:rPr>
          <w:rFonts w:ascii="Cambria" w:hAnsi="Cambria" w:cstheme="minorHAnsi"/>
          <w:b/>
          <w:color w:val="0070C0"/>
        </w:rPr>
        <w:t xml:space="preserve"> a</w:t>
      </w:r>
      <w:r w:rsidR="00C01D3C" w:rsidRPr="001C6C9F">
        <w:rPr>
          <w:rFonts w:ascii="Cambria" w:hAnsi="Cambria" w:cstheme="minorHAnsi"/>
          <w:b/>
          <w:color w:val="0070C0"/>
        </w:rPr>
        <w:t>t</w:t>
      </w:r>
      <w:r w:rsidRPr="001C6C9F">
        <w:rPr>
          <w:rFonts w:ascii="Cambria" w:hAnsi="Cambria" w:cstheme="minorHAnsi"/>
          <w:b/>
          <w:color w:val="0070C0"/>
        </w:rPr>
        <w:t xml:space="preserve"> the community and national </w:t>
      </w:r>
      <w:r w:rsidR="003C2A6A" w:rsidRPr="001C6C9F">
        <w:rPr>
          <w:rFonts w:ascii="Cambria" w:hAnsi="Cambria" w:cstheme="minorHAnsi"/>
          <w:b/>
          <w:color w:val="0070C0"/>
        </w:rPr>
        <w:t>levels</w:t>
      </w:r>
      <w:r w:rsidRPr="001C6C9F">
        <w:rPr>
          <w:rFonts w:ascii="Cambria" w:hAnsi="Cambria" w:cstheme="minorHAnsi"/>
          <w:b/>
          <w:color w:val="0070C0"/>
        </w:rPr>
        <w:t>, including for women and girls a</w:t>
      </w:r>
      <w:r w:rsidR="00C01D3C" w:rsidRPr="001C6C9F">
        <w:rPr>
          <w:rFonts w:ascii="Cambria" w:hAnsi="Cambria" w:cstheme="minorHAnsi"/>
          <w:b/>
          <w:color w:val="0070C0"/>
        </w:rPr>
        <w:t>t</w:t>
      </w:r>
      <w:r w:rsidRPr="001C6C9F">
        <w:rPr>
          <w:rFonts w:ascii="Cambria" w:hAnsi="Cambria" w:cstheme="minorHAnsi"/>
          <w:b/>
          <w:color w:val="0070C0"/>
        </w:rPr>
        <w:t xml:space="preserve"> risk </w:t>
      </w:r>
      <w:r w:rsidR="00C01D3C" w:rsidRPr="001C6C9F">
        <w:rPr>
          <w:rFonts w:ascii="Cambria" w:hAnsi="Cambria" w:cstheme="minorHAnsi"/>
          <w:b/>
          <w:color w:val="0070C0"/>
        </w:rPr>
        <w:t>o</w:t>
      </w:r>
      <w:r w:rsidRPr="001C6C9F">
        <w:rPr>
          <w:rFonts w:ascii="Cambria" w:hAnsi="Cambria" w:cstheme="minorHAnsi"/>
          <w:b/>
          <w:color w:val="0070C0"/>
        </w:rPr>
        <w:t>f and thos</w:t>
      </w:r>
      <w:r w:rsidR="00C01D3C" w:rsidRPr="001C6C9F">
        <w:rPr>
          <w:rFonts w:ascii="Cambria" w:hAnsi="Cambria" w:cstheme="minorHAnsi"/>
          <w:b/>
          <w:color w:val="0070C0"/>
        </w:rPr>
        <w:t>e</w:t>
      </w:r>
      <w:r w:rsidRPr="001C6C9F">
        <w:rPr>
          <w:rFonts w:ascii="Cambria" w:hAnsi="Cambria" w:cstheme="minorHAnsi"/>
          <w:b/>
          <w:color w:val="0070C0"/>
        </w:rPr>
        <w:t xml:space="preserve"> </w:t>
      </w:r>
      <w:r w:rsidR="00C01D3C" w:rsidRPr="001C6C9F">
        <w:rPr>
          <w:rFonts w:ascii="Cambria" w:hAnsi="Cambria" w:cstheme="minorHAnsi"/>
          <w:b/>
          <w:color w:val="0070C0"/>
        </w:rPr>
        <w:t>subjected</w:t>
      </w:r>
      <w:r w:rsidRPr="001C6C9F">
        <w:rPr>
          <w:rFonts w:ascii="Cambria" w:hAnsi="Cambria" w:cstheme="minorHAnsi"/>
          <w:b/>
          <w:color w:val="0070C0"/>
        </w:rPr>
        <w:t xml:space="preserve"> to this harmful practice."</w:t>
      </w:r>
    </w:p>
    <w:p w14:paraId="7C21098E" w14:textId="77777777" w:rsidR="00093BFC" w:rsidRPr="001C6C9F" w:rsidRDefault="00093BFC" w:rsidP="000C76E8">
      <w:pPr>
        <w:spacing w:line="276" w:lineRule="auto"/>
        <w:jc w:val="both"/>
        <w:rPr>
          <w:rFonts w:ascii="Cambria" w:hAnsi="Cambria" w:cstheme="minorHAnsi"/>
          <w:b/>
          <w:color w:val="0070C0"/>
        </w:rPr>
      </w:pPr>
    </w:p>
    <w:p w14:paraId="1A7875B7" w14:textId="77777777" w:rsidR="000C76E8" w:rsidRPr="001C6C9F" w:rsidRDefault="000C76E8" w:rsidP="000C76E8">
      <w:pPr>
        <w:spacing w:line="276" w:lineRule="auto"/>
        <w:jc w:val="both"/>
        <w:rPr>
          <w:rFonts w:ascii="Cambria" w:hAnsi="Cambria" w:cstheme="minorHAnsi"/>
          <w:b/>
          <w:color w:val="0070C0"/>
        </w:rPr>
      </w:pPr>
      <w:r w:rsidRPr="001C6C9F">
        <w:rPr>
          <w:rFonts w:ascii="Cambria" w:hAnsi="Cambria" w:cstheme="minorHAnsi"/>
          <w:b/>
          <w:color w:val="0070C0"/>
        </w:rPr>
        <w:t>W</w:t>
      </w:r>
      <w:r w:rsidR="00C01D3C" w:rsidRPr="001C6C9F">
        <w:rPr>
          <w:rFonts w:ascii="Cambria" w:hAnsi="Cambria" w:cstheme="minorHAnsi"/>
          <w:b/>
          <w:color w:val="0070C0"/>
        </w:rPr>
        <w:t>e</w:t>
      </w:r>
      <w:r w:rsidRPr="001C6C9F">
        <w:rPr>
          <w:rFonts w:ascii="Cambria" w:hAnsi="Cambria" w:cstheme="minorHAnsi"/>
          <w:b/>
          <w:color w:val="0070C0"/>
        </w:rPr>
        <w:t xml:space="preserve"> would be grateful to r</w:t>
      </w:r>
      <w:r w:rsidR="00C01D3C" w:rsidRPr="001C6C9F">
        <w:rPr>
          <w:rFonts w:ascii="Cambria" w:hAnsi="Cambria" w:cstheme="minorHAnsi"/>
          <w:b/>
          <w:color w:val="0070C0"/>
        </w:rPr>
        <w:t>eceive</w:t>
      </w:r>
      <w:r w:rsidRPr="001C6C9F">
        <w:rPr>
          <w:rFonts w:ascii="Cambria" w:hAnsi="Cambria" w:cstheme="minorHAnsi"/>
          <w:b/>
          <w:color w:val="0070C0"/>
        </w:rPr>
        <w:t xml:space="preserve"> </w:t>
      </w:r>
      <w:r w:rsidR="00C01D3C" w:rsidRPr="001C6C9F">
        <w:rPr>
          <w:rFonts w:ascii="Cambria" w:hAnsi="Cambria" w:cstheme="minorHAnsi"/>
          <w:b/>
          <w:color w:val="0070C0"/>
        </w:rPr>
        <w:t>responses</w:t>
      </w:r>
      <w:r w:rsidRPr="001C6C9F">
        <w:rPr>
          <w:rFonts w:ascii="Cambria" w:hAnsi="Cambria" w:cstheme="minorHAnsi"/>
          <w:b/>
          <w:color w:val="0070C0"/>
        </w:rPr>
        <w:t xml:space="preserve"> to the questions below:</w:t>
      </w:r>
    </w:p>
    <w:p w14:paraId="1A489AF7" w14:textId="77777777" w:rsidR="00C01D3C" w:rsidRPr="001C6C9F" w:rsidRDefault="00C01D3C" w:rsidP="000C76E8">
      <w:pPr>
        <w:spacing w:line="276" w:lineRule="auto"/>
        <w:jc w:val="both"/>
        <w:rPr>
          <w:rFonts w:ascii="Cambria" w:hAnsi="Cambria" w:cstheme="minorHAnsi"/>
          <w:b/>
          <w:color w:val="0070C0"/>
        </w:rPr>
      </w:pPr>
    </w:p>
    <w:p w14:paraId="6E6DB305" w14:textId="77777777" w:rsidR="000C76E8" w:rsidRPr="001C6C9F" w:rsidRDefault="000C76E8" w:rsidP="00C01D3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 xml:space="preserve">Measures </w:t>
      </w:r>
      <w:r w:rsidR="00C01D3C" w:rsidRPr="001C6C9F">
        <w:rPr>
          <w:rFonts w:ascii="Cambria" w:hAnsi="Cambria" w:cstheme="minorHAnsi"/>
          <w:b/>
          <w:color w:val="0070C0"/>
        </w:rPr>
        <w:t>i</w:t>
      </w:r>
      <w:r w:rsidRPr="001C6C9F">
        <w:rPr>
          <w:rFonts w:ascii="Cambria" w:hAnsi="Cambria" w:cstheme="minorHAnsi"/>
          <w:b/>
          <w:color w:val="0070C0"/>
        </w:rPr>
        <w:t xml:space="preserve">mplemented to ensure accountability at </w:t>
      </w:r>
      <w:r w:rsidR="00C01D3C" w:rsidRPr="001C6C9F">
        <w:rPr>
          <w:rFonts w:ascii="Cambria" w:hAnsi="Cambria" w:cstheme="minorHAnsi"/>
          <w:b/>
          <w:color w:val="0070C0"/>
        </w:rPr>
        <w:t>the</w:t>
      </w:r>
      <w:r w:rsidRPr="001C6C9F">
        <w:rPr>
          <w:rFonts w:ascii="Cambria" w:hAnsi="Cambria" w:cstheme="minorHAnsi"/>
          <w:b/>
          <w:color w:val="0070C0"/>
        </w:rPr>
        <w:t xml:space="preserve"> </w:t>
      </w:r>
      <w:r w:rsidR="00C01D3C" w:rsidRPr="001C6C9F">
        <w:rPr>
          <w:rFonts w:ascii="Cambria" w:hAnsi="Cambria" w:cstheme="minorHAnsi"/>
          <w:b/>
          <w:color w:val="0070C0"/>
        </w:rPr>
        <w:t>community</w:t>
      </w:r>
      <w:r w:rsidRPr="001C6C9F">
        <w:rPr>
          <w:rFonts w:ascii="Cambria" w:hAnsi="Cambria" w:cstheme="minorHAnsi"/>
          <w:b/>
          <w:color w:val="0070C0"/>
        </w:rPr>
        <w:t xml:space="preserve"> and national levels, including </w:t>
      </w:r>
      <w:r w:rsidR="00C01D3C" w:rsidRPr="001C6C9F">
        <w:rPr>
          <w:rFonts w:ascii="Cambria" w:hAnsi="Cambria" w:cstheme="minorHAnsi"/>
          <w:b/>
          <w:color w:val="0070C0"/>
        </w:rPr>
        <w:t>the</w:t>
      </w:r>
      <w:r w:rsidRPr="001C6C9F">
        <w:rPr>
          <w:rFonts w:ascii="Cambria" w:hAnsi="Cambria" w:cstheme="minorHAnsi"/>
          <w:b/>
          <w:color w:val="0070C0"/>
        </w:rPr>
        <w:t xml:space="preserve"> applicable legal framework, policies </w:t>
      </w:r>
      <w:r w:rsidR="00C01D3C" w:rsidRPr="001C6C9F">
        <w:rPr>
          <w:rFonts w:ascii="Cambria" w:hAnsi="Cambria" w:cstheme="minorHAnsi"/>
          <w:b/>
          <w:color w:val="0070C0"/>
        </w:rPr>
        <w:t>and</w:t>
      </w:r>
      <w:r w:rsidRPr="001C6C9F">
        <w:rPr>
          <w:rFonts w:ascii="Cambria" w:hAnsi="Cambria" w:cstheme="minorHAnsi"/>
          <w:b/>
          <w:color w:val="0070C0"/>
        </w:rPr>
        <w:t xml:space="preserve"> </w:t>
      </w:r>
      <w:r w:rsidR="00C01D3C" w:rsidRPr="001C6C9F">
        <w:rPr>
          <w:rFonts w:ascii="Cambria" w:hAnsi="Cambria" w:cstheme="minorHAnsi"/>
          <w:b/>
          <w:color w:val="0070C0"/>
        </w:rPr>
        <w:t>programmes</w:t>
      </w:r>
      <w:r w:rsidRPr="001C6C9F">
        <w:rPr>
          <w:rFonts w:ascii="Cambria" w:hAnsi="Cambria" w:cstheme="minorHAnsi"/>
          <w:b/>
          <w:color w:val="0070C0"/>
        </w:rPr>
        <w:t>.</w:t>
      </w:r>
    </w:p>
    <w:p w14:paraId="0C922350" w14:textId="77777777" w:rsidR="007D0B6E" w:rsidRDefault="007D0B6E" w:rsidP="001C6C9F">
      <w:pPr>
        <w:spacing w:line="360" w:lineRule="auto"/>
        <w:jc w:val="both"/>
        <w:rPr>
          <w:rFonts w:ascii="Cambria" w:hAnsi="Cambria"/>
          <w:lang w:val="en-US"/>
        </w:rPr>
      </w:pPr>
    </w:p>
    <w:p w14:paraId="0F6A5BD5" w14:textId="7FDFE297" w:rsidR="00101BC0" w:rsidRDefault="001C6C9F" w:rsidP="001C6C9F">
      <w:pPr>
        <w:spacing w:line="360" w:lineRule="auto"/>
        <w:jc w:val="both"/>
        <w:rPr>
          <w:rFonts w:ascii="Cambria" w:hAnsi="Cambria"/>
          <w:lang w:val="en-US"/>
        </w:rPr>
      </w:pPr>
      <w:r w:rsidRPr="001C6C9F">
        <w:rPr>
          <w:rFonts w:ascii="Cambria" w:hAnsi="Cambria"/>
          <w:lang w:val="en-US"/>
        </w:rPr>
        <w:t xml:space="preserve">In 2021, </w:t>
      </w:r>
      <w:r w:rsidR="00101BC0">
        <w:rPr>
          <w:rFonts w:ascii="Cambria" w:hAnsi="Cambria"/>
          <w:lang w:val="en-US"/>
        </w:rPr>
        <w:t xml:space="preserve">the Portuguese Government approved </w:t>
      </w:r>
      <w:r w:rsidRPr="001C6C9F">
        <w:rPr>
          <w:rFonts w:ascii="Cambria" w:hAnsi="Cambria"/>
          <w:lang w:val="en-US"/>
        </w:rPr>
        <w:t xml:space="preserve">the </w:t>
      </w:r>
      <w:r w:rsidRPr="001C6C9F">
        <w:rPr>
          <w:rFonts w:ascii="Cambria" w:hAnsi="Cambria"/>
          <w:i/>
          <w:lang w:val="en-US"/>
        </w:rPr>
        <w:t xml:space="preserve">Biannual Plan (2021-2022) on the National Strategy for </w:t>
      </w:r>
      <w:r w:rsidR="00101BC0">
        <w:rPr>
          <w:rFonts w:ascii="Cambria" w:hAnsi="Cambria"/>
          <w:i/>
          <w:lang w:val="en-US"/>
        </w:rPr>
        <w:t>the</w:t>
      </w:r>
      <w:r w:rsidRPr="001C6C9F">
        <w:rPr>
          <w:rFonts w:ascii="Cambria" w:hAnsi="Cambria"/>
          <w:i/>
          <w:lang w:val="en-US"/>
        </w:rPr>
        <w:t xml:space="preserve"> Rights</w:t>
      </w:r>
      <w:r w:rsidR="00101BC0">
        <w:rPr>
          <w:rFonts w:ascii="Cambria" w:hAnsi="Cambria"/>
          <w:i/>
          <w:lang w:val="en-US"/>
        </w:rPr>
        <w:t xml:space="preserve"> of Children</w:t>
      </w:r>
      <w:r w:rsidRPr="001C6C9F">
        <w:rPr>
          <w:rFonts w:ascii="Cambria" w:hAnsi="Cambria"/>
          <w:lang w:val="en-US"/>
        </w:rPr>
        <w:t xml:space="preserve"> (Resolution from the Council of Ministries 112/2020, December 18).</w:t>
      </w:r>
    </w:p>
    <w:p w14:paraId="0179B6FD" w14:textId="2FF61AAE" w:rsidR="001C6C9F" w:rsidRPr="001C6C9F" w:rsidRDefault="001C6C9F" w:rsidP="001C6C9F">
      <w:pPr>
        <w:spacing w:line="360" w:lineRule="auto"/>
        <w:jc w:val="both"/>
        <w:rPr>
          <w:rFonts w:ascii="Cambria" w:hAnsi="Cambria"/>
          <w:lang w:val="en-US"/>
        </w:rPr>
      </w:pPr>
      <w:r w:rsidRPr="001C6C9F">
        <w:rPr>
          <w:rFonts w:ascii="Cambria" w:hAnsi="Cambria"/>
          <w:lang w:val="en-US"/>
        </w:rPr>
        <w:t xml:space="preserve"> </w:t>
      </w:r>
    </w:p>
    <w:p w14:paraId="356DB83D" w14:textId="36290C28" w:rsidR="001C6C9F" w:rsidRDefault="00101BC0" w:rsidP="001C6C9F">
      <w:pPr>
        <w:spacing w:line="360" w:lineRule="auto"/>
        <w:jc w:val="both"/>
        <w:rPr>
          <w:rFonts w:ascii="Cambria" w:hAnsi="Cambria"/>
          <w:lang w:val="en-US"/>
        </w:rPr>
      </w:pPr>
      <w:r>
        <w:rPr>
          <w:rFonts w:ascii="Cambria" w:hAnsi="Cambria"/>
          <w:lang w:val="en-US"/>
        </w:rPr>
        <w:lastRenderedPageBreak/>
        <w:t>I</w:t>
      </w:r>
      <w:r w:rsidR="001C6C9F" w:rsidRPr="001C6C9F">
        <w:rPr>
          <w:rFonts w:ascii="Cambria" w:hAnsi="Cambria"/>
          <w:lang w:val="en-US"/>
        </w:rPr>
        <w:t xml:space="preserve">ts Operational Objective 12.2 </w:t>
      </w:r>
      <w:r>
        <w:rPr>
          <w:rFonts w:ascii="Cambria" w:hAnsi="Cambria"/>
          <w:lang w:val="en-US"/>
        </w:rPr>
        <w:t>(“p</w:t>
      </w:r>
      <w:r w:rsidR="001C6C9F" w:rsidRPr="001C6C9F">
        <w:rPr>
          <w:rFonts w:ascii="Cambria" w:hAnsi="Cambria"/>
          <w:lang w:val="en-US"/>
        </w:rPr>
        <w:t>revent and combat all other forms of violence against children and young people, including the exploitation, trafficking, early and forced marriage and female genital mutilation”</w:t>
      </w:r>
      <w:r w:rsidR="009046CE">
        <w:rPr>
          <w:rFonts w:ascii="Cambria" w:hAnsi="Cambria"/>
          <w:lang w:val="en-US"/>
        </w:rPr>
        <w:t>)</w:t>
      </w:r>
      <w:r w:rsidR="001C6C9F" w:rsidRPr="001C6C9F">
        <w:rPr>
          <w:rFonts w:ascii="Cambria" w:hAnsi="Cambria"/>
          <w:lang w:val="en-US"/>
        </w:rPr>
        <w:t xml:space="preserve"> </w:t>
      </w:r>
      <w:r w:rsidR="009046CE">
        <w:rPr>
          <w:rFonts w:ascii="Cambria" w:hAnsi="Cambria"/>
          <w:lang w:val="en-US"/>
        </w:rPr>
        <w:t>includes</w:t>
      </w:r>
      <w:r w:rsidR="001C6C9F" w:rsidRPr="001C6C9F">
        <w:rPr>
          <w:rFonts w:ascii="Cambria" w:hAnsi="Cambria"/>
          <w:lang w:val="en-US"/>
        </w:rPr>
        <w:t xml:space="preserve"> Measure 12.2.1. </w:t>
      </w:r>
      <w:r w:rsidR="009046CE">
        <w:rPr>
          <w:rFonts w:ascii="Cambria" w:hAnsi="Cambria"/>
          <w:lang w:val="en-US"/>
        </w:rPr>
        <w:t>(</w:t>
      </w:r>
      <w:r w:rsidR="001C6C9F" w:rsidRPr="001C6C9F">
        <w:rPr>
          <w:rFonts w:ascii="Cambria" w:hAnsi="Cambria"/>
          <w:lang w:val="en-US"/>
        </w:rPr>
        <w:t>“</w:t>
      </w:r>
      <w:r w:rsidR="009046CE">
        <w:rPr>
          <w:rFonts w:ascii="Cambria" w:hAnsi="Cambria"/>
          <w:lang w:val="en-US"/>
        </w:rPr>
        <w:t>p</w:t>
      </w:r>
      <w:r w:rsidR="001C6C9F" w:rsidRPr="001C6C9F">
        <w:rPr>
          <w:rFonts w:ascii="Cambria" w:hAnsi="Cambria"/>
          <w:lang w:val="en-US"/>
        </w:rPr>
        <w:t>revention, evaluation and intervention on the phenomena of trafficking in human beings”</w:t>
      </w:r>
      <w:r w:rsidR="009046CE">
        <w:rPr>
          <w:rFonts w:ascii="Cambria" w:hAnsi="Cambria"/>
          <w:lang w:val="en-US"/>
        </w:rPr>
        <w:t>)</w:t>
      </w:r>
      <w:r w:rsidR="001C6C9F" w:rsidRPr="001C6C9F">
        <w:rPr>
          <w:rFonts w:ascii="Cambria" w:hAnsi="Cambria"/>
          <w:lang w:val="en-US"/>
        </w:rPr>
        <w:t>. As indicators with the participation (direct and/or involvement) of the Observatory on Trafficking in Human Beings</w:t>
      </w:r>
      <w:r w:rsidR="009046CE">
        <w:rPr>
          <w:rFonts w:ascii="Cambria" w:hAnsi="Cambria"/>
          <w:lang w:val="en-US"/>
        </w:rPr>
        <w:t xml:space="preserve"> (</w:t>
      </w:r>
      <w:r w:rsidR="001C6C9F" w:rsidRPr="001C6C9F">
        <w:rPr>
          <w:rFonts w:ascii="Cambria" w:hAnsi="Cambria"/>
          <w:lang w:val="en-US"/>
        </w:rPr>
        <w:t>Ministry of Home Affairs</w:t>
      </w:r>
      <w:r w:rsidR="009046CE">
        <w:rPr>
          <w:rFonts w:ascii="Cambria" w:hAnsi="Cambria"/>
          <w:lang w:val="en-US"/>
        </w:rPr>
        <w:t>)</w:t>
      </w:r>
      <w:r w:rsidR="001C6C9F" w:rsidRPr="001C6C9F">
        <w:rPr>
          <w:rFonts w:ascii="Cambria" w:hAnsi="Cambria"/>
          <w:lang w:val="en-US"/>
        </w:rPr>
        <w:t>:</w:t>
      </w:r>
    </w:p>
    <w:p w14:paraId="5FC43831" w14:textId="77777777" w:rsidR="009046CE" w:rsidRPr="001C6C9F" w:rsidRDefault="009046CE" w:rsidP="001C6C9F">
      <w:pPr>
        <w:spacing w:line="360" w:lineRule="auto"/>
        <w:jc w:val="both"/>
        <w:rPr>
          <w:rFonts w:ascii="Cambria" w:hAnsi="Cambria"/>
          <w:lang w:val="en-US"/>
        </w:rPr>
      </w:pPr>
    </w:p>
    <w:p w14:paraId="4D41DC12" w14:textId="05AC8B98" w:rsidR="001C6C9F" w:rsidRPr="009046CE" w:rsidRDefault="001C6C9F" w:rsidP="001C6C9F">
      <w:pPr>
        <w:pStyle w:val="ListParagraph"/>
        <w:numPr>
          <w:ilvl w:val="0"/>
          <w:numId w:val="15"/>
        </w:numPr>
        <w:spacing w:after="160" w:line="360" w:lineRule="auto"/>
        <w:jc w:val="both"/>
        <w:rPr>
          <w:rFonts w:ascii="Cambria" w:hAnsi="Cambria"/>
          <w:i/>
          <w:lang w:val="en-US"/>
        </w:rPr>
      </w:pPr>
      <w:r w:rsidRPr="001C6C9F">
        <w:rPr>
          <w:rFonts w:ascii="Cambria" w:hAnsi="Cambria"/>
          <w:i/>
          <w:lang w:val="en-US"/>
        </w:rPr>
        <w:t>Evaluation Report on the mechanisms created by Law nº 29/2012 of 9 August, in the context of the protection of children/young victims of trafficking</w:t>
      </w:r>
      <w:r w:rsidRPr="001C6C9F">
        <w:rPr>
          <w:rFonts w:ascii="Cambria" w:hAnsi="Cambria"/>
          <w:lang w:val="en-US"/>
        </w:rPr>
        <w:t xml:space="preserve"> (period of implementation: for 2022). This law reports to the legal framework of </w:t>
      </w:r>
      <w:r w:rsidRPr="001C6C9F">
        <w:rPr>
          <w:rFonts w:ascii="Cambria" w:hAnsi="Cambria"/>
          <w:i/>
          <w:lang w:val="en-US"/>
        </w:rPr>
        <w:t>Entry, Permanence, Exit and Removal of foreigners into and out of national territory</w:t>
      </w:r>
      <w:r w:rsidRPr="001C6C9F">
        <w:rPr>
          <w:rFonts w:ascii="Cambria" w:hAnsi="Cambria"/>
          <w:lang w:val="en-US"/>
        </w:rPr>
        <w:t>. In this law, measures related to children/young victims of trafficking are in Article 114.º.</w:t>
      </w:r>
    </w:p>
    <w:p w14:paraId="4773E6E3" w14:textId="77777777" w:rsidR="009046CE" w:rsidRPr="009046CE" w:rsidRDefault="009046CE" w:rsidP="009046CE">
      <w:pPr>
        <w:pStyle w:val="ListParagraph"/>
        <w:spacing w:after="160" w:line="360" w:lineRule="auto"/>
        <w:jc w:val="both"/>
        <w:rPr>
          <w:rFonts w:ascii="Cambria" w:hAnsi="Cambria"/>
          <w:iCs/>
          <w:lang w:val="en-US"/>
        </w:rPr>
      </w:pPr>
    </w:p>
    <w:p w14:paraId="72A470A8" w14:textId="77777777" w:rsidR="001C6C9F" w:rsidRPr="001C6C9F" w:rsidRDefault="001C6C9F" w:rsidP="001C6C9F">
      <w:pPr>
        <w:pStyle w:val="ListParagraph"/>
        <w:numPr>
          <w:ilvl w:val="0"/>
          <w:numId w:val="15"/>
        </w:numPr>
        <w:spacing w:after="160" w:line="360" w:lineRule="auto"/>
        <w:jc w:val="both"/>
        <w:rPr>
          <w:rFonts w:ascii="Cambria" w:hAnsi="Cambria"/>
          <w:lang w:val="en-US"/>
        </w:rPr>
      </w:pPr>
      <w:r w:rsidRPr="001C6C9F">
        <w:rPr>
          <w:rFonts w:ascii="Cambria" w:hAnsi="Cambria"/>
          <w:i/>
          <w:lang w:val="en-US"/>
        </w:rPr>
        <w:t xml:space="preserve">Inclusion in the Annual Reports on Trafficking in Human Beings of data on the number of documents proving the status of especially vulnerable victims (Trafficking in Human Beings, namely the provisions relating to children/young people) </w:t>
      </w:r>
      <w:r w:rsidRPr="001C6C9F">
        <w:rPr>
          <w:rFonts w:ascii="Cambria" w:hAnsi="Cambria"/>
          <w:lang w:val="en-US"/>
        </w:rPr>
        <w:t xml:space="preserve">(period of execution: for 2022). </w:t>
      </w:r>
    </w:p>
    <w:p w14:paraId="2982E03B" w14:textId="77777777" w:rsidR="001C6C9F" w:rsidRPr="001C6C9F" w:rsidRDefault="001C6C9F" w:rsidP="001C6C9F">
      <w:pPr>
        <w:pStyle w:val="ListParagraph"/>
        <w:numPr>
          <w:ilvl w:val="1"/>
          <w:numId w:val="15"/>
        </w:numPr>
        <w:spacing w:after="160" w:line="360" w:lineRule="auto"/>
        <w:jc w:val="both"/>
        <w:rPr>
          <w:rFonts w:ascii="Cambria" w:hAnsi="Cambria"/>
          <w:lang w:val="en-US"/>
        </w:rPr>
      </w:pPr>
      <w:r w:rsidRPr="001C6C9F">
        <w:rPr>
          <w:rFonts w:ascii="Cambria" w:hAnsi="Cambria"/>
          <w:lang w:val="en-US"/>
        </w:rPr>
        <w:t>The Annual Reports on THB are produced by the Observatory on Trafficking in Human Beings/Ministry of Home Affairs.</w:t>
      </w:r>
    </w:p>
    <w:p w14:paraId="1CE11360" w14:textId="77777777" w:rsidR="001C6C9F" w:rsidRPr="001C6C9F" w:rsidRDefault="001C6C9F" w:rsidP="001C6C9F">
      <w:pPr>
        <w:pStyle w:val="ListParagraph"/>
        <w:numPr>
          <w:ilvl w:val="1"/>
          <w:numId w:val="15"/>
        </w:numPr>
        <w:spacing w:after="160" w:line="360" w:lineRule="auto"/>
        <w:jc w:val="both"/>
        <w:rPr>
          <w:rFonts w:ascii="Cambria" w:hAnsi="Cambria"/>
          <w:lang w:val="en-US"/>
        </w:rPr>
      </w:pPr>
      <w:r w:rsidRPr="001C6C9F">
        <w:rPr>
          <w:rFonts w:ascii="Cambria" w:hAnsi="Cambria"/>
          <w:lang w:val="en-US"/>
        </w:rPr>
        <w:t>Regarding the documents on the status of especially vulnerable victims:</w:t>
      </w:r>
    </w:p>
    <w:p w14:paraId="01B0F87C"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bCs/>
          <w:iCs/>
          <w:lang w:val="en-US"/>
        </w:rPr>
        <w:t>In 2021,</w:t>
      </w:r>
      <w:r w:rsidRPr="001C6C9F">
        <w:rPr>
          <w:rFonts w:ascii="Cambria" w:hAnsi="Cambria"/>
          <w:b/>
          <w:bCs/>
          <w:i/>
          <w:iCs/>
          <w:lang w:val="en-US"/>
        </w:rPr>
        <w:t xml:space="preserve"> </w:t>
      </w:r>
      <w:r w:rsidRPr="001C6C9F">
        <w:rPr>
          <w:rFonts w:ascii="Cambria" w:hAnsi="Cambria"/>
          <w:lang w:val="en-US"/>
        </w:rPr>
        <w:t xml:space="preserve">the Portuguese Government issued the Order No 138-E/2021, of 1 July, which approved a new model / documents regarding the status of especially vulnerable victims, including victims of Trafficking in Human Beings.  These new instruments are the result of multi sectorial work, coordinated by the Governmental department of Citizenship and Equality, which is also in charge of coordinating Fourth National Action Plan to Prevent and Combat Trafficking in Human Beings (2018-2021). These new documents aim to: </w:t>
      </w:r>
    </w:p>
    <w:p w14:paraId="7D395FC5"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Update the previous models.</w:t>
      </w:r>
    </w:p>
    <w:p w14:paraId="1D1C07A6"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 xml:space="preserve">Produce documents that are clearer, simpler and easier for the victims to understand. This is fundamental considering that when receiving these documents, victims' are in an especially fragile situation, often unable to understand </w:t>
      </w:r>
      <w:r w:rsidRPr="001C6C9F">
        <w:rPr>
          <w:rFonts w:ascii="Cambria" w:hAnsi="Cambria"/>
          <w:lang w:val="en-US"/>
        </w:rPr>
        <w:lastRenderedPageBreak/>
        <w:t>complex legal language and information about their rights. For this purpose, the documents were revised by specialized services to convert legal and procedural technical language into clear language.</w:t>
      </w:r>
    </w:p>
    <w:p w14:paraId="575E3841"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 xml:space="preserve">In the document pertaining to the especially vulnerable victim status, to provide information on victimization areas that relate to specific rights, namely referring to Trafficking in Human Beings. </w:t>
      </w:r>
    </w:p>
    <w:p w14:paraId="54A1045B" w14:textId="77777777" w:rsidR="001C6C9F" w:rsidRPr="001C6C9F" w:rsidRDefault="001C6C9F" w:rsidP="001C6C9F">
      <w:pPr>
        <w:pStyle w:val="ListParagraph"/>
        <w:numPr>
          <w:ilvl w:val="0"/>
          <w:numId w:val="15"/>
        </w:numPr>
        <w:spacing w:after="160" w:line="360" w:lineRule="auto"/>
        <w:jc w:val="both"/>
        <w:rPr>
          <w:rFonts w:ascii="Cambria" w:hAnsi="Cambria"/>
          <w:lang w:val="en-US"/>
        </w:rPr>
      </w:pPr>
      <w:r w:rsidRPr="001C6C9F">
        <w:rPr>
          <w:rFonts w:ascii="Cambria" w:hAnsi="Cambria"/>
          <w:i/>
          <w:lang w:val="en-US"/>
        </w:rPr>
        <w:t>Protocol for the definition of procedures for the Prevention, Detection and Protection of children (presumed) victims of trafficking in human beings - National Referral System (NRM)</w:t>
      </w:r>
      <w:r w:rsidRPr="001C6C9F">
        <w:rPr>
          <w:rFonts w:ascii="Cambria" w:hAnsi="Cambria"/>
          <w:lang w:val="en-US"/>
        </w:rPr>
        <w:t xml:space="preserve"> (period of execution: concluded in 2021).</w:t>
      </w:r>
    </w:p>
    <w:p w14:paraId="403102BB" w14:textId="77777777" w:rsidR="001C6C9F" w:rsidRPr="001C6C9F" w:rsidRDefault="001C6C9F" w:rsidP="001C6C9F">
      <w:pPr>
        <w:pStyle w:val="ListParagraph"/>
        <w:numPr>
          <w:ilvl w:val="1"/>
          <w:numId w:val="15"/>
        </w:numPr>
        <w:spacing w:after="160" w:line="360" w:lineRule="auto"/>
        <w:jc w:val="both"/>
        <w:rPr>
          <w:rFonts w:ascii="Cambria" w:hAnsi="Cambria"/>
          <w:lang w:val="en-US"/>
        </w:rPr>
      </w:pPr>
      <w:r w:rsidRPr="001C6C9F">
        <w:rPr>
          <w:rFonts w:ascii="Cambria" w:hAnsi="Cambria"/>
          <w:lang w:val="en-US"/>
        </w:rPr>
        <w:t>Launched in 2021.</w:t>
      </w:r>
    </w:p>
    <w:p w14:paraId="33429A73" w14:textId="4EA4265E" w:rsidR="001C6C9F" w:rsidRPr="001C6C9F" w:rsidRDefault="001C6C9F" w:rsidP="001C6C9F">
      <w:pPr>
        <w:pStyle w:val="ListParagraph"/>
        <w:numPr>
          <w:ilvl w:val="1"/>
          <w:numId w:val="15"/>
        </w:numPr>
        <w:spacing w:after="160" w:line="360" w:lineRule="auto"/>
        <w:jc w:val="both"/>
        <w:rPr>
          <w:rFonts w:ascii="Cambria" w:hAnsi="Cambria"/>
          <w:lang w:val="en-US"/>
        </w:rPr>
      </w:pPr>
      <w:r w:rsidRPr="001C6C9F">
        <w:rPr>
          <w:rFonts w:ascii="Cambria" w:hAnsi="Cambria"/>
          <w:lang w:val="en-US"/>
        </w:rPr>
        <w:t>In 2019, the Observatory</w:t>
      </w:r>
      <w:r w:rsidR="00E022C9">
        <w:rPr>
          <w:rFonts w:ascii="Cambria" w:hAnsi="Cambria"/>
          <w:lang w:val="en-US"/>
        </w:rPr>
        <w:t xml:space="preserve"> on Trafficking in Human Beings, together </w:t>
      </w:r>
      <w:r w:rsidRPr="001C6C9F">
        <w:rPr>
          <w:rFonts w:ascii="Cambria" w:hAnsi="Cambria"/>
          <w:lang w:val="en-US"/>
        </w:rPr>
        <w:t>with the National Rapporteur</w:t>
      </w:r>
      <w:r w:rsidR="00E022C9">
        <w:rPr>
          <w:rFonts w:ascii="Cambria" w:hAnsi="Cambria"/>
          <w:lang w:val="en-US"/>
        </w:rPr>
        <w:t>,</w:t>
      </w:r>
      <w:r w:rsidRPr="001C6C9F">
        <w:rPr>
          <w:rFonts w:ascii="Cambria" w:hAnsi="Cambria"/>
          <w:lang w:val="en-US"/>
        </w:rPr>
        <w:t xml:space="preserve"> started to outline the implementation of the "Protocol for the definition of procedures for the Prevention, Detection and Protection of children (presumed) victims of trafficking in human beings - National Referral System (NRM)".</w:t>
      </w:r>
    </w:p>
    <w:p w14:paraId="1D2BF171"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 xml:space="preserve">This specific NRM was set under the </w:t>
      </w:r>
      <w:r w:rsidRPr="001C6C9F">
        <w:rPr>
          <w:rFonts w:ascii="Cambria" w:hAnsi="Cambria"/>
          <w:i/>
          <w:lang w:val="en-US"/>
        </w:rPr>
        <w:t>Fourth Action Plan to Prevent and Combat Trafficking in Human Beings (2018-2021)</w:t>
      </w:r>
      <w:r w:rsidRPr="001C6C9F">
        <w:rPr>
          <w:rFonts w:ascii="Cambria" w:hAnsi="Cambria"/>
          <w:lang w:val="en-US"/>
        </w:rPr>
        <w:t xml:space="preserve"> and the </w:t>
      </w:r>
      <w:r w:rsidRPr="001C6C9F">
        <w:rPr>
          <w:rFonts w:ascii="Cambria" w:hAnsi="Cambria"/>
          <w:i/>
          <w:lang w:val="en-US"/>
        </w:rPr>
        <w:t>National Implementation Plan of the Global Compact for Migration</w:t>
      </w:r>
      <w:r w:rsidRPr="001C6C9F">
        <w:rPr>
          <w:rFonts w:ascii="Cambria" w:hAnsi="Cambria"/>
          <w:lang w:val="en-US"/>
        </w:rPr>
        <w:t xml:space="preserve">. It also represents the commitment of Portugal to comply with international and European standards and recommendations. </w:t>
      </w:r>
    </w:p>
    <w:p w14:paraId="39DA305A"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 xml:space="preserve">The NRM also considers, in its procedures, the inclusion of another measure of the Fourth Action Plan to Prevent and Combat Trafficking in Human Beings (2018-2021): the </w:t>
      </w:r>
      <w:r w:rsidRPr="001C6C9F">
        <w:rPr>
          <w:rFonts w:ascii="Cambria" w:hAnsi="Cambria"/>
          <w:i/>
          <w:lang w:val="en-US"/>
        </w:rPr>
        <w:t>Protocol between the Directorate-General of Health and the Immigration and Borders Service for the implementation of a mechanism for flagging and monitoring of children identified in the National Health Service, within the scope of the National Health Program Children and Youth and the Health Action for Children and Youth at Risk</w:t>
      </w:r>
      <w:r w:rsidRPr="001C6C9F">
        <w:rPr>
          <w:rFonts w:ascii="Cambria" w:hAnsi="Cambria"/>
          <w:lang w:val="en-US"/>
        </w:rPr>
        <w:t>.</w:t>
      </w:r>
    </w:p>
    <w:p w14:paraId="027DBE4C"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A Multidisciplinary Group (governmental, non-governmental and intergovernmental organizations) developed this NRM. The group had the following bodies:</w:t>
      </w:r>
    </w:p>
    <w:p w14:paraId="2CFA15AB"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From the Ministry of Home Affairs:</w:t>
      </w:r>
    </w:p>
    <w:p w14:paraId="111E1379"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Observatory on Trafficking in Human Beings</w:t>
      </w:r>
    </w:p>
    <w:p w14:paraId="49DDC4F9"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lastRenderedPageBreak/>
        <w:t>National Republican Guard</w:t>
      </w:r>
    </w:p>
    <w:p w14:paraId="5BDA7140"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Public Security Police</w:t>
      </w:r>
    </w:p>
    <w:p w14:paraId="66379A8F"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Immigration and Border Service</w:t>
      </w:r>
    </w:p>
    <w:p w14:paraId="7E3158E1"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From the Minister of State and Presidency:</w:t>
      </w:r>
    </w:p>
    <w:p w14:paraId="462BB662"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 xml:space="preserve">Commission for Citizenship and Gender Equality </w:t>
      </w:r>
    </w:p>
    <w:p w14:paraId="1600B72E"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From the Ministry of Justice:</w:t>
      </w:r>
    </w:p>
    <w:p w14:paraId="34801091"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Criminal Police</w:t>
      </w:r>
    </w:p>
    <w:p w14:paraId="30084EA3"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From the Ministry of Labour, Solidarity and Social Security:</w:t>
      </w:r>
    </w:p>
    <w:p w14:paraId="49BD9363"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National Commission for the Promotion of Rights and Protection of Children and Youth</w:t>
      </w:r>
    </w:p>
    <w:p w14:paraId="08CC2472"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From the Ministry of Health:</w:t>
      </w:r>
    </w:p>
    <w:p w14:paraId="1A9ED6F9"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Directorate-General of Health</w:t>
      </w:r>
    </w:p>
    <w:p w14:paraId="5AA9D2B7"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From the Public Prosecution Service:</w:t>
      </w:r>
    </w:p>
    <w:p w14:paraId="4005A287" w14:textId="77777777" w:rsidR="001C6C9F" w:rsidRPr="001C6C9F" w:rsidRDefault="001C6C9F" w:rsidP="001C6C9F">
      <w:pPr>
        <w:pStyle w:val="ListParagraph"/>
        <w:numPr>
          <w:ilvl w:val="3"/>
          <w:numId w:val="15"/>
        </w:numPr>
        <w:spacing w:after="160" w:line="360" w:lineRule="auto"/>
        <w:jc w:val="both"/>
        <w:rPr>
          <w:rFonts w:ascii="Cambria" w:hAnsi="Cambria"/>
          <w:lang w:val="en-US"/>
        </w:rPr>
      </w:pPr>
      <w:r w:rsidRPr="001C6C9F">
        <w:rPr>
          <w:rFonts w:ascii="Cambria" w:hAnsi="Cambria"/>
          <w:lang w:val="en-US"/>
        </w:rPr>
        <w:t>Family, Children and Youth Office</w:t>
      </w:r>
    </w:p>
    <w:p w14:paraId="3338EC09"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International Organization for Migration / Portugal</w:t>
      </w:r>
    </w:p>
    <w:p w14:paraId="29C3EAB1"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Institute for Child Support</w:t>
      </w:r>
    </w:p>
    <w:p w14:paraId="5C0F3E79" w14:textId="77777777" w:rsidR="001C6C9F" w:rsidRPr="001C6C9F" w:rsidRDefault="001C6C9F" w:rsidP="001C6C9F">
      <w:pPr>
        <w:pStyle w:val="ListParagraph"/>
        <w:numPr>
          <w:ilvl w:val="2"/>
          <w:numId w:val="15"/>
        </w:numPr>
        <w:spacing w:after="160" w:line="360" w:lineRule="auto"/>
        <w:jc w:val="both"/>
        <w:rPr>
          <w:rFonts w:ascii="Cambria" w:hAnsi="Cambria"/>
          <w:lang w:val="en-US"/>
        </w:rPr>
      </w:pPr>
      <w:r w:rsidRPr="001C6C9F">
        <w:rPr>
          <w:rFonts w:ascii="Cambria" w:hAnsi="Cambria"/>
          <w:lang w:val="en-US"/>
        </w:rPr>
        <w:t xml:space="preserve">Akto - Human Rights and Democracy / Shelter for Children victims of trafficking in human beings. </w:t>
      </w:r>
    </w:p>
    <w:p w14:paraId="4FDC8E4F"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The final version was validated by all organizations of the National Network for the Assistance and Protection to Victims of Trafficking (RAPVT) and by the Minister of Home Affairs.</w:t>
      </w:r>
    </w:p>
    <w:p w14:paraId="5B4C4B2F"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 xml:space="preserve">The NRM - for all (presumed) children victims of THB has nine Practical Tools: </w:t>
      </w:r>
    </w:p>
    <w:p w14:paraId="18ED25CA"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Guiding principles for children's protective intervention.</w:t>
      </w:r>
    </w:p>
    <w:p w14:paraId="5CCF7672"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General indicators and forms of THB by indicators.</w:t>
      </w:r>
    </w:p>
    <w:p w14:paraId="1DFFD8DF"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Detection in National Territory (and respective flowchart).</w:t>
      </w:r>
    </w:p>
    <w:p w14:paraId="7B2F943C"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Detection at the External Borders (and respective flowchart).</w:t>
      </w:r>
    </w:p>
    <w:p w14:paraId="6B56CEF6"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Procedures for age assessment.</w:t>
      </w:r>
    </w:p>
    <w:p w14:paraId="7C4E954C"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Appointment of Guardian or Legal representative.</w:t>
      </w:r>
    </w:p>
    <w:p w14:paraId="6DC26E08"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Assistance, Sheltering and (Re) Integration (and respective flowchart).</w:t>
      </w:r>
    </w:p>
    <w:p w14:paraId="570418A0"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Children's rights.</w:t>
      </w:r>
    </w:p>
    <w:p w14:paraId="5331855F" w14:textId="77777777" w:rsidR="001C6C9F" w:rsidRPr="001C6C9F" w:rsidRDefault="001C6C9F" w:rsidP="001C6C9F">
      <w:pPr>
        <w:pStyle w:val="ListParagraph"/>
        <w:numPr>
          <w:ilvl w:val="0"/>
          <w:numId w:val="16"/>
        </w:numPr>
        <w:spacing w:after="160" w:line="360" w:lineRule="auto"/>
        <w:jc w:val="both"/>
        <w:rPr>
          <w:rFonts w:ascii="Cambria" w:hAnsi="Cambria"/>
          <w:i/>
          <w:lang w:val="en-US"/>
        </w:rPr>
      </w:pPr>
      <w:r w:rsidRPr="001C6C9F">
        <w:rPr>
          <w:rFonts w:ascii="Cambria" w:hAnsi="Cambria"/>
          <w:i/>
          <w:lang w:val="en-US"/>
        </w:rPr>
        <w:t>Training Module.</w:t>
      </w:r>
    </w:p>
    <w:p w14:paraId="2DD65FC9"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 xml:space="preserve">The objectives of this NRM are: </w:t>
      </w:r>
    </w:p>
    <w:p w14:paraId="1425666F" w14:textId="77777777" w:rsidR="001C6C9F" w:rsidRPr="001C6C9F" w:rsidRDefault="001C6C9F" w:rsidP="001C6C9F">
      <w:pPr>
        <w:pStyle w:val="ListParagraph"/>
        <w:numPr>
          <w:ilvl w:val="0"/>
          <w:numId w:val="17"/>
        </w:numPr>
        <w:spacing w:after="160" w:line="360" w:lineRule="auto"/>
        <w:jc w:val="both"/>
        <w:rPr>
          <w:rFonts w:ascii="Cambria" w:hAnsi="Cambria"/>
          <w:lang w:val="en-US"/>
        </w:rPr>
      </w:pPr>
      <w:r w:rsidRPr="001C6C9F">
        <w:rPr>
          <w:rFonts w:ascii="Cambria" w:hAnsi="Cambria"/>
          <w:lang w:val="en-US"/>
        </w:rPr>
        <w:lastRenderedPageBreak/>
        <w:t>To create procedures for the prevention, detection, identification, supports and protection of children (presumed) victims of THB.</w:t>
      </w:r>
    </w:p>
    <w:p w14:paraId="79D75D94" w14:textId="77777777" w:rsidR="001C6C9F" w:rsidRPr="001C6C9F" w:rsidRDefault="001C6C9F" w:rsidP="001C6C9F">
      <w:pPr>
        <w:pStyle w:val="ListParagraph"/>
        <w:numPr>
          <w:ilvl w:val="0"/>
          <w:numId w:val="17"/>
        </w:numPr>
        <w:spacing w:after="160" w:line="360" w:lineRule="auto"/>
        <w:jc w:val="both"/>
        <w:rPr>
          <w:rFonts w:ascii="Cambria" w:hAnsi="Cambria"/>
          <w:lang w:val="en-US"/>
        </w:rPr>
      </w:pPr>
      <w:r w:rsidRPr="001C6C9F">
        <w:rPr>
          <w:rFonts w:ascii="Cambria" w:hAnsi="Cambria"/>
          <w:lang w:val="en-US"/>
        </w:rPr>
        <w:t>To consolidate and reinforce the mechanisms of coordination, cooperation and communication between the professionals involved throughout the various stages.</w:t>
      </w:r>
    </w:p>
    <w:p w14:paraId="562DEBE1" w14:textId="77777777" w:rsidR="001C6C9F" w:rsidRPr="001C6C9F" w:rsidRDefault="001C6C9F" w:rsidP="001C6C9F">
      <w:pPr>
        <w:pStyle w:val="ListParagraph"/>
        <w:numPr>
          <w:ilvl w:val="0"/>
          <w:numId w:val="17"/>
        </w:numPr>
        <w:spacing w:after="160" w:line="360" w:lineRule="auto"/>
        <w:jc w:val="both"/>
        <w:rPr>
          <w:rFonts w:ascii="Cambria" w:hAnsi="Cambria"/>
          <w:lang w:val="en-US"/>
        </w:rPr>
      </w:pPr>
      <w:r w:rsidRPr="001C6C9F">
        <w:rPr>
          <w:rFonts w:ascii="Cambria" w:hAnsi="Cambria"/>
          <w:lang w:val="en-US"/>
        </w:rPr>
        <w:t>To guarantee the child's best interest throughout all stages, namely avoiding situations of victimization or new trafficking.</w:t>
      </w:r>
    </w:p>
    <w:p w14:paraId="3ABEECFB" w14:textId="77777777" w:rsidR="001C6C9F" w:rsidRPr="001C6C9F" w:rsidRDefault="001C6C9F" w:rsidP="001C6C9F">
      <w:pPr>
        <w:pStyle w:val="ListParagraph"/>
        <w:spacing w:line="360" w:lineRule="auto"/>
        <w:ind w:left="1440"/>
        <w:jc w:val="both"/>
        <w:rPr>
          <w:rFonts w:ascii="Cambria" w:hAnsi="Cambria"/>
          <w:lang w:val="en-US"/>
        </w:rPr>
      </w:pPr>
      <w:r w:rsidRPr="001C6C9F">
        <w:rPr>
          <w:rFonts w:ascii="Cambria" w:hAnsi="Cambria"/>
          <w:lang w:val="en-US"/>
        </w:rPr>
        <w:t>This NRM also contains a chapter regarding the monitoring and evaluation of its implementation (results and impacts). As such, each organization from the Working Group (already identified above and later on extended to the 5 Specialized Multidisciplinary Teams for the Assistance to THB Victims) were requested to:</w:t>
      </w:r>
    </w:p>
    <w:p w14:paraId="499635A5" w14:textId="77777777" w:rsidR="001C6C9F" w:rsidRPr="001C6C9F" w:rsidRDefault="001C6C9F" w:rsidP="001C6C9F">
      <w:pPr>
        <w:pStyle w:val="ListParagraph"/>
        <w:numPr>
          <w:ilvl w:val="0"/>
          <w:numId w:val="17"/>
        </w:numPr>
        <w:spacing w:after="160" w:line="360" w:lineRule="auto"/>
        <w:jc w:val="both"/>
        <w:rPr>
          <w:rFonts w:ascii="Cambria" w:hAnsi="Cambria"/>
          <w:lang w:val="en-US"/>
        </w:rPr>
      </w:pPr>
      <w:r w:rsidRPr="001C6C9F">
        <w:rPr>
          <w:rFonts w:ascii="Cambria" w:hAnsi="Cambria"/>
          <w:lang w:val="en-US"/>
        </w:rPr>
        <w:t xml:space="preserve">Identify a Focal Point.  </w:t>
      </w:r>
    </w:p>
    <w:p w14:paraId="2294DA54" w14:textId="77777777" w:rsidR="001C6C9F" w:rsidRPr="001C6C9F" w:rsidRDefault="001C6C9F" w:rsidP="001C6C9F">
      <w:pPr>
        <w:pStyle w:val="ListParagraph"/>
        <w:numPr>
          <w:ilvl w:val="0"/>
          <w:numId w:val="17"/>
        </w:numPr>
        <w:spacing w:after="160" w:line="360" w:lineRule="auto"/>
        <w:jc w:val="both"/>
        <w:rPr>
          <w:rFonts w:ascii="Cambria" w:hAnsi="Cambria"/>
          <w:lang w:val="en-US"/>
        </w:rPr>
      </w:pPr>
      <w:r w:rsidRPr="001C6C9F">
        <w:rPr>
          <w:rFonts w:ascii="Cambria" w:hAnsi="Cambria"/>
          <w:lang w:val="en-US"/>
        </w:rPr>
        <w:t>Identify training needs (per Tool) and to promote internal training (ongoing work).</w:t>
      </w:r>
    </w:p>
    <w:p w14:paraId="438884C2" w14:textId="77777777" w:rsidR="001C6C9F" w:rsidRPr="001C6C9F" w:rsidRDefault="001C6C9F" w:rsidP="001C6C9F">
      <w:pPr>
        <w:pStyle w:val="ListParagraph"/>
        <w:numPr>
          <w:ilvl w:val="0"/>
          <w:numId w:val="17"/>
        </w:numPr>
        <w:spacing w:after="160" w:line="360" w:lineRule="auto"/>
        <w:jc w:val="both"/>
        <w:rPr>
          <w:rFonts w:ascii="Cambria" w:hAnsi="Cambria"/>
          <w:lang w:val="en-US"/>
        </w:rPr>
      </w:pPr>
      <w:r w:rsidRPr="001C6C9F">
        <w:rPr>
          <w:rFonts w:ascii="Cambria" w:hAnsi="Cambria"/>
          <w:lang w:val="en-US"/>
        </w:rPr>
        <w:t>Additionally, it is expected, at least, an annual meeting of the Working Group with other organizations (if so considered). From the meeting, there will be an assessment of the NRM.</w:t>
      </w:r>
    </w:p>
    <w:p w14:paraId="6759E1D0" w14:textId="77777777" w:rsidR="001C6C9F" w:rsidRPr="001C6C9F" w:rsidRDefault="001C6C9F" w:rsidP="001C6C9F">
      <w:pPr>
        <w:pStyle w:val="ListParagraph"/>
        <w:numPr>
          <w:ilvl w:val="0"/>
          <w:numId w:val="15"/>
        </w:numPr>
        <w:spacing w:after="160" w:line="360" w:lineRule="auto"/>
        <w:jc w:val="both"/>
        <w:rPr>
          <w:rFonts w:ascii="Cambria" w:hAnsi="Cambria"/>
          <w:lang w:val="en-US"/>
        </w:rPr>
      </w:pPr>
      <w:r w:rsidRPr="001C6C9F">
        <w:rPr>
          <w:rFonts w:ascii="Cambria" w:hAnsi="Cambria"/>
          <w:lang w:val="en-US"/>
        </w:rPr>
        <w:t>Training actions for front-line professionals and to Mediators from the National Support Centers for the Integration of Migrants, to the Local Centers to Support Immigrants' Integration as well as to technicians from the Choices Program and from migrant associations on trafficking in human beings’ indicators, specially of children and young people victims of trafficking (period of execution: 2021-2022).</w:t>
      </w:r>
    </w:p>
    <w:p w14:paraId="7E38D282" w14:textId="77777777" w:rsidR="00C01D3C" w:rsidRPr="001C6C9F" w:rsidRDefault="00C01D3C" w:rsidP="00C01D3C">
      <w:pPr>
        <w:spacing w:line="276" w:lineRule="auto"/>
        <w:ind w:left="360"/>
        <w:jc w:val="both"/>
        <w:rPr>
          <w:rFonts w:ascii="Cambria" w:hAnsi="Cambria" w:cstheme="minorHAnsi"/>
          <w:b/>
          <w:lang w:val="en-US"/>
        </w:rPr>
      </w:pPr>
    </w:p>
    <w:p w14:paraId="64F0BF48" w14:textId="77777777" w:rsidR="000C76E8" w:rsidRPr="001C6C9F" w:rsidRDefault="000C76E8" w:rsidP="00C01D3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The legal consequences of CEFM inc</w:t>
      </w:r>
      <w:r w:rsidR="00C01D3C" w:rsidRPr="001C6C9F">
        <w:rPr>
          <w:rFonts w:ascii="Cambria" w:hAnsi="Cambria" w:cstheme="minorHAnsi"/>
          <w:b/>
          <w:color w:val="0070C0"/>
        </w:rPr>
        <w:t>l</w:t>
      </w:r>
      <w:r w:rsidRPr="001C6C9F">
        <w:rPr>
          <w:rFonts w:ascii="Cambria" w:hAnsi="Cambria" w:cstheme="minorHAnsi"/>
          <w:b/>
          <w:color w:val="0070C0"/>
        </w:rPr>
        <w:t xml:space="preserve">uding criminal, civil, administrative and </w:t>
      </w:r>
      <w:r w:rsidR="00C01D3C" w:rsidRPr="001C6C9F">
        <w:rPr>
          <w:rFonts w:ascii="Cambria" w:hAnsi="Cambria" w:cstheme="minorHAnsi"/>
          <w:b/>
          <w:color w:val="0070C0"/>
        </w:rPr>
        <w:t>other</w:t>
      </w:r>
      <w:r w:rsidRPr="001C6C9F">
        <w:rPr>
          <w:rFonts w:ascii="Cambria" w:hAnsi="Cambria" w:cstheme="minorHAnsi"/>
          <w:b/>
          <w:color w:val="0070C0"/>
        </w:rPr>
        <w:t xml:space="preserve"> legal </w:t>
      </w:r>
      <w:r w:rsidR="00C01D3C" w:rsidRPr="001C6C9F">
        <w:rPr>
          <w:rFonts w:ascii="Cambria" w:hAnsi="Cambria" w:cstheme="minorHAnsi"/>
          <w:b/>
          <w:color w:val="0070C0"/>
        </w:rPr>
        <w:t>consequences</w:t>
      </w:r>
      <w:r w:rsidRPr="001C6C9F">
        <w:rPr>
          <w:rFonts w:ascii="Cambria" w:hAnsi="Cambria" w:cstheme="minorHAnsi"/>
          <w:b/>
          <w:color w:val="0070C0"/>
        </w:rPr>
        <w:t xml:space="preserve">, as well as any documented effects, positive </w:t>
      </w:r>
      <w:r w:rsidR="00C01D3C" w:rsidRPr="001C6C9F">
        <w:rPr>
          <w:rFonts w:ascii="Cambria" w:hAnsi="Cambria" w:cstheme="minorHAnsi"/>
          <w:b/>
          <w:color w:val="0070C0"/>
        </w:rPr>
        <w:t>or</w:t>
      </w:r>
      <w:r w:rsidRPr="001C6C9F">
        <w:rPr>
          <w:rFonts w:ascii="Cambria" w:hAnsi="Cambria" w:cstheme="minorHAnsi"/>
          <w:b/>
          <w:color w:val="0070C0"/>
        </w:rPr>
        <w:t xml:space="preserve"> negati</w:t>
      </w:r>
      <w:r w:rsidR="00C01D3C" w:rsidRPr="001C6C9F">
        <w:rPr>
          <w:rFonts w:ascii="Cambria" w:hAnsi="Cambria" w:cstheme="minorHAnsi"/>
          <w:b/>
          <w:color w:val="0070C0"/>
        </w:rPr>
        <w:t>v</w:t>
      </w:r>
      <w:r w:rsidRPr="001C6C9F">
        <w:rPr>
          <w:rFonts w:ascii="Cambria" w:hAnsi="Cambria" w:cstheme="minorHAnsi"/>
          <w:b/>
          <w:color w:val="0070C0"/>
        </w:rPr>
        <w:t xml:space="preserve">e, planned or unintended, of </w:t>
      </w:r>
      <w:r w:rsidR="00C01D3C" w:rsidRPr="001C6C9F">
        <w:rPr>
          <w:rFonts w:ascii="Cambria" w:hAnsi="Cambria" w:cstheme="minorHAnsi"/>
          <w:b/>
          <w:color w:val="0070C0"/>
        </w:rPr>
        <w:t>the</w:t>
      </w:r>
      <w:r w:rsidRPr="001C6C9F">
        <w:rPr>
          <w:rFonts w:ascii="Cambria" w:hAnsi="Cambria" w:cstheme="minorHAnsi"/>
          <w:b/>
          <w:color w:val="0070C0"/>
        </w:rPr>
        <w:t xml:space="preserve">: </w:t>
      </w:r>
      <w:r w:rsidR="00C01D3C" w:rsidRPr="001C6C9F">
        <w:rPr>
          <w:rFonts w:ascii="Cambria" w:hAnsi="Cambria" w:cstheme="minorHAnsi"/>
          <w:b/>
          <w:color w:val="0070C0"/>
        </w:rPr>
        <w:t>application</w:t>
      </w:r>
      <w:r w:rsidRPr="001C6C9F">
        <w:rPr>
          <w:rFonts w:ascii="Cambria" w:hAnsi="Cambria" w:cstheme="minorHAnsi"/>
          <w:b/>
          <w:color w:val="0070C0"/>
        </w:rPr>
        <w:t xml:space="preserve"> of </w:t>
      </w:r>
      <w:r w:rsidR="00C01D3C" w:rsidRPr="001C6C9F">
        <w:rPr>
          <w:rFonts w:ascii="Cambria" w:hAnsi="Cambria" w:cstheme="minorHAnsi"/>
          <w:b/>
          <w:color w:val="0070C0"/>
        </w:rPr>
        <w:t>the</w:t>
      </w:r>
      <w:r w:rsidRPr="001C6C9F">
        <w:rPr>
          <w:rFonts w:ascii="Cambria" w:hAnsi="Cambria" w:cstheme="minorHAnsi"/>
          <w:b/>
          <w:color w:val="0070C0"/>
        </w:rPr>
        <w:t xml:space="preserve"> legal </w:t>
      </w:r>
      <w:r w:rsidR="00C01D3C" w:rsidRPr="001C6C9F">
        <w:rPr>
          <w:rFonts w:ascii="Cambria" w:hAnsi="Cambria" w:cstheme="minorHAnsi"/>
          <w:b/>
          <w:color w:val="0070C0"/>
        </w:rPr>
        <w:t>framework.</w:t>
      </w:r>
    </w:p>
    <w:p w14:paraId="02E72951" w14:textId="3D96D343" w:rsidR="001C6C9F" w:rsidRPr="009046CE" w:rsidRDefault="009046CE" w:rsidP="009046CE">
      <w:pPr>
        <w:rPr>
          <w:rFonts w:ascii="Cambria" w:hAnsi="Cambria" w:cstheme="minorHAnsi"/>
          <w:bCs/>
        </w:rPr>
      </w:pPr>
      <w:r w:rsidRPr="009046CE">
        <w:rPr>
          <w:rFonts w:ascii="Cambria" w:hAnsi="Cambria" w:cstheme="minorHAnsi"/>
          <w:bCs/>
        </w:rPr>
        <w:t>N/A</w:t>
      </w:r>
    </w:p>
    <w:p w14:paraId="5E0F144F" w14:textId="77777777" w:rsidR="009046CE" w:rsidRPr="009046CE" w:rsidRDefault="009046CE" w:rsidP="009046CE">
      <w:pPr>
        <w:rPr>
          <w:rFonts w:ascii="Cambria" w:hAnsi="Cambria" w:cstheme="minorHAnsi"/>
          <w:b/>
          <w:color w:val="0070C0"/>
        </w:rPr>
      </w:pPr>
    </w:p>
    <w:p w14:paraId="7928BB13" w14:textId="77777777" w:rsidR="000C76E8" w:rsidRPr="001C6C9F" w:rsidRDefault="000C76E8" w:rsidP="00C01D3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Statistical data on the enforcement of legal measures, including, when releva</w:t>
      </w:r>
      <w:r w:rsidR="00C01D3C" w:rsidRPr="001C6C9F">
        <w:rPr>
          <w:rFonts w:ascii="Cambria" w:hAnsi="Cambria" w:cstheme="minorHAnsi"/>
          <w:b/>
          <w:color w:val="0070C0"/>
        </w:rPr>
        <w:t>nt:</w:t>
      </w:r>
    </w:p>
    <w:p w14:paraId="2A9DC004" w14:textId="77777777" w:rsidR="00317B8C" w:rsidRPr="001C6C9F" w:rsidRDefault="00317B8C" w:rsidP="00317B8C">
      <w:pPr>
        <w:spacing w:line="276" w:lineRule="auto"/>
        <w:ind w:left="360"/>
        <w:jc w:val="both"/>
        <w:rPr>
          <w:rFonts w:ascii="Cambria" w:hAnsi="Cambria" w:cstheme="minorHAnsi"/>
          <w:b/>
          <w:color w:val="0070C0"/>
        </w:rPr>
      </w:pPr>
    </w:p>
    <w:p w14:paraId="00DC2A74" w14:textId="77777777" w:rsidR="000C76E8" w:rsidRPr="001C6C9F" w:rsidRDefault="00C01D3C" w:rsidP="00C01D3C">
      <w:pPr>
        <w:pStyle w:val="ListParagraph"/>
        <w:numPr>
          <w:ilvl w:val="0"/>
          <w:numId w:val="14"/>
        </w:numPr>
        <w:spacing w:line="276" w:lineRule="auto"/>
        <w:jc w:val="both"/>
        <w:rPr>
          <w:rFonts w:ascii="Cambria" w:hAnsi="Cambria" w:cstheme="minorHAnsi"/>
          <w:b/>
          <w:color w:val="0070C0"/>
        </w:rPr>
      </w:pPr>
      <w:r w:rsidRPr="001C6C9F">
        <w:rPr>
          <w:rFonts w:ascii="Cambria" w:hAnsi="Cambria" w:cstheme="minorHAnsi"/>
          <w:b/>
          <w:color w:val="0070C0"/>
        </w:rPr>
        <w:t xml:space="preserve">If </w:t>
      </w:r>
      <w:r w:rsidR="000C76E8" w:rsidRPr="001C6C9F">
        <w:rPr>
          <w:rFonts w:ascii="Cambria" w:hAnsi="Cambria" w:cstheme="minorHAnsi"/>
          <w:b/>
          <w:color w:val="0070C0"/>
        </w:rPr>
        <w:t xml:space="preserve">CEFM is </w:t>
      </w:r>
      <w:r w:rsidRPr="001C6C9F">
        <w:rPr>
          <w:rFonts w:ascii="Cambria" w:hAnsi="Cambria" w:cstheme="minorHAnsi"/>
          <w:b/>
          <w:color w:val="0070C0"/>
        </w:rPr>
        <w:t>prohibited</w:t>
      </w:r>
      <w:r w:rsidR="000C76E8" w:rsidRPr="001C6C9F">
        <w:rPr>
          <w:rFonts w:ascii="Cambria" w:hAnsi="Cambria" w:cstheme="minorHAnsi"/>
          <w:b/>
          <w:color w:val="0070C0"/>
        </w:rPr>
        <w:t xml:space="preserve"> and/or criminalised, </w:t>
      </w:r>
      <w:r w:rsidRPr="001C6C9F">
        <w:rPr>
          <w:rFonts w:ascii="Cambria" w:hAnsi="Cambria" w:cstheme="minorHAnsi"/>
          <w:b/>
          <w:color w:val="0070C0"/>
        </w:rPr>
        <w:t>the</w:t>
      </w:r>
      <w:r w:rsidR="000C76E8" w:rsidRPr="001C6C9F">
        <w:rPr>
          <w:rFonts w:ascii="Cambria" w:hAnsi="Cambria" w:cstheme="minorHAnsi"/>
          <w:b/>
          <w:color w:val="0070C0"/>
        </w:rPr>
        <w:t xml:space="preserve"> number of cases prosecuted, who </w:t>
      </w:r>
      <w:r w:rsidRPr="001C6C9F">
        <w:rPr>
          <w:rFonts w:ascii="Cambria" w:hAnsi="Cambria" w:cstheme="minorHAnsi"/>
          <w:b/>
          <w:color w:val="0070C0"/>
        </w:rPr>
        <w:t>initiated</w:t>
      </w:r>
      <w:r w:rsidR="000C76E8" w:rsidRPr="001C6C9F">
        <w:rPr>
          <w:rFonts w:ascii="Cambria" w:hAnsi="Cambria" w:cstheme="minorHAnsi"/>
          <w:b/>
          <w:color w:val="0070C0"/>
        </w:rPr>
        <w:t xml:space="preserve"> the legal action (</w:t>
      </w:r>
      <w:r w:rsidRPr="001C6C9F">
        <w:rPr>
          <w:rFonts w:ascii="Cambria" w:hAnsi="Cambria" w:cstheme="minorHAnsi"/>
          <w:b/>
          <w:color w:val="0070C0"/>
        </w:rPr>
        <w:t>prosecutorial</w:t>
      </w:r>
      <w:r w:rsidR="000C76E8" w:rsidRPr="001C6C9F">
        <w:rPr>
          <w:rFonts w:ascii="Cambria" w:hAnsi="Cambria" w:cstheme="minorHAnsi"/>
          <w:b/>
          <w:color w:val="0070C0"/>
        </w:rPr>
        <w:t xml:space="preserve"> author</w:t>
      </w:r>
      <w:r w:rsidRPr="001C6C9F">
        <w:rPr>
          <w:rFonts w:ascii="Cambria" w:hAnsi="Cambria" w:cstheme="minorHAnsi"/>
          <w:b/>
          <w:color w:val="0070C0"/>
        </w:rPr>
        <w:t>ities,</w:t>
      </w:r>
      <w:r w:rsidR="000C76E8" w:rsidRPr="001C6C9F">
        <w:rPr>
          <w:rFonts w:ascii="Cambria" w:hAnsi="Cambria" w:cstheme="minorHAnsi"/>
          <w:b/>
          <w:color w:val="0070C0"/>
        </w:rPr>
        <w:t xml:space="preserve"> </w:t>
      </w:r>
      <w:r w:rsidRPr="001C6C9F">
        <w:rPr>
          <w:rFonts w:ascii="Cambria" w:hAnsi="Cambria" w:cstheme="minorHAnsi"/>
          <w:b/>
          <w:color w:val="0070C0"/>
        </w:rPr>
        <w:t>victims</w:t>
      </w:r>
      <w:r w:rsidR="000C76E8" w:rsidRPr="001C6C9F">
        <w:rPr>
          <w:rFonts w:ascii="Cambria" w:hAnsi="Cambria" w:cstheme="minorHAnsi"/>
          <w:b/>
          <w:color w:val="0070C0"/>
        </w:rPr>
        <w:t>, or others) and who is prosecuted</w:t>
      </w:r>
      <w:r w:rsidRPr="001C6C9F">
        <w:rPr>
          <w:rFonts w:ascii="Cambria" w:hAnsi="Cambria" w:cstheme="minorHAnsi"/>
          <w:b/>
          <w:color w:val="0070C0"/>
        </w:rPr>
        <w:t xml:space="preserve">) </w:t>
      </w:r>
      <w:r w:rsidR="000C76E8" w:rsidRPr="001C6C9F">
        <w:rPr>
          <w:rFonts w:ascii="Cambria" w:hAnsi="Cambria" w:cstheme="minorHAnsi"/>
          <w:b/>
          <w:color w:val="0070C0"/>
        </w:rPr>
        <w:t xml:space="preserve">(children, </w:t>
      </w:r>
      <w:r w:rsidR="000C76E8" w:rsidRPr="001C6C9F">
        <w:rPr>
          <w:rFonts w:ascii="Cambria" w:hAnsi="Cambria" w:cstheme="minorHAnsi"/>
          <w:b/>
          <w:color w:val="0070C0"/>
        </w:rPr>
        <w:lastRenderedPageBreak/>
        <w:t>pare</w:t>
      </w:r>
      <w:r w:rsidRPr="001C6C9F">
        <w:rPr>
          <w:rFonts w:ascii="Cambria" w:hAnsi="Cambria" w:cstheme="minorHAnsi"/>
          <w:b/>
          <w:color w:val="0070C0"/>
        </w:rPr>
        <w:t>nts</w:t>
      </w:r>
      <w:r w:rsidR="000C76E8" w:rsidRPr="001C6C9F">
        <w:rPr>
          <w:rFonts w:ascii="Cambria" w:hAnsi="Cambria" w:cstheme="minorHAnsi"/>
          <w:b/>
          <w:color w:val="0070C0"/>
        </w:rPr>
        <w:t>, other relatives or others); as wel</w:t>
      </w:r>
      <w:r w:rsidRPr="001C6C9F">
        <w:rPr>
          <w:rFonts w:ascii="Cambria" w:hAnsi="Cambria" w:cstheme="minorHAnsi"/>
          <w:b/>
          <w:color w:val="0070C0"/>
        </w:rPr>
        <w:t>l</w:t>
      </w:r>
      <w:r w:rsidR="000C76E8" w:rsidRPr="001C6C9F">
        <w:rPr>
          <w:rFonts w:ascii="Cambria" w:hAnsi="Cambria" w:cstheme="minorHAnsi"/>
          <w:b/>
          <w:color w:val="0070C0"/>
        </w:rPr>
        <w:t xml:space="preserve"> as data on </w:t>
      </w:r>
      <w:r w:rsidRPr="001C6C9F">
        <w:rPr>
          <w:rFonts w:ascii="Cambria" w:hAnsi="Cambria" w:cstheme="minorHAnsi"/>
          <w:b/>
          <w:color w:val="0070C0"/>
        </w:rPr>
        <w:t>t</w:t>
      </w:r>
      <w:r w:rsidR="000C76E8" w:rsidRPr="001C6C9F">
        <w:rPr>
          <w:rFonts w:ascii="Cambria" w:hAnsi="Cambria" w:cstheme="minorHAnsi"/>
          <w:b/>
          <w:color w:val="0070C0"/>
        </w:rPr>
        <w:t xml:space="preserve">he number of cases investigated, and cases that result </w:t>
      </w:r>
      <w:r w:rsidRPr="001C6C9F">
        <w:rPr>
          <w:rFonts w:ascii="Cambria" w:hAnsi="Cambria" w:cstheme="minorHAnsi"/>
          <w:b/>
          <w:color w:val="0070C0"/>
        </w:rPr>
        <w:t>i</w:t>
      </w:r>
      <w:r w:rsidR="000C76E8" w:rsidRPr="001C6C9F">
        <w:rPr>
          <w:rFonts w:ascii="Cambria" w:hAnsi="Cambria" w:cstheme="minorHAnsi"/>
          <w:b/>
          <w:color w:val="0070C0"/>
        </w:rPr>
        <w:t xml:space="preserve">n a </w:t>
      </w:r>
      <w:r w:rsidRPr="001C6C9F">
        <w:rPr>
          <w:rFonts w:ascii="Cambria" w:hAnsi="Cambria" w:cstheme="minorHAnsi"/>
          <w:b/>
          <w:color w:val="0070C0"/>
        </w:rPr>
        <w:t>conviction;</w:t>
      </w:r>
      <w:r w:rsidR="000C76E8" w:rsidRPr="001C6C9F">
        <w:rPr>
          <w:rFonts w:ascii="Cambria" w:hAnsi="Cambria" w:cstheme="minorHAnsi"/>
          <w:b/>
          <w:color w:val="0070C0"/>
        </w:rPr>
        <w:t xml:space="preserve"> and </w:t>
      </w:r>
    </w:p>
    <w:p w14:paraId="1955652E" w14:textId="77777777" w:rsidR="00317B8C" w:rsidRPr="001C6C9F" w:rsidRDefault="00317B8C" w:rsidP="00317B8C">
      <w:pPr>
        <w:spacing w:line="276" w:lineRule="auto"/>
        <w:ind w:left="1353"/>
        <w:jc w:val="both"/>
        <w:rPr>
          <w:rFonts w:ascii="Cambria" w:hAnsi="Cambria" w:cstheme="minorHAnsi"/>
          <w:b/>
          <w:color w:val="0070C0"/>
        </w:rPr>
      </w:pPr>
    </w:p>
    <w:p w14:paraId="7C1762A9" w14:textId="77777777" w:rsidR="000C76E8" w:rsidRPr="001C6C9F" w:rsidRDefault="000C76E8" w:rsidP="00C01D3C">
      <w:pPr>
        <w:pStyle w:val="ListParagraph"/>
        <w:numPr>
          <w:ilvl w:val="0"/>
          <w:numId w:val="14"/>
        </w:numPr>
        <w:spacing w:line="276" w:lineRule="auto"/>
        <w:jc w:val="both"/>
        <w:rPr>
          <w:rFonts w:ascii="Cambria" w:hAnsi="Cambria" w:cstheme="minorHAnsi"/>
          <w:b/>
          <w:color w:val="0070C0"/>
        </w:rPr>
      </w:pPr>
      <w:r w:rsidRPr="001C6C9F">
        <w:rPr>
          <w:rFonts w:ascii="Cambria" w:hAnsi="Cambria" w:cstheme="minorHAnsi"/>
          <w:b/>
          <w:color w:val="0070C0"/>
        </w:rPr>
        <w:t>The nu</w:t>
      </w:r>
      <w:r w:rsidR="00C01D3C" w:rsidRPr="001C6C9F">
        <w:rPr>
          <w:rFonts w:ascii="Cambria" w:hAnsi="Cambria" w:cstheme="minorHAnsi"/>
          <w:b/>
          <w:color w:val="0070C0"/>
        </w:rPr>
        <w:t>m</w:t>
      </w:r>
      <w:r w:rsidRPr="001C6C9F">
        <w:rPr>
          <w:rFonts w:ascii="Cambria" w:hAnsi="Cambria" w:cstheme="minorHAnsi"/>
          <w:b/>
          <w:color w:val="0070C0"/>
        </w:rPr>
        <w:t xml:space="preserve">ber of CEFM </w:t>
      </w:r>
      <w:r w:rsidR="00C01D3C" w:rsidRPr="001C6C9F">
        <w:rPr>
          <w:rFonts w:ascii="Cambria" w:hAnsi="Cambria" w:cstheme="minorHAnsi"/>
          <w:b/>
          <w:color w:val="0070C0"/>
        </w:rPr>
        <w:t>annulled</w:t>
      </w:r>
      <w:r w:rsidRPr="001C6C9F">
        <w:rPr>
          <w:rFonts w:ascii="Cambria" w:hAnsi="Cambria" w:cstheme="minorHAnsi"/>
          <w:b/>
          <w:color w:val="0070C0"/>
        </w:rPr>
        <w:t xml:space="preserve"> and other </w:t>
      </w:r>
      <w:r w:rsidR="00C01D3C" w:rsidRPr="001C6C9F">
        <w:rPr>
          <w:rFonts w:ascii="Cambria" w:hAnsi="Cambria" w:cstheme="minorHAnsi"/>
          <w:b/>
          <w:color w:val="0070C0"/>
        </w:rPr>
        <w:t>civil</w:t>
      </w:r>
      <w:r w:rsidRPr="001C6C9F">
        <w:rPr>
          <w:rFonts w:ascii="Cambria" w:hAnsi="Cambria" w:cstheme="minorHAnsi"/>
          <w:b/>
          <w:color w:val="0070C0"/>
        </w:rPr>
        <w:t xml:space="preserve"> or admi</w:t>
      </w:r>
      <w:r w:rsidR="00C01D3C" w:rsidRPr="001C6C9F">
        <w:rPr>
          <w:rFonts w:ascii="Cambria" w:hAnsi="Cambria" w:cstheme="minorHAnsi"/>
          <w:b/>
          <w:color w:val="0070C0"/>
        </w:rPr>
        <w:t>ni</w:t>
      </w:r>
      <w:r w:rsidRPr="001C6C9F">
        <w:rPr>
          <w:rFonts w:ascii="Cambria" w:hAnsi="Cambria" w:cstheme="minorHAnsi"/>
          <w:b/>
          <w:color w:val="0070C0"/>
        </w:rPr>
        <w:t xml:space="preserve">strative related procedures, </w:t>
      </w:r>
    </w:p>
    <w:p w14:paraId="2830E7A4" w14:textId="3EFF0187" w:rsidR="00317B8C" w:rsidRDefault="00317B8C" w:rsidP="009046CE">
      <w:pPr>
        <w:spacing w:line="276" w:lineRule="auto"/>
        <w:jc w:val="both"/>
        <w:rPr>
          <w:rFonts w:ascii="Cambria" w:hAnsi="Cambria" w:cstheme="minorHAnsi"/>
          <w:b/>
          <w:color w:val="0070C0"/>
        </w:rPr>
      </w:pPr>
    </w:p>
    <w:p w14:paraId="3C0896C9" w14:textId="385A4122" w:rsidR="009046CE" w:rsidRPr="007D0B6E" w:rsidRDefault="009046CE" w:rsidP="009046CE">
      <w:pPr>
        <w:spacing w:line="360" w:lineRule="auto"/>
        <w:jc w:val="both"/>
        <w:rPr>
          <w:rFonts w:ascii="Cambria" w:hAnsi="Cambria"/>
          <w:lang w:val="en-US"/>
        </w:rPr>
      </w:pPr>
      <w:r>
        <w:rPr>
          <w:rFonts w:ascii="Cambria" w:hAnsi="Cambria"/>
          <w:lang w:val="en-US"/>
        </w:rPr>
        <w:t>T</w:t>
      </w:r>
      <w:r w:rsidRPr="007D0B6E">
        <w:rPr>
          <w:rFonts w:ascii="Cambria" w:hAnsi="Cambria"/>
          <w:lang w:val="en-US"/>
        </w:rPr>
        <w:t>he GNR has</w:t>
      </w:r>
      <w:r>
        <w:rPr>
          <w:rFonts w:ascii="Cambria" w:hAnsi="Cambria"/>
          <w:lang w:val="en-US"/>
        </w:rPr>
        <w:t xml:space="preserve"> only</w:t>
      </w:r>
      <w:r w:rsidRPr="007D0B6E">
        <w:rPr>
          <w:rFonts w:ascii="Cambria" w:hAnsi="Cambria"/>
          <w:lang w:val="en-US"/>
        </w:rPr>
        <w:t xml:space="preserve"> received two </w:t>
      </w:r>
      <w:r>
        <w:rPr>
          <w:rFonts w:ascii="Cambria" w:hAnsi="Cambria"/>
          <w:lang w:val="en-US"/>
        </w:rPr>
        <w:t>complaints</w:t>
      </w:r>
      <w:r w:rsidRPr="007D0B6E">
        <w:rPr>
          <w:rFonts w:ascii="Cambria" w:hAnsi="Cambria"/>
          <w:lang w:val="en-US"/>
        </w:rPr>
        <w:t xml:space="preserve"> from the school universe, both referring to girls.</w:t>
      </w:r>
    </w:p>
    <w:p w14:paraId="1DE38240" w14:textId="77777777" w:rsidR="009046CE" w:rsidRPr="001C6C9F" w:rsidRDefault="009046CE" w:rsidP="009046CE">
      <w:pPr>
        <w:spacing w:line="276" w:lineRule="auto"/>
        <w:jc w:val="both"/>
        <w:rPr>
          <w:rFonts w:ascii="Cambria" w:hAnsi="Cambria" w:cstheme="minorHAnsi"/>
          <w:b/>
          <w:color w:val="0070C0"/>
        </w:rPr>
      </w:pPr>
    </w:p>
    <w:p w14:paraId="77335292" w14:textId="77777777" w:rsidR="000C76E8" w:rsidRPr="001C6C9F" w:rsidRDefault="000C76E8" w:rsidP="00317B8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 xml:space="preserve">Concrete measures implemented to ensure the integration of a </w:t>
      </w:r>
      <w:r w:rsidR="00317B8C" w:rsidRPr="001C6C9F">
        <w:rPr>
          <w:rFonts w:ascii="Cambria" w:hAnsi="Cambria" w:cstheme="minorHAnsi"/>
          <w:b/>
          <w:color w:val="0070C0"/>
        </w:rPr>
        <w:t>human</w:t>
      </w:r>
      <w:r w:rsidRPr="001C6C9F">
        <w:rPr>
          <w:rFonts w:ascii="Cambria" w:hAnsi="Cambria" w:cstheme="minorHAnsi"/>
          <w:b/>
          <w:color w:val="0070C0"/>
        </w:rPr>
        <w:t xml:space="preserve"> rights-based approach in judicial proceeding against CE</w:t>
      </w:r>
      <w:r w:rsidR="00317B8C" w:rsidRPr="001C6C9F">
        <w:rPr>
          <w:rFonts w:ascii="Cambria" w:hAnsi="Cambria" w:cstheme="minorHAnsi"/>
          <w:b/>
          <w:color w:val="0070C0"/>
        </w:rPr>
        <w:t>FM</w:t>
      </w:r>
      <w:r w:rsidRPr="001C6C9F">
        <w:rPr>
          <w:rFonts w:ascii="Cambria" w:hAnsi="Cambria" w:cstheme="minorHAnsi"/>
          <w:b/>
          <w:color w:val="0070C0"/>
        </w:rPr>
        <w:t xml:space="preserve"> including age </w:t>
      </w:r>
      <w:r w:rsidR="00317B8C" w:rsidRPr="001C6C9F">
        <w:rPr>
          <w:rFonts w:ascii="Cambria" w:hAnsi="Cambria" w:cstheme="minorHAnsi"/>
          <w:b/>
          <w:color w:val="0070C0"/>
        </w:rPr>
        <w:t>a</w:t>
      </w:r>
      <w:r w:rsidRPr="001C6C9F">
        <w:rPr>
          <w:rFonts w:ascii="Cambria" w:hAnsi="Cambria" w:cstheme="minorHAnsi"/>
          <w:b/>
          <w:color w:val="0070C0"/>
        </w:rPr>
        <w:t xml:space="preserve">nd gender </w:t>
      </w:r>
      <w:r w:rsidR="00317B8C" w:rsidRPr="001C6C9F">
        <w:rPr>
          <w:rFonts w:ascii="Cambria" w:hAnsi="Cambria" w:cstheme="minorHAnsi"/>
          <w:b/>
          <w:color w:val="0070C0"/>
        </w:rPr>
        <w:t>sensitivity</w:t>
      </w:r>
      <w:r w:rsidRPr="001C6C9F">
        <w:rPr>
          <w:rFonts w:ascii="Cambria" w:hAnsi="Cambria" w:cstheme="minorHAnsi"/>
          <w:b/>
          <w:color w:val="0070C0"/>
        </w:rPr>
        <w:t xml:space="preserve">, victim-centred approach, </w:t>
      </w:r>
      <w:r w:rsidR="00317B8C" w:rsidRPr="001C6C9F">
        <w:rPr>
          <w:rFonts w:ascii="Cambria" w:hAnsi="Cambria" w:cstheme="minorHAnsi"/>
          <w:b/>
          <w:color w:val="0070C0"/>
        </w:rPr>
        <w:t>respect</w:t>
      </w:r>
      <w:r w:rsidRPr="001C6C9F">
        <w:rPr>
          <w:rFonts w:ascii="Cambria" w:hAnsi="Cambria" w:cstheme="minorHAnsi"/>
          <w:b/>
          <w:color w:val="0070C0"/>
        </w:rPr>
        <w:t xml:space="preserve"> of the best interest of the </w:t>
      </w:r>
      <w:r w:rsidR="00317B8C" w:rsidRPr="001C6C9F">
        <w:rPr>
          <w:rFonts w:ascii="Cambria" w:hAnsi="Cambria" w:cstheme="minorHAnsi"/>
          <w:b/>
          <w:color w:val="0070C0"/>
        </w:rPr>
        <w:t>child</w:t>
      </w:r>
      <w:r w:rsidRPr="001C6C9F">
        <w:rPr>
          <w:rFonts w:ascii="Cambria" w:hAnsi="Cambria" w:cstheme="minorHAnsi"/>
          <w:b/>
          <w:color w:val="0070C0"/>
        </w:rPr>
        <w:t xml:space="preserve">, consideration of the evolving capacities of </w:t>
      </w:r>
      <w:r w:rsidR="00317B8C" w:rsidRPr="001C6C9F">
        <w:rPr>
          <w:rFonts w:ascii="Cambria" w:hAnsi="Cambria" w:cstheme="minorHAnsi"/>
          <w:b/>
          <w:color w:val="0070C0"/>
        </w:rPr>
        <w:t>the</w:t>
      </w:r>
      <w:r w:rsidRPr="001C6C9F">
        <w:rPr>
          <w:rFonts w:ascii="Cambria" w:hAnsi="Cambria" w:cstheme="minorHAnsi"/>
          <w:b/>
          <w:color w:val="0070C0"/>
        </w:rPr>
        <w:t xml:space="preserve"> </w:t>
      </w:r>
      <w:r w:rsidR="00317B8C" w:rsidRPr="001C6C9F">
        <w:rPr>
          <w:rFonts w:ascii="Cambria" w:hAnsi="Cambria" w:cstheme="minorHAnsi"/>
          <w:b/>
          <w:color w:val="0070C0"/>
        </w:rPr>
        <w:t>chil</w:t>
      </w:r>
      <w:r w:rsidRPr="001C6C9F">
        <w:rPr>
          <w:rFonts w:ascii="Cambria" w:hAnsi="Cambria" w:cstheme="minorHAnsi"/>
          <w:b/>
          <w:color w:val="0070C0"/>
        </w:rPr>
        <w:t xml:space="preserve">dren, including adolescents, as well as their right to be heard. </w:t>
      </w:r>
    </w:p>
    <w:p w14:paraId="06F39CA2" w14:textId="1B7A4DFA" w:rsidR="00317B8C" w:rsidRPr="009046CE" w:rsidRDefault="009046CE" w:rsidP="009046CE">
      <w:pPr>
        <w:spacing w:line="276" w:lineRule="auto"/>
        <w:jc w:val="both"/>
        <w:rPr>
          <w:rFonts w:ascii="Cambria" w:hAnsi="Cambria" w:cstheme="minorHAnsi"/>
          <w:bCs/>
        </w:rPr>
      </w:pPr>
      <w:r w:rsidRPr="009046CE">
        <w:rPr>
          <w:rFonts w:ascii="Cambria" w:hAnsi="Cambria" w:cstheme="minorHAnsi"/>
          <w:bCs/>
        </w:rPr>
        <w:t>N/A</w:t>
      </w:r>
    </w:p>
    <w:p w14:paraId="3E0E2552" w14:textId="77777777" w:rsidR="009046CE" w:rsidRPr="001C6C9F" w:rsidRDefault="009046CE" w:rsidP="009046CE">
      <w:pPr>
        <w:spacing w:line="276" w:lineRule="auto"/>
        <w:jc w:val="both"/>
        <w:rPr>
          <w:rFonts w:ascii="Cambria" w:hAnsi="Cambria" w:cstheme="minorHAnsi"/>
          <w:b/>
          <w:color w:val="0070C0"/>
        </w:rPr>
      </w:pPr>
    </w:p>
    <w:p w14:paraId="4ACCB46A" w14:textId="77777777" w:rsidR="000C76E8" w:rsidRPr="001C6C9F" w:rsidRDefault="000C76E8" w:rsidP="00317B8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The domes</w:t>
      </w:r>
      <w:r w:rsidR="00317B8C" w:rsidRPr="001C6C9F">
        <w:rPr>
          <w:rFonts w:ascii="Cambria" w:hAnsi="Cambria" w:cstheme="minorHAnsi"/>
          <w:b/>
          <w:color w:val="0070C0"/>
        </w:rPr>
        <w:t>ti</w:t>
      </w:r>
      <w:r w:rsidRPr="001C6C9F">
        <w:rPr>
          <w:rFonts w:ascii="Cambria" w:hAnsi="Cambria" w:cstheme="minorHAnsi"/>
          <w:b/>
          <w:color w:val="0070C0"/>
        </w:rPr>
        <w:t xml:space="preserve">c </w:t>
      </w:r>
      <w:r w:rsidR="00317B8C" w:rsidRPr="001C6C9F">
        <w:rPr>
          <w:rFonts w:ascii="Cambria" w:hAnsi="Cambria" w:cstheme="minorHAnsi"/>
          <w:b/>
          <w:color w:val="0070C0"/>
        </w:rPr>
        <w:t>articulation</w:t>
      </w:r>
      <w:r w:rsidRPr="001C6C9F">
        <w:rPr>
          <w:rFonts w:ascii="Cambria" w:hAnsi="Cambria" w:cstheme="minorHAnsi"/>
          <w:b/>
          <w:color w:val="0070C0"/>
        </w:rPr>
        <w:t xml:space="preserve"> of the right to a remedy for </w:t>
      </w:r>
      <w:r w:rsidR="00317B8C" w:rsidRPr="001C6C9F">
        <w:rPr>
          <w:rFonts w:ascii="Cambria" w:hAnsi="Cambria" w:cstheme="minorHAnsi"/>
          <w:b/>
          <w:color w:val="0070C0"/>
        </w:rPr>
        <w:t>v</w:t>
      </w:r>
      <w:r w:rsidRPr="001C6C9F">
        <w:rPr>
          <w:rFonts w:ascii="Cambria" w:hAnsi="Cambria" w:cstheme="minorHAnsi"/>
          <w:b/>
          <w:color w:val="0070C0"/>
        </w:rPr>
        <w:t xml:space="preserve">ictims of CEFM. including concrete </w:t>
      </w:r>
      <w:r w:rsidR="00317B8C" w:rsidRPr="001C6C9F">
        <w:rPr>
          <w:rFonts w:ascii="Cambria" w:hAnsi="Cambria" w:cstheme="minorHAnsi"/>
          <w:b/>
          <w:color w:val="0070C0"/>
        </w:rPr>
        <w:t>measures</w:t>
      </w:r>
      <w:r w:rsidRPr="001C6C9F">
        <w:rPr>
          <w:rFonts w:ascii="Cambria" w:hAnsi="Cambria" w:cstheme="minorHAnsi"/>
          <w:b/>
          <w:color w:val="0070C0"/>
        </w:rPr>
        <w:t xml:space="preserve"> to guarantee </w:t>
      </w:r>
      <w:r w:rsidR="00317B8C" w:rsidRPr="001C6C9F">
        <w:rPr>
          <w:rFonts w:ascii="Cambria" w:hAnsi="Cambria" w:cstheme="minorHAnsi"/>
          <w:b/>
          <w:color w:val="0070C0"/>
        </w:rPr>
        <w:t>their</w:t>
      </w:r>
      <w:r w:rsidRPr="001C6C9F">
        <w:rPr>
          <w:rFonts w:ascii="Cambria" w:hAnsi="Cambria" w:cstheme="minorHAnsi"/>
          <w:b/>
          <w:color w:val="0070C0"/>
        </w:rPr>
        <w:t xml:space="preserve"> right lo reparations</w:t>
      </w:r>
      <w:r w:rsidR="00317B8C" w:rsidRPr="001C6C9F">
        <w:rPr>
          <w:rFonts w:ascii="Cambria" w:hAnsi="Cambria" w:cstheme="minorHAnsi"/>
          <w:b/>
          <w:color w:val="0070C0"/>
        </w:rPr>
        <w:t>.</w:t>
      </w:r>
    </w:p>
    <w:p w14:paraId="2A321DE0" w14:textId="74902B21" w:rsidR="00317B8C" w:rsidRDefault="00317B8C" w:rsidP="009046CE">
      <w:pPr>
        <w:rPr>
          <w:rFonts w:ascii="Cambria" w:hAnsi="Cambria" w:cstheme="minorHAnsi"/>
          <w:b/>
          <w:color w:val="0070C0"/>
        </w:rPr>
      </w:pPr>
    </w:p>
    <w:p w14:paraId="59D38487" w14:textId="074C3B13" w:rsidR="009046CE" w:rsidRPr="009046CE" w:rsidRDefault="009046CE" w:rsidP="009046CE">
      <w:pPr>
        <w:rPr>
          <w:rFonts w:ascii="Cambria" w:hAnsi="Cambria" w:cstheme="minorHAnsi"/>
          <w:bCs/>
        </w:rPr>
      </w:pPr>
      <w:r w:rsidRPr="009046CE">
        <w:rPr>
          <w:rFonts w:ascii="Cambria" w:hAnsi="Cambria" w:cstheme="minorHAnsi"/>
          <w:bCs/>
        </w:rPr>
        <w:t>N/A</w:t>
      </w:r>
    </w:p>
    <w:p w14:paraId="0DF113C5" w14:textId="77777777" w:rsidR="009046CE" w:rsidRPr="009046CE" w:rsidRDefault="009046CE" w:rsidP="009046CE">
      <w:pPr>
        <w:rPr>
          <w:rFonts w:ascii="Cambria" w:hAnsi="Cambria" w:cstheme="minorHAnsi"/>
          <w:b/>
          <w:color w:val="0070C0"/>
        </w:rPr>
      </w:pPr>
    </w:p>
    <w:p w14:paraId="5FB0EC45" w14:textId="77777777" w:rsidR="000C76E8" w:rsidRPr="001C6C9F" w:rsidRDefault="00317B8C" w:rsidP="00834576">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A</w:t>
      </w:r>
      <w:r w:rsidR="000C76E8" w:rsidRPr="001C6C9F">
        <w:rPr>
          <w:rFonts w:ascii="Cambria" w:hAnsi="Cambria" w:cstheme="minorHAnsi"/>
          <w:b/>
          <w:color w:val="0070C0"/>
        </w:rPr>
        <w:t xml:space="preserve">ny examples, good </w:t>
      </w:r>
      <w:r w:rsidRPr="001C6C9F">
        <w:rPr>
          <w:rFonts w:ascii="Cambria" w:hAnsi="Cambria" w:cstheme="minorHAnsi"/>
          <w:b/>
          <w:color w:val="0070C0"/>
        </w:rPr>
        <w:t>practices</w:t>
      </w:r>
      <w:r w:rsidR="000C76E8" w:rsidRPr="001C6C9F">
        <w:rPr>
          <w:rFonts w:ascii="Cambria" w:hAnsi="Cambria" w:cstheme="minorHAnsi"/>
          <w:b/>
          <w:color w:val="0070C0"/>
        </w:rPr>
        <w:t xml:space="preserve"> or </w:t>
      </w:r>
      <w:r w:rsidRPr="001C6C9F">
        <w:rPr>
          <w:rFonts w:ascii="Cambria" w:hAnsi="Cambria" w:cstheme="minorHAnsi"/>
          <w:b/>
          <w:color w:val="0070C0"/>
        </w:rPr>
        <w:t>lessons</w:t>
      </w:r>
      <w:r w:rsidR="000C76E8" w:rsidRPr="001C6C9F">
        <w:rPr>
          <w:rFonts w:ascii="Cambria" w:hAnsi="Cambria" w:cstheme="minorHAnsi"/>
          <w:b/>
          <w:color w:val="0070C0"/>
        </w:rPr>
        <w:t xml:space="preserve"> learnt on </w:t>
      </w:r>
      <w:r w:rsidRPr="001C6C9F">
        <w:rPr>
          <w:rFonts w:ascii="Cambria" w:hAnsi="Cambria" w:cstheme="minorHAnsi"/>
          <w:b/>
          <w:color w:val="0070C0"/>
        </w:rPr>
        <w:t>the</w:t>
      </w:r>
      <w:r w:rsidR="000C76E8" w:rsidRPr="001C6C9F">
        <w:rPr>
          <w:rFonts w:ascii="Cambria" w:hAnsi="Cambria" w:cstheme="minorHAnsi"/>
          <w:b/>
          <w:color w:val="0070C0"/>
        </w:rPr>
        <w:t xml:space="preserve"> use of </w:t>
      </w:r>
      <w:r w:rsidRPr="001C6C9F">
        <w:rPr>
          <w:rFonts w:ascii="Cambria" w:hAnsi="Cambria" w:cstheme="minorHAnsi"/>
          <w:b/>
          <w:color w:val="0070C0"/>
        </w:rPr>
        <w:t>strategic</w:t>
      </w:r>
      <w:r w:rsidR="000C76E8" w:rsidRPr="001C6C9F">
        <w:rPr>
          <w:rFonts w:ascii="Cambria" w:hAnsi="Cambria" w:cstheme="minorHAnsi"/>
          <w:b/>
          <w:color w:val="0070C0"/>
        </w:rPr>
        <w:t xml:space="preserve"> </w:t>
      </w:r>
      <w:r w:rsidRPr="001C6C9F">
        <w:rPr>
          <w:rFonts w:ascii="Cambria" w:hAnsi="Cambria" w:cstheme="minorHAnsi"/>
          <w:b/>
          <w:color w:val="0070C0"/>
        </w:rPr>
        <w:t>litigation</w:t>
      </w:r>
      <w:r w:rsidR="000C76E8" w:rsidRPr="001C6C9F">
        <w:rPr>
          <w:rFonts w:ascii="Cambria" w:hAnsi="Cambria" w:cstheme="minorHAnsi"/>
          <w:b/>
          <w:color w:val="0070C0"/>
        </w:rPr>
        <w:t xml:space="preserve"> </w:t>
      </w:r>
      <w:r w:rsidRPr="001C6C9F">
        <w:rPr>
          <w:rFonts w:ascii="Cambria" w:hAnsi="Cambria" w:cstheme="minorHAnsi"/>
          <w:b/>
          <w:color w:val="0070C0"/>
        </w:rPr>
        <w:t>related</w:t>
      </w:r>
      <w:r w:rsidR="000C76E8" w:rsidRPr="001C6C9F">
        <w:rPr>
          <w:rFonts w:ascii="Cambria" w:hAnsi="Cambria" w:cstheme="minorHAnsi"/>
          <w:b/>
          <w:color w:val="0070C0"/>
        </w:rPr>
        <w:t xml:space="preserve"> to CE</w:t>
      </w:r>
      <w:r w:rsidRPr="001C6C9F">
        <w:rPr>
          <w:rFonts w:ascii="Cambria" w:hAnsi="Cambria" w:cstheme="minorHAnsi"/>
          <w:b/>
          <w:color w:val="0070C0"/>
        </w:rPr>
        <w:t>F</w:t>
      </w:r>
      <w:r w:rsidR="000C76E8" w:rsidRPr="001C6C9F">
        <w:rPr>
          <w:rFonts w:ascii="Cambria" w:hAnsi="Cambria" w:cstheme="minorHAnsi"/>
          <w:b/>
          <w:color w:val="0070C0"/>
        </w:rPr>
        <w:t>M and the i</w:t>
      </w:r>
      <w:r w:rsidRPr="001C6C9F">
        <w:rPr>
          <w:rFonts w:ascii="Cambria" w:hAnsi="Cambria" w:cstheme="minorHAnsi"/>
          <w:b/>
          <w:color w:val="0070C0"/>
        </w:rPr>
        <w:t>m</w:t>
      </w:r>
      <w:r w:rsidR="000C76E8" w:rsidRPr="001C6C9F">
        <w:rPr>
          <w:rFonts w:ascii="Cambria" w:hAnsi="Cambria" w:cstheme="minorHAnsi"/>
          <w:b/>
          <w:color w:val="0070C0"/>
        </w:rPr>
        <w:t>pact of such initiatives</w:t>
      </w:r>
      <w:r w:rsidRPr="001C6C9F">
        <w:rPr>
          <w:rFonts w:ascii="Cambria" w:hAnsi="Cambria" w:cstheme="minorHAnsi"/>
          <w:b/>
          <w:color w:val="0070C0"/>
        </w:rPr>
        <w:t>.</w:t>
      </w:r>
    </w:p>
    <w:p w14:paraId="2165015D" w14:textId="381C20DB" w:rsidR="00317B8C" w:rsidRDefault="00317B8C" w:rsidP="009046CE">
      <w:pPr>
        <w:rPr>
          <w:rFonts w:ascii="Cambria" w:hAnsi="Cambria" w:cstheme="minorHAnsi"/>
          <w:b/>
          <w:color w:val="0070C0"/>
        </w:rPr>
      </w:pPr>
    </w:p>
    <w:p w14:paraId="2A2531D9" w14:textId="7A5E8B56" w:rsidR="009046CE" w:rsidRPr="009046CE" w:rsidRDefault="009046CE" w:rsidP="009046CE">
      <w:pPr>
        <w:rPr>
          <w:rFonts w:ascii="Cambria" w:hAnsi="Cambria" w:cstheme="minorHAnsi"/>
          <w:bCs/>
        </w:rPr>
      </w:pPr>
      <w:r w:rsidRPr="009046CE">
        <w:rPr>
          <w:rFonts w:ascii="Cambria" w:hAnsi="Cambria" w:cstheme="minorHAnsi"/>
          <w:bCs/>
        </w:rPr>
        <w:t>N/A</w:t>
      </w:r>
    </w:p>
    <w:p w14:paraId="5116013E" w14:textId="77777777" w:rsidR="009046CE" w:rsidRPr="009046CE" w:rsidRDefault="009046CE" w:rsidP="009046CE">
      <w:pPr>
        <w:rPr>
          <w:rFonts w:ascii="Cambria" w:hAnsi="Cambria" w:cstheme="minorHAnsi"/>
          <w:b/>
          <w:color w:val="0070C0"/>
        </w:rPr>
      </w:pPr>
    </w:p>
    <w:p w14:paraId="3AF20EA6" w14:textId="77777777" w:rsidR="000C76E8" w:rsidRPr="001C6C9F" w:rsidRDefault="000C76E8" w:rsidP="00317B8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 xml:space="preserve">Any examples, good practices or </w:t>
      </w:r>
      <w:r w:rsidR="00317B8C" w:rsidRPr="001C6C9F">
        <w:rPr>
          <w:rFonts w:ascii="Cambria" w:hAnsi="Cambria" w:cstheme="minorHAnsi"/>
          <w:b/>
          <w:color w:val="0070C0"/>
        </w:rPr>
        <w:t>lessons</w:t>
      </w:r>
      <w:r w:rsidRPr="001C6C9F">
        <w:rPr>
          <w:rFonts w:ascii="Cambria" w:hAnsi="Cambria" w:cstheme="minorHAnsi"/>
          <w:b/>
          <w:color w:val="0070C0"/>
        </w:rPr>
        <w:t xml:space="preserve"> learnt on the use of </w:t>
      </w:r>
      <w:r w:rsidR="00317B8C" w:rsidRPr="001C6C9F">
        <w:rPr>
          <w:rFonts w:ascii="Cambria" w:hAnsi="Cambria" w:cstheme="minorHAnsi"/>
          <w:b/>
          <w:color w:val="0070C0"/>
        </w:rPr>
        <w:t>international</w:t>
      </w:r>
      <w:r w:rsidRPr="001C6C9F">
        <w:rPr>
          <w:rFonts w:ascii="Cambria" w:hAnsi="Cambria" w:cstheme="minorHAnsi"/>
          <w:b/>
          <w:color w:val="0070C0"/>
        </w:rPr>
        <w:t xml:space="preserve"> and regional human rights protection </w:t>
      </w:r>
      <w:r w:rsidR="00317B8C" w:rsidRPr="001C6C9F">
        <w:rPr>
          <w:rFonts w:ascii="Cambria" w:hAnsi="Cambria" w:cstheme="minorHAnsi"/>
          <w:b/>
          <w:color w:val="0070C0"/>
        </w:rPr>
        <w:t>me</w:t>
      </w:r>
      <w:r w:rsidRPr="001C6C9F">
        <w:rPr>
          <w:rFonts w:ascii="Cambria" w:hAnsi="Cambria" w:cstheme="minorHAnsi"/>
          <w:b/>
          <w:color w:val="0070C0"/>
        </w:rPr>
        <w:t xml:space="preserve">chanisms </w:t>
      </w:r>
      <w:r w:rsidR="00317B8C" w:rsidRPr="001C6C9F">
        <w:rPr>
          <w:rFonts w:ascii="Cambria" w:hAnsi="Cambria" w:cstheme="minorHAnsi"/>
          <w:b/>
          <w:color w:val="0070C0"/>
        </w:rPr>
        <w:t>i</w:t>
      </w:r>
      <w:r w:rsidRPr="001C6C9F">
        <w:rPr>
          <w:rFonts w:ascii="Cambria" w:hAnsi="Cambria" w:cstheme="minorHAnsi"/>
          <w:b/>
          <w:color w:val="0070C0"/>
        </w:rPr>
        <w:t xml:space="preserve">n relation to CEFM, including efforts made to include information </w:t>
      </w:r>
      <w:r w:rsidR="00317B8C" w:rsidRPr="001C6C9F">
        <w:rPr>
          <w:rFonts w:ascii="Cambria" w:hAnsi="Cambria" w:cstheme="minorHAnsi"/>
          <w:b/>
          <w:color w:val="0070C0"/>
        </w:rPr>
        <w:t xml:space="preserve">on </w:t>
      </w:r>
      <w:r w:rsidRPr="001C6C9F">
        <w:rPr>
          <w:rFonts w:ascii="Cambria" w:hAnsi="Cambria" w:cstheme="minorHAnsi"/>
          <w:b/>
          <w:color w:val="0070C0"/>
        </w:rPr>
        <w:t>CEFM i</w:t>
      </w:r>
      <w:r w:rsidR="00317B8C" w:rsidRPr="001C6C9F">
        <w:rPr>
          <w:rFonts w:ascii="Cambria" w:hAnsi="Cambria" w:cstheme="minorHAnsi"/>
          <w:b/>
          <w:color w:val="0070C0"/>
        </w:rPr>
        <w:t>n</w:t>
      </w:r>
      <w:r w:rsidRPr="001C6C9F">
        <w:rPr>
          <w:rFonts w:ascii="Cambria" w:hAnsi="Cambria" w:cstheme="minorHAnsi"/>
          <w:b/>
          <w:color w:val="0070C0"/>
        </w:rPr>
        <w:t xml:space="preserve"> the reporting </w:t>
      </w:r>
      <w:r w:rsidR="00317B8C" w:rsidRPr="001C6C9F">
        <w:rPr>
          <w:rFonts w:ascii="Cambria" w:hAnsi="Cambria" w:cstheme="minorHAnsi"/>
          <w:b/>
          <w:color w:val="0070C0"/>
        </w:rPr>
        <w:t>of</w:t>
      </w:r>
      <w:r w:rsidRPr="001C6C9F">
        <w:rPr>
          <w:rFonts w:ascii="Cambria" w:hAnsi="Cambria" w:cstheme="minorHAnsi"/>
          <w:b/>
          <w:color w:val="0070C0"/>
        </w:rPr>
        <w:t xml:space="preserve"> such </w:t>
      </w:r>
      <w:r w:rsidR="00317B8C" w:rsidRPr="001C6C9F">
        <w:rPr>
          <w:rFonts w:ascii="Cambria" w:hAnsi="Cambria" w:cstheme="minorHAnsi"/>
          <w:b/>
          <w:color w:val="0070C0"/>
        </w:rPr>
        <w:t>m</w:t>
      </w:r>
      <w:r w:rsidRPr="001C6C9F">
        <w:rPr>
          <w:rFonts w:ascii="Cambria" w:hAnsi="Cambria" w:cstheme="minorHAnsi"/>
          <w:b/>
          <w:color w:val="0070C0"/>
        </w:rPr>
        <w:t>echanis</w:t>
      </w:r>
      <w:r w:rsidR="00317B8C" w:rsidRPr="001C6C9F">
        <w:rPr>
          <w:rFonts w:ascii="Cambria" w:hAnsi="Cambria" w:cstheme="minorHAnsi"/>
          <w:b/>
          <w:color w:val="0070C0"/>
        </w:rPr>
        <w:t>m</w:t>
      </w:r>
      <w:r w:rsidRPr="001C6C9F">
        <w:rPr>
          <w:rFonts w:ascii="Cambria" w:hAnsi="Cambria" w:cstheme="minorHAnsi"/>
          <w:b/>
          <w:color w:val="0070C0"/>
        </w:rPr>
        <w:t>s.</w:t>
      </w:r>
    </w:p>
    <w:p w14:paraId="7328C32E" w14:textId="648A59E7" w:rsidR="00317B8C" w:rsidRDefault="00317B8C" w:rsidP="009046CE">
      <w:pPr>
        <w:rPr>
          <w:rFonts w:ascii="Cambria" w:hAnsi="Cambria" w:cstheme="minorHAnsi"/>
          <w:b/>
          <w:color w:val="0070C0"/>
        </w:rPr>
      </w:pPr>
    </w:p>
    <w:p w14:paraId="2AA7E077" w14:textId="63FDB900" w:rsidR="009046CE" w:rsidRPr="009046CE" w:rsidRDefault="009046CE" w:rsidP="009046CE">
      <w:pPr>
        <w:rPr>
          <w:rFonts w:ascii="Cambria" w:hAnsi="Cambria" w:cstheme="minorHAnsi"/>
          <w:bCs/>
        </w:rPr>
      </w:pPr>
      <w:r w:rsidRPr="009046CE">
        <w:rPr>
          <w:rFonts w:ascii="Cambria" w:hAnsi="Cambria" w:cstheme="minorHAnsi"/>
          <w:bCs/>
        </w:rPr>
        <w:t>N/A</w:t>
      </w:r>
    </w:p>
    <w:p w14:paraId="0ED45471" w14:textId="77777777" w:rsidR="009046CE" w:rsidRPr="009046CE" w:rsidRDefault="009046CE" w:rsidP="009046CE">
      <w:pPr>
        <w:rPr>
          <w:rFonts w:ascii="Cambria" w:hAnsi="Cambria" w:cstheme="minorHAnsi"/>
          <w:b/>
          <w:color w:val="0070C0"/>
        </w:rPr>
      </w:pPr>
    </w:p>
    <w:p w14:paraId="6190BBEA" w14:textId="047CE31C" w:rsidR="00317B8C" w:rsidRDefault="000C76E8" w:rsidP="009046CE">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 xml:space="preserve">Any examples, good practices and lessons learnt by national human rights institutions </w:t>
      </w:r>
      <w:r w:rsidR="00317B8C" w:rsidRPr="001C6C9F">
        <w:rPr>
          <w:rFonts w:ascii="Cambria" w:hAnsi="Cambria" w:cstheme="minorHAnsi"/>
          <w:b/>
          <w:color w:val="0070C0"/>
        </w:rPr>
        <w:t>to</w:t>
      </w:r>
      <w:r w:rsidRPr="001C6C9F">
        <w:rPr>
          <w:rFonts w:ascii="Cambria" w:hAnsi="Cambria" w:cstheme="minorHAnsi"/>
          <w:b/>
          <w:color w:val="0070C0"/>
        </w:rPr>
        <w:t xml:space="preserve"> enhance State accountability for preventing and responding to CEFM.</w:t>
      </w:r>
    </w:p>
    <w:p w14:paraId="46215A53" w14:textId="2316AFBF" w:rsidR="009046CE" w:rsidRDefault="009046CE" w:rsidP="009046CE">
      <w:pPr>
        <w:spacing w:line="276" w:lineRule="auto"/>
        <w:jc w:val="both"/>
        <w:rPr>
          <w:rFonts w:ascii="Cambria" w:hAnsi="Cambria" w:cstheme="minorHAnsi"/>
          <w:b/>
          <w:color w:val="0070C0"/>
        </w:rPr>
      </w:pPr>
    </w:p>
    <w:p w14:paraId="3860F047" w14:textId="609B6299" w:rsidR="009046CE" w:rsidRPr="009046CE" w:rsidRDefault="009046CE" w:rsidP="009046CE">
      <w:pPr>
        <w:spacing w:line="276" w:lineRule="auto"/>
        <w:jc w:val="both"/>
        <w:rPr>
          <w:rFonts w:ascii="Cambria" w:hAnsi="Cambria" w:cstheme="minorHAnsi"/>
          <w:bCs/>
        </w:rPr>
      </w:pPr>
      <w:r w:rsidRPr="009046CE">
        <w:rPr>
          <w:rFonts w:ascii="Cambria" w:hAnsi="Cambria" w:cstheme="minorHAnsi"/>
          <w:bCs/>
        </w:rPr>
        <w:t>N/A</w:t>
      </w:r>
    </w:p>
    <w:p w14:paraId="54BBAF32" w14:textId="77777777" w:rsidR="009046CE" w:rsidRPr="009046CE" w:rsidRDefault="009046CE" w:rsidP="009046CE">
      <w:pPr>
        <w:spacing w:line="276" w:lineRule="auto"/>
        <w:jc w:val="both"/>
        <w:rPr>
          <w:rFonts w:ascii="Cambria" w:hAnsi="Cambria" w:cstheme="minorHAnsi"/>
          <w:b/>
          <w:color w:val="0070C0"/>
        </w:rPr>
      </w:pPr>
    </w:p>
    <w:p w14:paraId="0885E132" w14:textId="77777777" w:rsidR="000C76E8" w:rsidRPr="001C6C9F" w:rsidRDefault="000C76E8" w:rsidP="00317B8C">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t xml:space="preserve">Budgetary </w:t>
      </w:r>
      <w:r w:rsidR="00317B8C" w:rsidRPr="001C6C9F">
        <w:rPr>
          <w:rFonts w:ascii="Cambria" w:hAnsi="Cambria" w:cstheme="minorHAnsi"/>
          <w:b/>
          <w:color w:val="0070C0"/>
        </w:rPr>
        <w:t>im</w:t>
      </w:r>
      <w:r w:rsidRPr="001C6C9F">
        <w:rPr>
          <w:rFonts w:ascii="Cambria" w:hAnsi="Cambria" w:cstheme="minorHAnsi"/>
          <w:b/>
          <w:color w:val="0070C0"/>
        </w:rPr>
        <w:t xml:space="preserve">plications for the State for all </w:t>
      </w:r>
      <w:r w:rsidR="00317B8C" w:rsidRPr="001C6C9F">
        <w:rPr>
          <w:rFonts w:ascii="Cambria" w:hAnsi="Cambria" w:cstheme="minorHAnsi"/>
          <w:b/>
          <w:color w:val="0070C0"/>
        </w:rPr>
        <w:t>measures</w:t>
      </w:r>
      <w:r w:rsidRPr="001C6C9F">
        <w:rPr>
          <w:rFonts w:ascii="Cambria" w:hAnsi="Cambria" w:cstheme="minorHAnsi"/>
          <w:b/>
          <w:color w:val="0070C0"/>
        </w:rPr>
        <w:t xml:space="preserve"> related to CEF</w:t>
      </w:r>
      <w:r w:rsidR="00317B8C" w:rsidRPr="001C6C9F">
        <w:rPr>
          <w:rFonts w:ascii="Cambria" w:hAnsi="Cambria" w:cstheme="minorHAnsi"/>
          <w:b/>
          <w:color w:val="0070C0"/>
        </w:rPr>
        <w:t>M</w:t>
      </w:r>
      <w:r w:rsidRPr="001C6C9F">
        <w:rPr>
          <w:rFonts w:ascii="Cambria" w:hAnsi="Cambria" w:cstheme="minorHAnsi"/>
          <w:b/>
          <w:color w:val="0070C0"/>
        </w:rPr>
        <w:t xml:space="preserve"> and the design of gender and age sensitive </w:t>
      </w:r>
      <w:r w:rsidR="00317B8C" w:rsidRPr="001C6C9F">
        <w:rPr>
          <w:rFonts w:ascii="Cambria" w:hAnsi="Cambria" w:cstheme="minorHAnsi"/>
          <w:b/>
          <w:color w:val="0070C0"/>
        </w:rPr>
        <w:t>budgeting</w:t>
      </w:r>
      <w:r w:rsidRPr="001C6C9F">
        <w:rPr>
          <w:rFonts w:ascii="Cambria" w:hAnsi="Cambria" w:cstheme="minorHAnsi"/>
          <w:b/>
          <w:color w:val="0070C0"/>
        </w:rPr>
        <w:t xml:space="preserve"> and </w:t>
      </w:r>
      <w:r w:rsidR="00317B8C" w:rsidRPr="001C6C9F">
        <w:rPr>
          <w:rFonts w:ascii="Cambria" w:hAnsi="Cambria" w:cstheme="minorHAnsi"/>
          <w:b/>
          <w:color w:val="0070C0"/>
        </w:rPr>
        <w:t>expenditure</w:t>
      </w:r>
      <w:r w:rsidRPr="001C6C9F">
        <w:rPr>
          <w:rFonts w:ascii="Cambria" w:hAnsi="Cambria" w:cstheme="minorHAnsi"/>
          <w:b/>
          <w:color w:val="0070C0"/>
        </w:rPr>
        <w:t xml:space="preserve"> to prevent and respond to CEFM. </w:t>
      </w:r>
    </w:p>
    <w:p w14:paraId="131CDED5" w14:textId="4422604C" w:rsidR="00317B8C" w:rsidRDefault="00317B8C" w:rsidP="009046CE">
      <w:pPr>
        <w:spacing w:line="276" w:lineRule="auto"/>
        <w:jc w:val="both"/>
        <w:rPr>
          <w:rFonts w:ascii="Cambria" w:hAnsi="Cambria" w:cstheme="minorHAnsi"/>
          <w:b/>
          <w:color w:val="0070C0"/>
        </w:rPr>
      </w:pPr>
    </w:p>
    <w:p w14:paraId="75D51FD8" w14:textId="3FD3A9E2" w:rsidR="009046CE" w:rsidRPr="009046CE" w:rsidRDefault="009046CE" w:rsidP="009046CE">
      <w:pPr>
        <w:spacing w:line="276" w:lineRule="auto"/>
        <w:jc w:val="both"/>
        <w:rPr>
          <w:rFonts w:ascii="Cambria" w:hAnsi="Cambria" w:cstheme="minorHAnsi"/>
          <w:bCs/>
        </w:rPr>
      </w:pPr>
      <w:r w:rsidRPr="009046CE">
        <w:rPr>
          <w:rFonts w:ascii="Cambria" w:hAnsi="Cambria" w:cstheme="minorHAnsi"/>
          <w:bCs/>
        </w:rPr>
        <w:t>N/A</w:t>
      </w:r>
    </w:p>
    <w:p w14:paraId="3180CFD2" w14:textId="77777777" w:rsidR="009046CE" w:rsidRPr="001C6C9F" w:rsidRDefault="009046CE" w:rsidP="009046CE">
      <w:pPr>
        <w:spacing w:line="276" w:lineRule="auto"/>
        <w:jc w:val="both"/>
        <w:rPr>
          <w:rFonts w:ascii="Cambria" w:hAnsi="Cambria" w:cstheme="minorHAnsi"/>
          <w:b/>
          <w:color w:val="0070C0"/>
        </w:rPr>
      </w:pPr>
    </w:p>
    <w:p w14:paraId="559D5689" w14:textId="5D615E9F" w:rsidR="000C76E8" w:rsidRDefault="00317B8C" w:rsidP="00312F46">
      <w:pPr>
        <w:pStyle w:val="ListParagraph"/>
        <w:numPr>
          <w:ilvl w:val="0"/>
          <w:numId w:val="13"/>
        </w:numPr>
        <w:spacing w:line="276" w:lineRule="auto"/>
        <w:jc w:val="both"/>
        <w:rPr>
          <w:rFonts w:ascii="Cambria" w:hAnsi="Cambria" w:cstheme="minorHAnsi"/>
          <w:b/>
          <w:color w:val="0070C0"/>
        </w:rPr>
      </w:pPr>
      <w:r w:rsidRPr="001C6C9F">
        <w:rPr>
          <w:rFonts w:ascii="Cambria" w:hAnsi="Cambria" w:cstheme="minorHAnsi"/>
          <w:b/>
          <w:color w:val="0070C0"/>
        </w:rPr>
        <w:lastRenderedPageBreak/>
        <w:t>Methodologies</w:t>
      </w:r>
      <w:r w:rsidR="000C76E8" w:rsidRPr="001C6C9F">
        <w:rPr>
          <w:rFonts w:ascii="Cambria" w:hAnsi="Cambria" w:cstheme="minorHAnsi"/>
          <w:b/>
          <w:color w:val="0070C0"/>
        </w:rPr>
        <w:t xml:space="preserve"> and app</w:t>
      </w:r>
      <w:r w:rsidRPr="001C6C9F">
        <w:rPr>
          <w:rFonts w:ascii="Cambria" w:hAnsi="Cambria" w:cstheme="minorHAnsi"/>
          <w:b/>
          <w:color w:val="0070C0"/>
        </w:rPr>
        <w:t>roa</w:t>
      </w:r>
      <w:r w:rsidR="000C76E8" w:rsidRPr="001C6C9F">
        <w:rPr>
          <w:rFonts w:ascii="Cambria" w:hAnsi="Cambria" w:cstheme="minorHAnsi"/>
          <w:b/>
          <w:color w:val="0070C0"/>
        </w:rPr>
        <w:t xml:space="preserve">ches used by States </w:t>
      </w:r>
      <w:r w:rsidRPr="001C6C9F">
        <w:rPr>
          <w:rFonts w:ascii="Cambria" w:hAnsi="Cambria" w:cstheme="minorHAnsi"/>
          <w:b/>
          <w:color w:val="0070C0"/>
        </w:rPr>
        <w:t>to</w:t>
      </w:r>
      <w:r w:rsidR="000C76E8" w:rsidRPr="001C6C9F">
        <w:rPr>
          <w:rFonts w:ascii="Cambria" w:hAnsi="Cambria" w:cstheme="minorHAnsi"/>
          <w:b/>
          <w:color w:val="0070C0"/>
        </w:rPr>
        <w:t xml:space="preserve"> </w:t>
      </w:r>
      <w:r w:rsidRPr="001C6C9F">
        <w:rPr>
          <w:rFonts w:ascii="Cambria" w:hAnsi="Cambria" w:cstheme="minorHAnsi"/>
          <w:b/>
          <w:color w:val="0070C0"/>
        </w:rPr>
        <w:t>m</w:t>
      </w:r>
      <w:r w:rsidR="000C76E8" w:rsidRPr="001C6C9F">
        <w:rPr>
          <w:rFonts w:ascii="Cambria" w:hAnsi="Cambria" w:cstheme="minorHAnsi"/>
          <w:b/>
          <w:color w:val="0070C0"/>
        </w:rPr>
        <w:t>easure progress in the eradication of CEF</w:t>
      </w:r>
      <w:r w:rsidRPr="001C6C9F">
        <w:rPr>
          <w:rFonts w:ascii="Cambria" w:hAnsi="Cambria" w:cstheme="minorHAnsi"/>
          <w:b/>
          <w:color w:val="0070C0"/>
        </w:rPr>
        <w:t xml:space="preserve">M </w:t>
      </w:r>
      <w:r w:rsidR="000C76E8" w:rsidRPr="001C6C9F">
        <w:rPr>
          <w:rFonts w:ascii="Cambria" w:hAnsi="Cambria" w:cstheme="minorHAnsi"/>
          <w:b/>
          <w:color w:val="0070C0"/>
        </w:rPr>
        <w:t>in</w:t>
      </w:r>
      <w:r w:rsidRPr="001C6C9F">
        <w:rPr>
          <w:rFonts w:ascii="Cambria" w:hAnsi="Cambria" w:cstheme="minorHAnsi"/>
          <w:b/>
          <w:color w:val="0070C0"/>
        </w:rPr>
        <w:t>c</w:t>
      </w:r>
      <w:r w:rsidR="000C76E8" w:rsidRPr="001C6C9F">
        <w:rPr>
          <w:rFonts w:ascii="Cambria" w:hAnsi="Cambria" w:cstheme="minorHAnsi"/>
          <w:b/>
          <w:color w:val="0070C0"/>
        </w:rPr>
        <w:t>luding in line with releva</w:t>
      </w:r>
      <w:r w:rsidRPr="001C6C9F">
        <w:rPr>
          <w:rFonts w:ascii="Cambria" w:hAnsi="Cambria" w:cstheme="minorHAnsi"/>
          <w:b/>
          <w:color w:val="0070C0"/>
        </w:rPr>
        <w:t>nt</w:t>
      </w:r>
      <w:r w:rsidR="000C76E8" w:rsidRPr="001C6C9F">
        <w:rPr>
          <w:rFonts w:ascii="Cambria" w:hAnsi="Cambria" w:cstheme="minorHAnsi"/>
          <w:b/>
          <w:color w:val="0070C0"/>
        </w:rPr>
        <w:t xml:space="preserve"> Sustainable Development Goals indicators. </w:t>
      </w:r>
    </w:p>
    <w:p w14:paraId="3FFA813D" w14:textId="77777777" w:rsidR="007D0B6E" w:rsidRPr="007D0B6E" w:rsidRDefault="007D0B6E" w:rsidP="007D0B6E">
      <w:pPr>
        <w:pStyle w:val="ListParagraph"/>
        <w:rPr>
          <w:rFonts w:ascii="Cambria" w:hAnsi="Cambria" w:cstheme="minorHAnsi"/>
          <w:b/>
          <w:color w:val="0070C0"/>
        </w:rPr>
      </w:pPr>
    </w:p>
    <w:p w14:paraId="7B77DA31" w14:textId="77777777" w:rsidR="007D0B6E" w:rsidRPr="007D0B6E" w:rsidRDefault="007D0B6E" w:rsidP="007D0B6E">
      <w:pPr>
        <w:spacing w:line="276" w:lineRule="auto"/>
        <w:jc w:val="both"/>
        <w:rPr>
          <w:rFonts w:ascii="Cambria" w:hAnsi="Cambria" w:cstheme="minorHAnsi"/>
          <w:b/>
          <w:color w:val="0070C0"/>
        </w:rPr>
      </w:pPr>
    </w:p>
    <w:p w14:paraId="100DB8B6" w14:textId="77777777" w:rsidR="00E00706" w:rsidRPr="007D0B6E" w:rsidRDefault="00E00706" w:rsidP="007D0B6E">
      <w:pPr>
        <w:autoSpaceDE w:val="0"/>
        <w:autoSpaceDN w:val="0"/>
        <w:adjustRightInd w:val="0"/>
        <w:spacing w:line="360" w:lineRule="auto"/>
        <w:rPr>
          <w:rFonts w:ascii="Cambria" w:hAnsi="Cambria" w:cs="Arial-ItalicMT"/>
          <w:lang w:val="en-US"/>
        </w:rPr>
      </w:pPr>
      <w:r w:rsidRPr="007D0B6E">
        <w:rPr>
          <w:rFonts w:asciiTheme="minorHAnsi" w:hAnsiTheme="minorHAnsi" w:cs="Arial-ItalicMT"/>
          <w:i/>
          <w:iCs/>
          <w:lang w:val="en-US"/>
        </w:rPr>
        <w:t xml:space="preserve">1. </w:t>
      </w:r>
      <w:r w:rsidRPr="007D0B6E">
        <w:rPr>
          <w:rFonts w:ascii="Cambria" w:hAnsi="Cambria" w:cs="Arial-ItalicMT"/>
          <w:lang w:val="en-US"/>
        </w:rPr>
        <w:t>Raise awareness in children and society;</w:t>
      </w:r>
    </w:p>
    <w:p w14:paraId="7973EA04" w14:textId="77777777" w:rsidR="00E00706" w:rsidRPr="007D0B6E" w:rsidRDefault="00E00706" w:rsidP="007D0B6E">
      <w:pPr>
        <w:autoSpaceDE w:val="0"/>
        <w:autoSpaceDN w:val="0"/>
        <w:adjustRightInd w:val="0"/>
        <w:spacing w:line="360" w:lineRule="auto"/>
        <w:rPr>
          <w:rFonts w:ascii="Cambria" w:hAnsi="Cambria" w:cs="Arial-ItalicMT"/>
          <w:lang w:val="en-US"/>
        </w:rPr>
      </w:pPr>
      <w:r w:rsidRPr="007D0B6E">
        <w:rPr>
          <w:rFonts w:ascii="Cambria" w:hAnsi="Cambria" w:cs="Arial-ItalicMT"/>
          <w:lang w:val="en-US"/>
        </w:rPr>
        <w:t>2. Identify risk cases;</w:t>
      </w:r>
    </w:p>
    <w:p w14:paraId="6EE59BBA" w14:textId="77777777" w:rsidR="00E00706" w:rsidRPr="007D0B6E" w:rsidRDefault="00E00706" w:rsidP="007D0B6E">
      <w:pPr>
        <w:autoSpaceDE w:val="0"/>
        <w:autoSpaceDN w:val="0"/>
        <w:adjustRightInd w:val="0"/>
        <w:spacing w:line="360" w:lineRule="auto"/>
        <w:rPr>
          <w:rFonts w:ascii="Cambria" w:hAnsi="Cambria" w:cs="Arial-ItalicMT"/>
          <w:lang w:val="en-US"/>
        </w:rPr>
      </w:pPr>
      <w:r w:rsidRPr="007D0B6E">
        <w:rPr>
          <w:rFonts w:ascii="Cambria" w:hAnsi="Cambria" w:cs="Arial-ItalicMT"/>
          <w:lang w:val="en-US"/>
        </w:rPr>
        <w:t>3. Report identified cases socially (Commission for the Protection of Children and Youth) and judicially (Public Prosecutor's Office in its jurisdiction of Family and Minors);</w:t>
      </w:r>
    </w:p>
    <w:p w14:paraId="79942D92" w14:textId="77777777" w:rsidR="00850472" w:rsidRPr="007D0B6E" w:rsidRDefault="00E00706" w:rsidP="007D0B6E">
      <w:pPr>
        <w:autoSpaceDE w:val="0"/>
        <w:autoSpaceDN w:val="0"/>
        <w:adjustRightInd w:val="0"/>
        <w:spacing w:line="360" w:lineRule="auto"/>
        <w:rPr>
          <w:rFonts w:ascii="Cambria" w:hAnsi="Cambria" w:cs="Arial-ItalicMT"/>
          <w:lang w:val="en-US"/>
        </w:rPr>
      </w:pPr>
      <w:r w:rsidRPr="007D0B6E">
        <w:rPr>
          <w:rFonts w:ascii="Cambria" w:hAnsi="Cambria" w:cs="Arial-ItalicMT"/>
          <w:lang w:val="en-US"/>
        </w:rPr>
        <w:t>4. Support the follow-up of cases through and with social multidisciplinary monitoring support entities.</w:t>
      </w:r>
    </w:p>
    <w:p w14:paraId="44A535BF" w14:textId="77777777" w:rsidR="00850472" w:rsidRPr="00E00706" w:rsidRDefault="00850472" w:rsidP="00312F46">
      <w:pPr>
        <w:spacing w:line="276" w:lineRule="auto"/>
        <w:jc w:val="both"/>
        <w:rPr>
          <w:rFonts w:asciiTheme="minorHAnsi" w:hAnsiTheme="minorHAnsi" w:cstheme="minorHAnsi"/>
          <w:b/>
          <w:color w:val="538135" w:themeColor="accent6" w:themeShade="BF"/>
        </w:rPr>
      </w:pPr>
    </w:p>
    <w:p w14:paraId="110BB608" w14:textId="77777777" w:rsidR="00850472" w:rsidRPr="00E00706" w:rsidRDefault="00850472" w:rsidP="00312F46">
      <w:pPr>
        <w:spacing w:line="276" w:lineRule="auto"/>
        <w:jc w:val="both"/>
        <w:rPr>
          <w:rFonts w:asciiTheme="minorHAnsi" w:hAnsiTheme="minorHAnsi" w:cstheme="minorHAnsi"/>
          <w:b/>
          <w:color w:val="538135" w:themeColor="accent6" w:themeShade="BF"/>
        </w:rPr>
      </w:pPr>
    </w:p>
    <w:p w14:paraId="09531BFD" w14:textId="77777777" w:rsidR="00850472" w:rsidRDefault="00850472" w:rsidP="00312F46">
      <w:pPr>
        <w:spacing w:line="276" w:lineRule="auto"/>
        <w:jc w:val="both"/>
        <w:rPr>
          <w:rFonts w:ascii="Cambria" w:hAnsi="Cambria" w:cstheme="minorHAnsi"/>
          <w:b/>
          <w:color w:val="0070C0"/>
        </w:rPr>
      </w:pPr>
    </w:p>
    <w:p w14:paraId="54656C89" w14:textId="77777777" w:rsidR="00850472" w:rsidRDefault="00850472" w:rsidP="00312F46">
      <w:pPr>
        <w:spacing w:line="276" w:lineRule="auto"/>
        <w:jc w:val="both"/>
        <w:rPr>
          <w:rFonts w:ascii="Cambria" w:hAnsi="Cambria" w:cstheme="minorHAnsi"/>
          <w:b/>
          <w:color w:val="0070C0"/>
        </w:rPr>
      </w:pPr>
    </w:p>
    <w:p w14:paraId="5201A361" w14:textId="77777777" w:rsidR="00850472" w:rsidRDefault="00850472" w:rsidP="00312F46">
      <w:pPr>
        <w:spacing w:line="276" w:lineRule="auto"/>
        <w:jc w:val="both"/>
        <w:rPr>
          <w:rFonts w:ascii="Cambria" w:hAnsi="Cambria" w:cstheme="minorHAnsi"/>
          <w:b/>
          <w:color w:val="0070C0"/>
        </w:rPr>
      </w:pPr>
    </w:p>
    <w:p w14:paraId="23E59163" w14:textId="77777777" w:rsidR="006106C9" w:rsidRDefault="006106C9" w:rsidP="00312F46">
      <w:pPr>
        <w:spacing w:line="276" w:lineRule="auto"/>
        <w:jc w:val="both"/>
        <w:rPr>
          <w:rFonts w:ascii="Cambria" w:hAnsi="Cambria" w:cstheme="minorHAnsi"/>
          <w:b/>
          <w:color w:val="0070C0"/>
        </w:rPr>
        <w:sectPr w:rsidR="006106C9">
          <w:headerReference w:type="default" r:id="rId11"/>
          <w:footerReference w:type="default" r:id="rId12"/>
          <w:pgSz w:w="11906" w:h="16838"/>
          <w:pgMar w:top="1417" w:right="1701" w:bottom="1417" w:left="1701" w:header="708" w:footer="708" w:gutter="0"/>
          <w:cols w:space="708"/>
          <w:docGrid w:linePitch="360"/>
        </w:sectPr>
      </w:pPr>
    </w:p>
    <w:p w14:paraId="390751F1" w14:textId="77777777" w:rsidR="00850472" w:rsidRDefault="00850472" w:rsidP="00312F46">
      <w:pPr>
        <w:spacing w:line="276" w:lineRule="auto"/>
        <w:jc w:val="both"/>
        <w:rPr>
          <w:rFonts w:ascii="Cambria" w:hAnsi="Cambria" w:cstheme="minorHAnsi"/>
          <w:b/>
          <w:color w:val="0070C0"/>
        </w:rPr>
      </w:pPr>
    </w:p>
    <w:p w14:paraId="68DF4F42" w14:textId="77777777" w:rsidR="006106C9" w:rsidRDefault="006106C9" w:rsidP="006106C9">
      <w:pPr>
        <w:jc w:val="center"/>
        <w:rPr>
          <w:rFonts w:ascii="Cambria" w:hAnsi="Cambria" w:cstheme="minorHAnsi"/>
          <w:b/>
          <w:color w:val="0070C0"/>
        </w:rPr>
      </w:pPr>
    </w:p>
    <w:p w14:paraId="59F08678" w14:textId="77777777" w:rsidR="006106C9" w:rsidRDefault="006106C9" w:rsidP="006106C9">
      <w:pPr>
        <w:jc w:val="center"/>
        <w:rPr>
          <w:sz w:val="44"/>
          <w:szCs w:val="44"/>
        </w:rPr>
      </w:pPr>
      <w:r>
        <w:rPr>
          <w:sz w:val="44"/>
          <w:szCs w:val="44"/>
        </w:rPr>
        <w:t>Annex I</w:t>
      </w:r>
    </w:p>
    <w:p w14:paraId="7B638E38" w14:textId="77777777" w:rsidR="006106C9" w:rsidRDefault="006106C9" w:rsidP="006106C9"/>
    <w:p w14:paraId="3553F860" w14:textId="77777777" w:rsidR="006106C9" w:rsidRDefault="006106C9" w:rsidP="006106C9"/>
    <w:tbl>
      <w:tblPr>
        <w:tblW w:w="12120" w:type="dxa"/>
        <w:tblInd w:w="-3" w:type="dxa"/>
        <w:tblCellMar>
          <w:left w:w="0" w:type="dxa"/>
          <w:right w:w="0" w:type="dxa"/>
        </w:tblCellMar>
        <w:tblLook w:val="04A0" w:firstRow="1" w:lastRow="0" w:firstColumn="1" w:lastColumn="0" w:noHBand="0" w:noVBand="1"/>
      </w:tblPr>
      <w:tblGrid>
        <w:gridCol w:w="3702"/>
        <w:gridCol w:w="947"/>
        <w:gridCol w:w="1400"/>
        <w:gridCol w:w="947"/>
        <w:gridCol w:w="1400"/>
        <w:gridCol w:w="947"/>
        <w:gridCol w:w="1400"/>
        <w:gridCol w:w="947"/>
        <w:gridCol w:w="1400"/>
      </w:tblGrid>
      <w:tr w:rsidR="006106C9" w14:paraId="7D5FA1BA" w14:textId="77777777" w:rsidTr="006106C9">
        <w:trPr>
          <w:trHeight w:val="894"/>
        </w:trPr>
        <w:tc>
          <w:tcPr>
            <w:tcW w:w="3702" w:type="dxa"/>
            <w:vMerge w:val="restart"/>
            <w:tcBorders>
              <w:top w:val="single" w:sz="8" w:space="0" w:color="auto"/>
              <w:left w:val="single" w:sz="8" w:space="0" w:color="auto"/>
              <w:bottom w:val="single" w:sz="8" w:space="0" w:color="000000"/>
              <w:right w:val="single" w:sz="8" w:space="0" w:color="auto"/>
            </w:tcBorders>
            <w:shd w:val="clear" w:color="auto" w:fill="DDEBF7"/>
            <w:tcMar>
              <w:top w:w="0" w:type="dxa"/>
              <w:left w:w="70" w:type="dxa"/>
              <w:bottom w:w="0" w:type="dxa"/>
              <w:right w:w="70" w:type="dxa"/>
            </w:tcMar>
            <w:vAlign w:val="center"/>
            <w:hideMark/>
          </w:tcPr>
          <w:p w14:paraId="716C426E" w14:textId="77777777" w:rsidR="006106C9" w:rsidRDefault="006106C9">
            <w:pPr>
              <w:spacing w:line="256" w:lineRule="auto"/>
              <w:jc w:val="center"/>
              <w:rPr>
                <w:rFonts w:ascii="Arial" w:hAnsi="Arial" w:cs="Arial"/>
                <w:b/>
                <w:bCs/>
                <w:color w:val="002060"/>
                <w:lang w:val="en-US" w:eastAsia="pt-PT"/>
              </w:rPr>
            </w:pPr>
            <w:r>
              <w:rPr>
                <w:rFonts w:ascii="Arial" w:hAnsi="Arial" w:cs="Arial"/>
                <w:b/>
                <w:bCs/>
                <w:color w:val="002060"/>
                <w:lang w:val="en-US" w:eastAsia="pt-PT"/>
              </w:rPr>
              <w:t>THEMES for GROUP AWARENESS ACTIONS - SAFE SCHOOL PROGRAMME</w:t>
            </w:r>
          </w:p>
        </w:tc>
        <w:tc>
          <w:tcPr>
            <w:tcW w:w="2124" w:type="dxa"/>
            <w:gridSpan w:val="2"/>
            <w:tcBorders>
              <w:top w:val="single" w:sz="8" w:space="0" w:color="auto"/>
              <w:left w:val="nil"/>
              <w:bottom w:val="single" w:sz="8" w:space="0" w:color="auto"/>
              <w:right w:val="single" w:sz="8" w:space="0" w:color="000000"/>
            </w:tcBorders>
            <w:shd w:val="clear" w:color="auto" w:fill="DDEBF7"/>
            <w:tcMar>
              <w:top w:w="0" w:type="dxa"/>
              <w:left w:w="70" w:type="dxa"/>
              <w:bottom w:w="0" w:type="dxa"/>
              <w:right w:w="70" w:type="dxa"/>
            </w:tcMar>
            <w:vAlign w:val="center"/>
            <w:hideMark/>
          </w:tcPr>
          <w:p w14:paraId="613D61B5"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2018/2019</w:t>
            </w:r>
          </w:p>
        </w:tc>
        <w:tc>
          <w:tcPr>
            <w:tcW w:w="2124" w:type="dxa"/>
            <w:gridSpan w:val="2"/>
            <w:tcBorders>
              <w:top w:val="single" w:sz="8" w:space="0" w:color="auto"/>
              <w:left w:val="nil"/>
              <w:bottom w:val="single" w:sz="8" w:space="0" w:color="auto"/>
              <w:right w:val="single" w:sz="8" w:space="0" w:color="000000"/>
            </w:tcBorders>
            <w:shd w:val="clear" w:color="auto" w:fill="DDEBF7"/>
            <w:tcMar>
              <w:top w:w="0" w:type="dxa"/>
              <w:left w:w="70" w:type="dxa"/>
              <w:bottom w:w="0" w:type="dxa"/>
              <w:right w:w="70" w:type="dxa"/>
            </w:tcMar>
            <w:vAlign w:val="center"/>
            <w:hideMark/>
          </w:tcPr>
          <w:p w14:paraId="0ADA3E64"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2019/2020</w:t>
            </w:r>
          </w:p>
        </w:tc>
        <w:tc>
          <w:tcPr>
            <w:tcW w:w="2124" w:type="dxa"/>
            <w:gridSpan w:val="2"/>
            <w:tcBorders>
              <w:top w:val="single" w:sz="8" w:space="0" w:color="auto"/>
              <w:left w:val="nil"/>
              <w:bottom w:val="single" w:sz="8" w:space="0" w:color="auto"/>
              <w:right w:val="single" w:sz="8" w:space="0" w:color="000000"/>
            </w:tcBorders>
            <w:shd w:val="clear" w:color="auto" w:fill="DDEBF7"/>
            <w:tcMar>
              <w:top w:w="0" w:type="dxa"/>
              <w:left w:w="70" w:type="dxa"/>
              <w:bottom w:w="0" w:type="dxa"/>
              <w:right w:w="70" w:type="dxa"/>
            </w:tcMar>
            <w:vAlign w:val="center"/>
            <w:hideMark/>
          </w:tcPr>
          <w:p w14:paraId="71982970"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2020/2021</w:t>
            </w:r>
          </w:p>
        </w:tc>
        <w:tc>
          <w:tcPr>
            <w:tcW w:w="2046" w:type="dxa"/>
            <w:gridSpan w:val="2"/>
            <w:tcBorders>
              <w:top w:val="single" w:sz="8" w:space="0" w:color="auto"/>
              <w:left w:val="nil"/>
              <w:bottom w:val="single" w:sz="8" w:space="0" w:color="auto"/>
              <w:right w:val="single" w:sz="8" w:space="0" w:color="000000"/>
            </w:tcBorders>
            <w:shd w:val="clear" w:color="auto" w:fill="DDEBF7"/>
            <w:tcMar>
              <w:top w:w="0" w:type="dxa"/>
              <w:left w:w="70" w:type="dxa"/>
              <w:bottom w:w="0" w:type="dxa"/>
              <w:right w:w="70" w:type="dxa"/>
            </w:tcMar>
            <w:vAlign w:val="center"/>
            <w:hideMark/>
          </w:tcPr>
          <w:p w14:paraId="757AA6D8"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TOTAL</w:t>
            </w:r>
          </w:p>
        </w:tc>
      </w:tr>
      <w:tr w:rsidR="006106C9" w14:paraId="43DCF3D0" w14:textId="77777777" w:rsidTr="006106C9">
        <w:trPr>
          <w:trHeight w:val="55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8CC671D" w14:textId="77777777" w:rsidR="006106C9" w:rsidRDefault="006106C9">
            <w:pPr>
              <w:spacing w:line="256" w:lineRule="auto"/>
              <w:rPr>
                <w:rFonts w:ascii="Arial" w:hAnsi="Arial" w:cs="Arial"/>
                <w:b/>
                <w:bCs/>
                <w:color w:val="002060"/>
                <w:lang w:val="en-US" w:eastAsia="pt-PT"/>
              </w:rPr>
            </w:pPr>
          </w:p>
        </w:tc>
        <w:tc>
          <w:tcPr>
            <w:tcW w:w="894"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349C97D5"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Actions</w:t>
            </w:r>
          </w:p>
        </w:tc>
        <w:tc>
          <w:tcPr>
            <w:tcW w:w="1230"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7679871D"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Participants</w:t>
            </w:r>
          </w:p>
        </w:tc>
        <w:tc>
          <w:tcPr>
            <w:tcW w:w="894"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2F416157"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Actions</w:t>
            </w:r>
          </w:p>
        </w:tc>
        <w:tc>
          <w:tcPr>
            <w:tcW w:w="1230"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7A401F8B"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Participants</w:t>
            </w:r>
          </w:p>
        </w:tc>
        <w:tc>
          <w:tcPr>
            <w:tcW w:w="894"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090708A4"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Actions</w:t>
            </w:r>
          </w:p>
        </w:tc>
        <w:tc>
          <w:tcPr>
            <w:tcW w:w="1230"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6DE339D7"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Participants</w:t>
            </w:r>
          </w:p>
        </w:tc>
        <w:tc>
          <w:tcPr>
            <w:tcW w:w="816"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412EEB23"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Actions</w:t>
            </w:r>
          </w:p>
        </w:tc>
        <w:tc>
          <w:tcPr>
            <w:tcW w:w="1230"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14:paraId="3FFF6546"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Participants</w:t>
            </w:r>
          </w:p>
        </w:tc>
      </w:tr>
      <w:tr w:rsidR="006106C9" w14:paraId="6F5B4375"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2540C"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Citizenship and Non-Discrimination</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DF0FE6"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45</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71C59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1 778</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B6264C"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1 057</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7EF6C"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21 681</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8FCD1"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328</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67BE0F"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4 602</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AF32103"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1 430</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464895"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28 061</w:t>
            </w:r>
          </w:p>
        </w:tc>
      </w:tr>
      <w:tr w:rsidR="006106C9" w14:paraId="54C5FAD6"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37DCB6"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Intercultural dialogue</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1AF9AC"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342</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E9273C"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8 266</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2E3EA"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446</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3E6DEA"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10 535</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0B5EAF"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167</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C2DA6"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2 364</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BB01D7B"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955</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E67F244"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21 165</w:t>
            </w:r>
          </w:p>
        </w:tc>
      </w:tr>
      <w:tr w:rsidR="006106C9" w14:paraId="66E87775"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34BF4E"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Human rights</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9BEBD3"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317</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2EB59"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7 716</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FB8C2D"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619</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3D61D3"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12 872</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DEE6CA"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367</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48DF6D"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5 798</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CB01ECF"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1 303</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B9AA63F"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26 386</w:t>
            </w:r>
          </w:p>
        </w:tc>
      </w:tr>
      <w:tr w:rsidR="006106C9" w14:paraId="4D73CB52"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3BA2A9"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Gender Equality</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DC2176"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249</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C6D4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6 995</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F92C9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679</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3050A1"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14 230</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921E08"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263</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97082E"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3 993</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D217613"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1 191</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7BB7491"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25 218</w:t>
            </w:r>
          </w:p>
        </w:tc>
      </w:tr>
      <w:tr w:rsidR="006106C9" w14:paraId="515899E0"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4BF129"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Mistreatment</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6FB311"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125</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359913"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3 291</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E3829"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318</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FD3098"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7 009</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3E1DCB"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309</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9E835"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4 312</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31E35EF"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752</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907F541"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14 612</w:t>
            </w:r>
          </w:p>
        </w:tc>
      </w:tr>
      <w:tr w:rsidR="006106C9" w14:paraId="3D2C0F58"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14095B"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Sexual offences</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B7BFE0"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30</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48C9B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879</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F6D69"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248</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C53FC5"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5 411</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2C2E40"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228</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F7243F"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3 307</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93633F1"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506</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F738116"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9 597</w:t>
            </w:r>
          </w:p>
        </w:tc>
      </w:tr>
      <w:tr w:rsidR="006106C9" w14:paraId="7455B610"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55819A"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Child Safety</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59DA99"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2 227</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23D76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68 909</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0B709E"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1 152</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C5450"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30 684</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6B3EA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1 563</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F7258"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25 699</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AE2868A"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4 942</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F503D89"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125 292</w:t>
            </w:r>
          </w:p>
        </w:tc>
      </w:tr>
      <w:tr w:rsidR="006106C9" w14:paraId="237992A9"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36896A"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Human trafficking</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255E4"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11</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E5D003"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241</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69E82B"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5</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FC94BC"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147</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E2C558"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11</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B97AA9"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160</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1A3A05A"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27</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D4B794F"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548</w:t>
            </w:r>
          </w:p>
        </w:tc>
      </w:tr>
      <w:tr w:rsidR="006106C9" w14:paraId="3B0E90E4" w14:textId="77777777" w:rsidTr="006106C9">
        <w:trPr>
          <w:trHeight w:val="315"/>
        </w:trPr>
        <w:tc>
          <w:tcPr>
            <w:tcW w:w="3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C1166" w14:textId="77777777" w:rsidR="006106C9" w:rsidRDefault="006106C9">
            <w:pPr>
              <w:spacing w:line="256" w:lineRule="auto"/>
              <w:rPr>
                <w:rFonts w:ascii="Arial" w:hAnsi="Arial" w:cs="Arial"/>
                <w:color w:val="002060"/>
                <w:lang w:eastAsia="pt-PT"/>
              </w:rPr>
            </w:pPr>
            <w:r>
              <w:rPr>
                <w:rFonts w:ascii="Arial" w:hAnsi="Arial" w:cs="Arial"/>
                <w:color w:val="002060"/>
                <w:lang w:eastAsia="pt-PT"/>
              </w:rPr>
              <w:t>Domestic and dating violence</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342BC8"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1 335</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805433"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35 212</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2AF95F"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1 346</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DB157"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28 573</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792BCC"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381</w:t>
            </w:r>
          </w:p>
        </w:tc>
        <w:tc>
          <w:tcPr>
            <w:tcW w:w="1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921F1B" w14:textId="77777777" w:rsidR="006106C9" w:rsidRDefault="006106C9">
            <w:pPr>
              <w:spacing w:line="256" w:lineRule="auto"/>
              <w:jc w:val="center"/>
              <w:rPr>
                <w:rFonts w:ascii="Arial" w:hAnsi="Arial" w:cs="Arial"/>
                <w:color w:val="002060"/>
                <w:lang w:eastAsia="pt-PT"/>
              </w:rPr>
            </w:pPr>
            <w:r>
              <w:rPr>
                <w:rFonts w:ascii="Arial" w:hAnsi="Arial" w:cs="Arial"/>
                <w:color w:val="002060"/>
                <w:lang w:eastAsia="pt-PT"/>
              </w:rPr>
              <w:t>5 052</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8C01B2A"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3 062</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CDED141"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68 837</w:t>
            </w:r>
          </w:p>
        </w:tc>
      </w:tr>
      <w:tr w:rsidR="006106C9" w14:paraId="703B8430" w14:textId="77777777" w:rsidTr="006106C9">
        <w:trPr>
          <w:trHeight w:val="420"/>
        </w:trPr>
        <w:tc>
          <w:tcPr>
            <w:tcW w:w="3702"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8D9526C" w14:textId="77777777" w:rsidR="006106C9" w:rsidRDefault="006106C9">
            <w:pPr>
              <w:spacing w:line="256" w:lineRule="auto"/>
              <w:rPr>
                <w:rFonts w:ascii="Arial" w:hAnsi="Arial" w:cs="Arial"/>
                <w:b/>
                <w:bCs/>
                <w:color w:val="002060"/>
                <w:lang w:eastAsia="pt-PT"/>
              </w:rPr>
            </w:pPr>
            <w:r>
              <w:rPr>
                <w:rFonts w:ascii="Arial" w:hAnsi="Arial" w:cs="Arial"/>
                <w:b/>
                <w:bCs/>
                <w:color w:val="002060"/>
                <w:lang w:eastAsia="pt-PT"/>
              </w:rPr>
              <w:t>TOTAL</w:t>
            </w:r>
          </w:p>
        </w:tc>
        <w:tc>
          <w:tcPr>
            <w:tcW w:w="89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43BB9AD"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4 681</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24EDD6B"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133 287</w:t>
            </w:r>
          </w:p>
        </w:tc>
        <w:tc>
          <w:tcPr>
            <w:tcW w:w="89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69114DC"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5 870</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6D9FE3D"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131 142</w:t>
            </w:r>
          </w:p>
        </w:tc>
        <w:tc>
          <w:tcPr>
            <w:tcW w:w="894"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3FB2B20"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3 617</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5B2309C"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55 287</w:t>
            </w:r>
          </w:p>
        </w:tc>
        <w:tc>
          <w:tcPr>
            <w:tcW w:w="816"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FFF9D2D"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14 168</w:t>
            </w:r>
          </w:p>
        </w:tc>
        <w:tc>
          <w:tcPr>
            <w:tcW w:w="1230"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C3D8C48" w14:textId="77777777" w:rsidR="006106C9" w:rsidRDefault="006106C9">
            <w:pPr>
              <w:spacing w:line="256" w:lineRule="auto"/>
              <w:jc w:val="center"/>
              <w:rPr>
                <w:rFonts w:ascii="Arial" w:hAnsi="Arial" w:cs="Arial"/>
                <w:b/>
                <w:bCs/>
                <w:color w:val="002060"/>
                <w:lang w:eastAsia="pt-PT"/>
              </w:rPr>
            </w:pPr>
            <w:r>
              <w:rPr>
                <w:rFonts w:ascii="Arial" w:hAnsi="Arial" w:cs="Arial"/>
                <w:b/>
                <w:bCs/>
                <w:color w:val="002060"/>
                <w:lang w:eastAsia="pt-PT"/>
              </w:rPr>
              <w:t>319 716</w:t>
            </w:r>
          </w:p>
        </w:tc>
      </w:tr>
    </w:tbl>
    <w:p w14:paraId="364B2411" w14:textId="77777777" w:rsidR="006106C9" w:rsidRDefault="006106C9" w:rsidP="006106C9"/>
    <w:p w14:paraId="7BB3791D" w14:textId="77777777" w:rsidR="006106C9" w:rsidRDefault="006106C9" w:rsidP="006106C9">
      <w:pPr>
        <w:spacing w:line="276" w:lineRule="auto"/>
        <w:jc w:val="both"/>
        <w:rPr>
          <w:rFonts w:ascii="Cambria" w:hAnsi="Cambria" w:cstheme="minorHAnsi"/>
          <w:b/>
          <w:color w:val="0070C0"/>
        </w:rPr>
      </w:pPr>
    </w:p>
    <w:p w14:paraId="2F3A3EAE" w14:textId="77777777" w:rsidR="006106C9" w:rsidRDefault="006106C9" w:rsidP="006106C9">
      <w:pPr>
        <w:spacing w:line="276" w:lineRule="auto"/>
        <w:jc w:val="both"/>
        <w:rPr>
          <w:rFonts w:ascii="Cambria" w:hAnsi="Cambria" w:cstheme="minorHAnsi"/>
          <w:b/>
          <w:color w:val="0070C0"/>
        </w:rPr>
      </w:pPr>
    </w:p>
    <w:p w14:paraId="68835779" w14:textId="77777777" w:rsidR="00850472" w:rsidRDefault="00850472" w:rsidP="00312F46">
      <w:pPr>
        <w:spacing w:line="276" w:lineRule="auto"/>
        <w:jc w:val="both"/>
        <w:rPr>
          <w:rFonts w:ascii="Cambria" w:hAnsi="Cambria" w:cstheme="minorHAnsi"/>
          <w:b/>
          <w:color w:val="0070C0"/>
        </w:rPr>
      </w:pPr>
    </w:p>
    <w:p w14:paraId="11BFBAFD" w14:textId="77777777" w:rsidR="00850472" w:rsidRPr="001C6C9F" w:rsidRDefault="00850472" w:rsidP="00312F46">
      <w:pPr>
        <w:spacing w:line="276" w:lineRule="auto"/>
        <w:jc w:val="both"/>
        <w:rPr>
          <w:rFonts w:ascii="Cambria" w:hAnsi="Cambria" w:cstheme="minorHAnsi"/>
          <w:b/>
          <w:color w:val="0070C0"/>
        </w:rPr>
      </w:pPr>
    </w:p>
    <w:sectPr w:rsidR="00850472" w:rsidRPr="001C6C9F" w:rsidSect="006106C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19E0" w14:textId="77777777" w:rsidR="007527A7" w:rsidRDefault="007527A7" w:rsidP="00937615">
      <w:r>
        <w:separator/>
      </w:r>
    </w:p>
  </w:endnote>
  <w:endnote w:type="continuationSeparator" w:id="0">
    <w:p w14:paraId="6FBA58B4" w14:textId="77777777" w:rsidR="007527A7" w:rsidRDefault="007527A7" w:rsidP="0093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40123"/>
      <w:docPartObj>
        <w:docPartGallery w:val="Page Numbers (Bottom of Page)"/>
        <w:docPartUnique/>
      </w:docPartObj>
    </w:sdtPr>
    <w:sdtEndPr/>
    <w:sdtContent>
      <w:p w14:paraId="58272DE6" w14:textId="3BB63994" w:rsidR="00937615" w:rsidRDefault="00937615">
        <w:pPr>
          <w:pStyle w:val="Footer"/>
          <w:jc w:val="right"/>
        </w:pPr>
        <w:r>
          <w:fldChar w:fldCharType="begin"/>
        </w:r>
        <w:r>
          <w:instrText>PAGE   \* MERGEFORMAT</w:instrText>
        </w:r>
        <w:r>
          <w:fldChar w:fldCharType="separate"/>
        </w:r>
        <w:r w:rsidR="007527A7">
          <w:rPr>
            <w:noProof/>
          </w:rPr>
          <w:t>1</w:t>
        </w:r>
        <w:r>
          <w:fldChar w:fldCharType="end"/>
        </w:r>
      </w:p>
    </w:sdtContent>
  </w:sdt>
  <w:p w14:paraId="7218AE96" w14:textId="77777777" w:rsidR="00937615" w:rsidRDefault="00937615">
    <w:pPr>
      <w:pStyle w:val="Footer"/>
    </w:pPr>
  </w:p>
  <w:p w14:paraId="37EEAF1F" w14:textId="77777777" w:rsidR="0012423D" w:rsidRDefault="001242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5F59" w14:textId="77777777" w:rsidR="007527A7" w:rsidRDefault="007527A7" w:rsidP="00937615">
      <w:r>
        <w:separator/>
      </w:r>
    </w:p>
  </w:footnote>
  <w:footnote w:type="continuationSeparator" w:id="0">
    <w:p w14:paraId="36169D42" w14:textId="77777777" w:rsidR="007527A7" w:rsidRDefault="007527A7" w:rsidP="00937615">
      <w:r>
        <w:continuationSeparator/>
      </w:r>
    </w:p>
  </w:footnote>
  <w:footnote w:id="1">
    <w:p w14:paraId="28575846" w14:textId="11F88094" w:rsidR="00101BC0" w:rsidRPr="00101BC0" w:rsidRDefault="00101BC0" w:rsidP="00101BC0">
      <w:pPr>
        <w:pStyle w:val="FootnoteText"/>
        <w:jc w:val="both"/>
        <w:rPr>
          <w:lang w:val="en-US"/>
        </w:rPr>
      </w:pPr>
      <w:r>
        <w:rPr>
          <w:rStyle w:val="FootnoteReference"/>
        </w:rPr>
        <w:footnoteRef/>
      </w:r>
      <w:r>
        <w:t xml:space="preserve"> </w:t>
      </w:r>
      <w:r w:rsidRPr="00101BC0">
        <w:t xml:space="preserve">Portugal has </w:t>
      </w:r>
      <w:r>
        <w:t>various</w:t>
      </w:r>
      <w:r w:rsidRPr="00101BC0">
        <w:t xml:space="preserve"> national police organizations</w:t>
      </w:r>
      <w:r>
        <w:t>, including the ‘</w:t>
      </w:r>
      <w:r w:rsidRPr="00101BC0">
        <w:t>Public Security Police</w:t>
      </w:r>
      <w:r>
        <w:t>’</w:t>
      </w:r>
      <w:r w:rsidRPr="00101BC0">
        <w:t xml:space="preserve"> (</w:t>
      </w:r>
      <w:r w:rsidRPr="00101BC0">
        <w:rPr>
          <w:i/>
          <w:iCs/>
        </w:rPr>
        <w:t>Polícia de Segurança Pública</w:t>
      </w:r>
      <w:r>
        <w:t xml:space="preserve">, </w:t>
      </w:r>
      <w:r w:rsidRPr="00101BC0">
        <w:t>PSP)</w:t>
      </w:r>
      <w:r>
        <w:t xml:space="preserve"> and the ‘</w:t>
      </w:r>
      <w:r w:rsidRPr="00101BC0">
        <w:t>National Republican Guard</w:t>
      </w:r>
      <w:r>
        <w:t>’</w:t>
      </w:r>
      <w:r w:rsidRPr="00101BC0">
        <w:t xml:space="preserve"> (</w:t>
      </w:r>
      <w:r w:rsidRPr="00101BC0">
        <w:rPr>
          <w:i/>
          <w:iCs/>
        </w:rPr>
        <w:t>Guarda Nacional Republicana</w:t>
      </w:r>
      <w:r w:rsidRPr="00101BC0">
        <w:t>, GNR)</w:t>
      </w:r>
      <w:r>
        <w:t xml:space="preserve">. In broad terms, the first </w:t>
      </w:r>
      <w:r w:rsidRPr="00101BC0">
        <w:t>assures public order and investigates non-organized crimes and violent crimes in urban areas</w:t>
      </w:r>
      <w:r>
        <w:t xml:space="preserve">, while the second </w:t>
      </w:r>
      <w:r w:rsidRPr="00101BC0">
        <w:t>assures public order and investigates non-organized crimes and violent crimes (known or unarmed offenders) in non-urban areas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8EA5" w14:textId="77777777" w:rsidR="00937615" w:rsidRDefault="00937615" w:rsidP="00937615">
    <w:pPr>
      <w:pStyle w:val="Header"/>
      <w:tabs>
        <w:tab w:val="clear" w:pos="4252"/>
        <w:tab w:val="clear" w:pos="8504"/>
        <w:tab w:val="left" w:pos="2590"/>
      </w:tabs>
    </w:pPr>
    <w:r>
      <w:tab/>
    </w:r>
    <w:r w:rsidRPr="00937615">
      <w:rPr>
        <w:rFonts w:eastAsia="Calibri" w:cs="Times New Roman"/>
        <w:noProof/>
        <w:lang w:val="pt-PT" w:eastAsia="pt-PT"/>
      </w:rPr>
      <w:drawing>
        <wp:inline distT="0" distB="0" distL="0" distR="0" wp14:anchorId="79E1FE99" wp14:editId="6DF123AC">
          <wp:extent cx="1838325" cy="638414"/>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38414"/>
                  </a:xfrm>
                  <a:prstGeom prst="rect">
                    <a:avLst/>
                  </a:prstGeom>
                  <a:noFill/>
                  <a:ln>
                    <a:noFill/>
                  </a:ln>
                </pic:spPr>
              </pic:pic>
            </a:graphicData>
          </a:graphic>
        </wp:inline>
      </w:drawing>
    </w:r>
  </w:p>
  <w:p w14:paraId="64293C49" w14:textId="77777777" w:rsidR="0012423D" w:rsidRDefault="00124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C0C"/>
    <w:multiLevelType w:val="hybridMultilevel"/>
    <w:tmpl w:val="EE96AB0E"/>
    <w:lvl w:ilvl="0" w:tplc="79BCAE80">
      <w:start w:val="1"/>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 w15:restartNumberingAfterBreak="0">
    <w:nsid w:val="0DAF2C3D"/>
    <w:multiLevelType w:val="hybridMultilevel"/>
    <w:tmpl w:val="A55E7B1E"/>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2" w15:restartNumberingAfterBreak="0">
    <w:nsid w:val="0DDF50D4"/>
    <w:multiLevelType w:val="hybridMultilevel"/>
    <w:tmpl w:val="C04CCFF8"/>
    <w:lvl w:ilvl="0" w:tplc="C6A4325E">
      <w:start w:val="1"/>
      <w:numFmt w:val="bullet"/>
      <w:lvlText w:val="-"/>
      <w:lvlJc w:val="left"/>
      <w:pPr>
        <w:ind w:left="1800" w:hanging="360"/>
      </w:pPr>
      <w:rPr>
        <w:rFonts w:ascii="Cambria" w:eastAsiaTheme="minorHAnsi" w:hAnsi="Cambria" w:cstheme="minorBidi"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3" w15:restartNumberingAfterBreak="0">
    <w:nsid w:val="128A728F"/>
    <w:multiLevelType w:val="hybridMultilevel"/>
    <w:tmpl w:val="3B9E7846"/>
    <w:lvl w:ilvl="0" w:tplc="08160005">
      <w:start w:val="1"/>
      <w:numFmt w:val="bullet"/>
      <w:lvlText w:val=""/>
      <w:lvlJc w:val="left"/>
      <w:pPr>
        <w:ind w:left="720" w:hanging="360"/>
      </w:pPr>
      <w:rPr>
        <w:rFonts w:ascii="Wingdings" w:hAnsi="Wingding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58F4ACB"/>
    <w:multiLevelType w:val="hybridMultilevel"/>
    <w:tmpl w:val="6BD421C4"/>
    <w:lvl w:ilvl="0" w:tplc="8DCC49D8">
      <w:start w:val="1"/>
      <w:numFmt w:val="lowerLetter"/>
      <w:lvlText w:val="%1."/>
      <w:lvlJc w:val="left"/>
      <w:pPr>
        <w:ind w:left="1713" w:hanging="360"/>
      </w:pPr>
      <w:rPr>
        <w:rFonts w:hint="default"/>
        <w:b w:val="0"/>
        <w:i w:val="0"/>
        <w:strike w:val="0"/>
        <w:dstrike w:val="0"/>
        <w:color w:val="0070C0"/>
        <w:sz w:val="22"/>
        <w:szCs w:val="30"/>
        <w:u w:val="none" w:color="000000"/>
        <w:vertAlign w:val="base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1514FCB"/>
    <w:multiLevelType w:val="hybridMultilevel"/>
    <w:tmpl w:val="26AC16C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9710CB2"/>
    <w:multiLevelType w:val="hybridMultilevel"/>
    <w:tmpl w:val="287C947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01127ED"/>
    <w:multiLevelType w:val="hybridMultilevel"/>
    <w:tmpl w:val="D91A384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4DC12AE"/>
    <w:multiLevelType w:val="hybridMultilevel"/>
    <w:tmpl w:val="3F12DF48"/>
    <w:lvl w:ilvl="0" w:tplc="D5C21B2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CF00ACC"/>
    <w:multiLevelType w:val="hybridMultilevel"/>
    <w:tmpl w:val="6FA208BC"/>
    <w:lvl w:ilvl="0" w:tplc="5BE02E44">
      <w:start w:val="1"/>
      <w:numFmt w:val="lowerLetter"/>
      <w:lvlText w:val="%1."/>
      <w:lvlJc w:val="left"/>
      <w:pPr>
        <w:ind w:left="1713" w:hanging="360"/>
      </w:pPr>
      <w:rPr>
        <w:rFonts w:hint="default"/>
        <w:b w:val="0"/>
        <w:i w:val="0"/>
        <w:strike w:val="0"/>
        <w:dstrike w:val="0"/>
        <w:color w:val="0070C0"/>
        <w:sz w:val="22"/>
        <w:szCs w:val="30"/>
        <w:u w:val="none" w:color="000000"/>
        <w:vertAlign w:val="baseline"/>
      </w:rPr>
    </w:lvl>
    <w:lvl w:ilvl="1" w:tplc="08160019" w:tentative="1">
      <w:start w:val="1"/>
      <w:numFmt w:val="lowerLetter"/>
      <w:lvlText w:val="%2."/>
      <w:lvlJc w:val="left"/>
      <w:pPr>
        <w:ind w:left="2433" w:hanging="360"/>
      </w:pPr>
    </w:lvl>
    <w:lvl w:ilvl="2" w:tplc="0816001B" w:tentative="1">
      <w:start w:val="1"/>
      <w:numFmt w:val="lowerRoman"/>
      <w:lvlText w:val="%3."/>
      <w:lvlJc w:val="right"/>
      <w:pPr>
        <w:ind w:left="3153" w:hanging="180"/>
      </w:pPr>
    </w:lvl>
    <w:lvl w:ilvl="3" w:tplc="0816000F" w:tentative="1">
      <w:start w:val="1"/>
      <w:numFmt w:val="decimal"/>
      <w:lvlText w:val="%4."/>
      <w:lvlJc w:val="left"/>
      <w:pPr>
        <w:ind w:left="3873" w:hanging="360"/>
      </w:pPr>
    </w:lvl>
    <w:lvl w:ilvl="4" w:tplc="08160019" w:tentative="1">
      <w:start w:val="1"/>
      <w:numFmt w:val="lowerLetter"/>
      <w:lvlText w:val="%5."/>
      <w:lvlJc w:val="left"/>
      <w:pPr>
        <w:ind w:left="4593" w:hanging="360"/>
      </w:pPr>
    </w:lvl>
    <w:lvl w:ilvl="5" w:tplc="0816001B" w:tentative="1">
      <w:start w:val="1"/>
      <w:numFmt w:val="lowerRoman"/>
      <w:lvlText w:val="%6."/>
      <w:lvlJc w:val="right"/>
      <w:pPr>
        <w:ind w:left="5313" w:hanging="180"/>
      </w:pPr>
    </w:lvl>
    <w:lvl w:ilvl="6" w:tplc="0816000F" w:tentative="1">
      <w:start w:val="1"/>
      <w:numFmt w:val="decimal"/>
      <w:lvlText w:val="%7."/>
      <w:lvlJc w:val="left"/>
      <w:pPr>
        <w:ind w:left="6033" w:hanging="360"/>
      </w:pPr>
    </w:lvl>
    <w:lvl w:ilvl="7" w:tplc="08160019" w:tentative="1">
      <w:start w:val="1"/>
      <w:numFmt w:val="lowerLetter"/>
      <w:lvlText w:val="%8."/>
      <w:lvlJc w:val="left"/>
      <w:pPr>
        <w:ind w:left="6753" w:hanging="360"/>
      </w:pPr>
    </w:lvl>
    <w:lvl w:ilvl="8" w:tplc="0816001B" w:tentative="1">
      <w:start w:val="1"/>
      <w:numFmt w:val="lowerRoman"/>
      <w:lvlText w:val="%9."/>
      <w:lvlJc w:val="right"/>
      <w:pPr>
        <w:ind w:left="7473" w:hanging="180"/>
      </w:pPr>
    </w:lvl>
  </w:abstractNum>
  <w:abstractNum w:abstractNumId="10" w15:restartNumberingAfterBreak="0">
    <w:nsid w:val="4E4F7421"/>
    <w:multiLevelType w:val="hybridMultilevel"/>
    <w:tmpl w:val="DAD00A30"/>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406259D"/>
    <w:multiLevelType w:val="hybridMultilevel"/>
    <w:tmpl w:val="764A55E6"/>
    <w:lvl w:ilvl="0" w:tplc="08160011">
      <w:start w:val="1"/>
      <w:numFmt w:val="decimal"/>
      <w:lvlText w:val="%1)"/>
      <w:lvlJc w:val="left"/>
      <w:pPr>
        <w:ind w:left="720" w:hanging="360"/>
      </w:pPr>
      <w:rPr>
        <w:rFonts w:hint="default"/>
      </w:rPr>
    </w:lvl>
    <w:lvl w:ilvl="1" w:tplc="7EC4C2B8">
      <w:start w:val="1"/>
      <w:numFmt w:val="bullet"/>
      <w:lvlText w:val="-"/>
      <w:lvlJc w:val="left"/>
      <w:pPr>
        <w:ind w:left="1440" w:hanging="360"/>
      </w:pPr>
      <w:rPr>
        <w:rFonts w:ascii="Courier New" w:hAnsi="Courier New"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6094F2A"/>
    <w:multiLevelType w:val="hybridMultilevel"/>
    <w:tmpl w:val="743828E6"/>
    <w:lvl w:ilvl="0" w:tplc="4F68AC5A">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8394299"/>
    <w:multiLevelType w:val="hybridMultilevel"/>
    <w:tmpl w:val="372E32D2"/>
    <w:lvl w:ilvl="0" w:tplc="7EC4C2B8">
      <w:start w:val="1"/>
      <w:numFmt w:val="bullet"/>
      <w:lvlText w:val="-"/>
      <w:lvlJc w:val="left"/>
      <w:pPr>
        <w:ind w:left="1800" w:hanging="360"/>
      </w:pPr>
      <w:rPr>
        <w:rFonts w:ascii="Courier New" w:hAnsi="Courier New"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4" w15:restartNumberingAfterBreak="0">
    <w:nsid w:val="5B964D3B"/>
    <w:multiLevelType w:val="hybridMultilevel"/>
    <w:tmpl w:val="118A5EA8"/>
    <w:lvl w:ilvl="0" w:tplc="0816000F">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CBD16F8"/>
    <w:multiLevelType w:val="singleLevel"/>
    <w:tmpl w:val="D30AB2D8"/>
    <w:lvl w:ilvl="0">
      <w:start w:val="4"/>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7DA746EC"/>
    <w:multiLevelType w:val="hybridMultilevel"/>
    <w:tmpl w:val="38A46C28"/>
    <w:lvl w:ilvl="0" w:tplc="B1B2ABAA">
      <w:start w:val="1"/>
      <w:numFmt w:val="lowerLetter"/>
      <w:lvlText w:val="%1)"/>
      <w:lvlJc w:val="left"/>
      <w:pPr>
        <w:ind w:left="720" w:hanging="360"/>
      </w:pPr>
      <w:rPr>
        <w:rFonts w:ascii="Calibri" w:hAnsi="Calibri" w:cs="Calibri" w:hint="default"/>
        <w:b w:val="0"/>
        <w:i w:val="0"/>
        <w:strike w:val="0"/>
        <w:dstrike w:val="0"/>
        <w:color w:val="000000"/>
        <w:sz w:val="22"/>
        <w:szCs w:val="30"/>
        <w:u w:val="none" w:color="000000"/>
        <w:vertAlign w:val="base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
  </w:num>
  <w:num w:numId="5">
    <w:abstractNumId w:val="3"/>
  </w:num>
  <w:num w:numId="6">
    <w:abstractNumId w:val="11"/>
  </w:num>
  <w:num w:numId="7">
    <w:abstractNumId w:val="13"/>
  </w:num>
  <w:num w:numId="8">
    <w:abstractNumId w:val="8"/>
  </w:num>
  <w:num w:numId="9">
    <w:abstractNumId w:val="15"/>
  </w:num>
  <w:num w:numId="10">
    <w:abstractNumId w:val="14"/>
  </w:num>
  <w:num w:numId="11">
    <w:abstractNumId w:val="16"/>
  </w:num>
  <w:num w:numId="12">
    <w:abstractNumId w:val="9"/>
  </w:num>
  <w:num w:numId="13">
    <w:abstractNumId w:val="12"/>
  </w:num>
  <w:num w:numId="14">
    <w:abstractNumId w:val="4"/>
  </w:num>
  <w:num w:numId="15">
    <w:abstractNumId w:val="7"/>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BF"/>
    <w:rsid w:val="00024783"/>
    <w:rsid w:val="000604A4"/>
    <w:rsid w:val="0006522F"/>
    <w:rsid w:val="00093BFC"/>
    <w:rsid w:val="000C76E8"/>
    <w:rsid w:val="00101BC0"/>
    <w:rsid w:val="0012423D"/>
    <w:rsid w:val="0013722D"/>
    <w:rsid w:val="001661A2"/>
    <w:rsid w:val="001C6C9F"/>
    <w:rsid w:val="002902D9"/>
    <w:rsid w:val="00312F46"/>
    <w:rsid w:val="00315846"/>
    <w:rsid w:val="00317B8C"/>
    <w:rsid w:val="00330C2B"/>
    <w:rsid w:val="003C2A6A"/>
    <w:rsid w:val="0041746B"/>
    <w:rsid w:val="00461978"/>
    <w:rsid w:val="004B6528"/>
    <w:rsid w:val="004E601B"/>
    <w:rsid w:val="006106C9"/>
    <w:rsid w:val="00641444"/>
    <w:rsid w:val="007527A7"/>
    <w:rsid w:val="00764EEE"/>
    <w:rsid w:val="0077659E"/>
    <w:rsid w:val="00780F6D"/>
    <w:rsid w:val="007D0B6E"/>
    <w:rsid w:val="00850472"/>
    <w:rsid w:val="00863DCB"/>
    <w:rsid w:val="00895728"/>
    <w:rsid w:val="009046CE"/>
    <w:rsid w:val="00914FF9"/>
    <w:rsid w:val="00935791"/>
    <w:rsid w:val="00937615"/>
    <w:rsid w:val="00AD6A17"/>
    <w:rsid w:val="00B53022"/>
    <w:rsid w:val="00C01D3C"/>
    <w:rsid w:val="00CD16D8"/>
    <w:rsid w:val="00D97336"/>
    <w:rsid w:val="00D974BF"/>
    <w:rsid w:val="00DB7D99"/>
    <w:rsid w:val="00DD72A5"/>
    <w:rsid w:val="00DE17A0"/>
    <w:rsid w:val="00E00706"/>
    <w:rsid w:val="00E022C9"/>
    <w:rsid w:val="00E25AC7"/>
    <w:rsid w:val="00FC245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AC46"/>
  <w15:chartTrackingRefBased/>
  <w15:docId w15:val="{755B8A25-A7AE-4F1C-B19C-DBDB22F8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BF"/>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15"/>
    <w:pPr>
      <w:tabs>
        <w:tab w:val="center" w:pos="4252"/>
        <w:tab w:val="right" w:pos="8504"/>
      </w:tabs>
    </w:pPr>
  </w:style>
  <w:style w:type="character" w:customStyle="1" w:styleId="HeaderChar">
    <w:name w:val="Header Char"/>
    <w:basedOn w:val="DefaultParagraphFont"/>
    <w:link w:val="Header"/>
    <w:uiPriority w:val="99"/>
    <w:rsid w:val="00937615"/>
    <w:rPr>
      <w:rFonts w:ascii="Calibri" w:hAnsi="Calibri" w:cs="Calibri"/>
    </w:rPr>
  </w:style>
  <w:style w:type="paragraph" w:styleId="Footer">
    <w:name w:val="footer"/>
    <w:basedOn w:val="Normal"/>
    <w:link w:val="FooterChar"/>
    <w:uiPriority w:val="99"/>
    <w:unhideWhenUsed/>
    <w:rsid w:val="00937615"/>
    <w:pPr>
      <w:tabs>
        <w:tab w:val="center" w:pos="4252"/>
        <w:tab w:val="right" w:pos="8504"/>
      </w:tabs>
    </w:pPr>
  </w:style>
  <w:style w:type="character" w:customStyle="1" w:styleId="FooterChar">
    <w:name w:val="Footer Char"/>
    <w:basedOn w:val="DefaultParagraphFont"/>
    <w:link w:val="Footer"/>
    <w:uiPriority w:val="99"/>
    <w:rsid w:val="00937615"/>
    <w:rPr>
      <w:rFonts w:ascii="Calibri" w:hAnsi="Calibri" w:cs="Calibri"/>
    </w:rPr>
  </w:style>
  <w:style w:type="paragraph" w:styleId="ListParagraph">
    <w:name w:val="List Paragraph"/>
    <w:aliases w:val="Fünf,Paragrafo elenco"/>
    <w:basedOn w:val="Normal"/>
    <w:link w:val="ListParagraphChar"/>
    <w:uiPriority w:val="34"/>
    <w:qFormat/>
    <w:rsid w:val="00312F46"/>
    <w:pPr>
      <w:ind w:left="720"/>
      <w:contextualSpacing/>
    </w:pPr>
  </w:style>
  <w:style w:type="paragraph" w:customStyle="1" w:styleId="Estilo">
    <w:name w:val="Estilo"/>
    <w:rsid w:val="00312F46"/>
    <w:pPr>
      <w:widowControl w:val="0"/>
      <w:autoSpaceDE w:val="0"/>
      <w:autoSpaceDN w:val="0"/>
      <w:adjustRightInd w:val="0"/>
      <w:spacing w:after="0" w:line="240" w:lineRule="auto"/>
    </w:pPr>
    <w:rPr>
      <w:rFonts w:ascii="Times New Roman" w:eastAsiaTheme="minorEastAsia" w:hAnsi="Times New Roman" w:cs="Times New Roman"/>
      <w:sz w:val="24"/>
      <w:szCs w:val="24"/>
      <w:lang w:eastAsia="pt-PT"/>
    </w:rPr>
  </w:style>
  <w:style w:type="character" w:customStyle="1" w:styleId="ListParagraphChar">
    <w:name w:val="List Paragraph Char"/>
    <w:aliases w:val="Fünf Char,Paragrafo elenco Char"/>
    <w:link w:val="ListParagraph"/>
    <w:uiPriority w:val="34"/>
    <w:rsid w:val="001C6C9F"/>
    <w:rPr>
      <w:rFonts w:ascii="Calibri" w:hAnsi="Calibri" w:cs="Calibri"/>
      <w:lang w:val="en-GB"/>
    </w:rPr>
  </w:style>
  <w:style w:type="paragraph" w:styleId="FootnoteText">
    <w:name w:val="footnote text"/>
    <w:basedOn w:val="Normal"/>
    <w:link w:val="FootnoteTextChar"/>
    <w:uiPriority w:val="99"/>
    <w:semiHidden/>
    <w:unhideWhenUsed/>
    <w:rsid w:val="00101BC0"/>
    <w:rPr>
      <w:sz w:val="20"/>
      <w:szCs w:val="20"/>
    </w:rPr>
  </w:style>
  <w:style w:type="character" w:customStyle="1" w:styleId="FootnoteTextChar">
    <w:name w:val="Footnote Text Char"/>
    <w:basedOn w:val="DefaultParagraphFont"/>
    <w:link w:val="FootnoteText"/>
    <w:uiPriority w:val="99"/>
    <w:semiHidden/>
    <w:rsid w:val="00101BC0"/>
    <w:rPr>
      <w:rFonts w:ascii="Calibri" w:hAnsi="Calibri" w:cs="Calibri"/>
      <w:sz w:val="20"/>
      <w:szCs w:val="20"/>
      <w:lang w:val="en-GB"/>
    </w:rPr>
  </w:style>
  <w:style w:type="character" w:styleId="FootnoteReference">
    <w:name w:val="footnote reference"/>
    <w:basedOn w:val="DefaultParagraphFont"/>
    <w:uiPriority w:val="99"/>
    <w:semiHidden/>
    <w:unhideWhenUsed/>
    <w:rsid w:val="00101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60175">
      <w:bodyDiv w:val="1"/>
      <w:marLeft w:val="0"/>
      <w:marRight w:val="0"/>
      <w:marTop w:val="0"/>
      <w:marBottom w:val="0"/>
      <w:divBdr>
        <w:top w:val="none" w:sz="0" w:space="0" w:color="auto"/>
        <w:left w:val="none" w:sz="0" w:space="0" w:color="auto"/>
        <w:bottom w:val="none" w:sz="0" w:space="0" w:color="auto"/>
        <w:right w:val="none" w:sz="0" w:space="0" w:color="auto"/>
      </w:divBdr>
    </w:div>
    <w:div w:id="1445541476">
      <w:bodyDiv w:val="1"/>
      <w:marLeft w:val="0"/>
      <w:marRight w:val="0"/>
      <w:marTop w:val="0"/>
      <w:marBottom w:val="0"/>
      <w:divBdr>
        <w:top w:val="none" w:sz="0" w:space="0" w:color="auto"/>
        <w:left w:val="none" w:sz="0" w:space="0" w:color="auto"/>
        <w:bottom w:val="none" w:sz="0" w:space="0" w:color="auto"/>
        <w:right w:val="none" w:sz="0" w:space="0" w:color="auto"/>
      </w:divBdr>
    </w:div>
    <w:div w:id="15844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819E-C985-4BB9-95D9-7ADB104F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1A1153-F5ED-4911-B9E4-963AE680A947}">
  <ds:schemaRefs>
    <ds:schemaRef ds:uri="http://schemas.microsoft.com/sharepoint/v3/contenttype/forms"/>
  </ds:schemaRefs>
</ds:datastoreItem>
</file>

<file path=customXml/itemProps3.xml><?xml version="1.0" encoding="utf-8"?>
<ds:datastoreItem xmlns:ds="http://schemas.openxmlformats.org/officeDocument/2006/customXml" ds:itemID="{EA962D6C-E2B0-4972-A1E8-43872A41AC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B29C5-DC51-47DA-9A96-4641D202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2271</Words>
  <Characters>12945</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Madalena de Carvalho Zoio Martins</dc:creator>
  <cp:keywords/>
  <dc:description/>
  <cp:lastModifiedBy>OHCHR-cow</cp:lastModifiedBy>
  <cp:revision>2</cp:revision>
  <dcterms:created xsi:type="dcterms:W3CDTF">2022-03-29T07:31:00Z</dcterms:created>
  <dcterms:modified xsi:type="dcterms:W3CDTF">2022-03-29T07:31:00Z</dcterms:modified>
</cp:coreProperties>
</file>