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5DA6" w14:textId="77777777" w:rsidR="006028BE" w:rsidRPr="0032103B" w:rsidRDefault="006028BE" w:rsidP="00F22FEE">
      <w:pPr>
        <w:spacing w:line="240" w:lineRule="auto"/>
        <w:jc w:val="center"/>
        <w:rPr>
          <w:rFonts w:cs="PT Bold Heading"/>
          <w:b/>
          <w:bCs/>
          <w:sz w:val="32"/>
          <w:szCs w:val="32"/>
          <w:rtl/>
        </w:rPr>
      </w:pPr>
      <w:bookmarkStart w:id="0" w:name="_GoBack"/>
      <w:bookmarkEnd w:id="0"/>
      <w:r w:rsidRPr="0032103B">
        <w:rPr>
          <w:rFonts w:cs="PT Bold Heading" w:hint="cs"/>
          <w:b/>
          <w:bCs/>
          <w:sz w:val="32"/>
          <w:szCs w:val="32"/>
        </w:rPr>
        <w:t xml:space="preserve">Criminalization of early marriage (marriage of minors) </w:t>
      </w:r>
    </w:p>
    <w:p w14:paraId="6BAB80F8" w14:textId="77777777" w:rsidR="006028BE" w:rsidRPr="00824EFC" w:rsidRDefault="006028BE" w:rsidP="00F22FEE">
      <w:pPr>
        <w:spacing w:before="240" w:after="240" w:line="240" w:lineRule="auto"/>
        <w:jc w:val="both"/>
        <w:textDirection w:val="tbRlV"/>
        <w:rPr>
          <w:rFonts w:ascii="Traditional Arabic" w:hAnsi="Traditional Arabic" w:cs="Traditional Arabic"/>
          <w:sz w:val="32"/>
          <w:szCs w:val="32"/>
          <w:rtl/>
        </w:rPr>
      </w:pPr>
      <w:r w:rsidRPr="00824EFC">
        <w:rPr>
          <w:rFonts w:ascii="Traditional Arabic" w:hAnsi="Traditional Arabic" w:cs="Traditional Arabic"/>
          <w:sz w:val="32"/>
          <w:szCs w:val="32"/>
        </w:rPr>
        <w:t xml:space="preserve">In addition to the Constitution and the national laws, which contain provisions emphasizing the protection of children from all forms of exploitation, Egyptian laws regulate marriage as follows: </w:t>
      </w:r>
    </w:p>
    <w:p w14:paraId="2D7F97DD" w14:textId="1ADBD624" w:rsidR="006028BE" w:rsidRPr="00824EFC" w:rsidRDefault="006028BE" w:rsidP="00F22FEE">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Article 80 of the 2014 Constitution states that</w:t>
      </w:r>
      <w:r w:rsidR="00230DE5"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the State is committed to protecting and safeguarding the rights of children under 18 years of age from all forms of violence, abuse,</w:t>
      </w:r>
      <w:r w:rsidR="00004317" w:rsidRPr="00824EFC">
        <w:rPr>
          <w:rFonts w:ascii="Traditional Arabic" w:hAnsi="Traditional Arabic" w:cs="Traditional Arabic"/>
          <w:sz w:val="32"/>
          <w:szCs w:val="32"/>
          <w:lang w:val="en-US"/>
        </w:rPr>
        <w:t xml:space="preserve"> mistreatment as well as</w:t>
      </w:r>
      <w:r w:rsidRPr="00824EFC">
        <w:rPr>
          <w:rFonts w:ascii="Traditional Arabic" w:hAnsi="Traditional Arabic" w:cs="Traditional Arabic"/>
          <w:sz w:val="32"/>
          <w:szCs w:val="32"/>
        </w:rPr>
        <w:t xml:space="preserve"> sexual and commercial abuse and exploitation</w:t>
      </w:r>
      <w:r w:rsidR="00230DE5"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w:t>
      </w:r>
    </w:p>
    <w:p w14:paraId="12F1D72C" w14:textId="671CFC06" w:rsidR="006028BE" w:rsidRPr="00824EFC" w:rsidRDefault="006028BE" w:rsidP="001C7329">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Article 2 of the Children's</w:t>
      </w:r>
      <w:r w:rsidR="00792CFF" w:rsidRPr="00824EFC">
        <w:rPr>
          <w:rFonts w:ascii="Traditional Arabic" w:hAnsi="Traditional Arabic" w:cs="Traditional Arabic"/>
          <w:sz w:val="32"/>
          <w:szCs w:val="32"/>
        </w:rPr>
        <w:t xml:space="preserve"> Law</w:t>
      </w:r>
      <w:r w:rsidRPr="00824EFC">
        <w:rPr>
          <w:rFonts w:ascii="Traditional Arabic" w:hAnsi="Traditional Arabic" w:cs="Traditional Arabic"/>
          <w:sz w:val="32"/>
          <w:szCs w:val="32"/>
        </w:rPr>
        <w:t xml:space="preserve"> No. 12 of 1996, as amended by Act No. 126 of 2008, </w:t>
      </w:r>
      <w:r w:rsidR="00230DE5" w:rsidRPr="00824EFC">
        <w:rPr>
          <w:rFonts w:ascii="Traditional Arabic" w:hAnsi="Traditional Arabic" w:cs="Traditional Arabic"/>
          <w:sz w:val="32"/>
          <w:szCs w:val="32"/>
        </w:rPr>
        <w:t xml:space="preserve">“that any </w:t>
      </w:r>
      <w:r w:rsidR="00230DE5" w:rsidRPr="00824EFC">
        <w:rPr>
          <w:rFonts w:ascii="Traditional Arabic" w:hAnsi="Traditional Arabic" w:cs="Traditional Arabic"/>
          <w:sz w:val="32"/>
          <w:szCs w:val="32"/>
        </w:rPr>
        <w:lastRenderedPageBreak/>
        <w:t xml:space="preserve">child who did not reach 18 of years is </w:t>
      </w:r>
      <w:r w:rsidR="001C7329" w:rsidRPr="00824EFC">
        <w:rPr>
          <w:rFonts w:ascii="Traditional Arabic" w:hAnsi="Traditional Arabic" w:cs="Traditional Arabic"/>
          <w:sz w:val="32"/>
          <w:szCs w:val="32"/>
        </w:rPr>
        <w:t>considered a child by law</w:t>
      </w:r>
      <w:r w:rsidR="00230DE5"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w:t>
      </w:r>
    </w:p>
    <w:p w14:paraId="776D6B0B" w14:textId="6952F1CD" w:rsidR="00004317" w:rsidRPr="00824EFC" w:rsidRDefault="00004317" w:rsidP="00004317">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Article (31 bis), added in 2008 to Law No. 143 of 1994 regarding civil status, stipulates that</w:t>
      </w:r>
      <w:r w:rsidR="006028BE" w:rsidRPr="00824EFC">
        <w:rPr>
          <w:rFonts w:ascii="Traditional Arabic" w:hAnsi="Traditional Arabic" w:cs="Traditional Arabic"/>
          <w:sz w:val="32"/>
          <w:szCs w:val="32"/>
        </w:rPr>
        <w:t xml:space="preserve"> "</w:t>
      </w:r>
      <w:r w:rsidRPr="00824EFC">
        <w:t xml:space="preserve"> </w:t>
      </w:r>
      <w:r w:rsidRPr="00824EFC">
        <w:rPr>
          <w:rFonts w:ascii="Traditional Arabic" w:hAnsi="Traditional Arabic" w:cs="Traditional Arabic"/>
          <w:sz w:val="32"/>
          <w:szCs w:val="32"/>
        </w:rPr>
        <w:t>A marriage contract may not be</w:t>
      </w:r>
      <w:r w:rsidRPr="00824EFC">
        <w:rPr>
          <w:rFonts w:ascii="Traditional Arabic" w:hAnsi="Traditional Arabic" w:cs="Traditional Arabic" w:hint="cs"/>
          <w:sz w:val="32"/>
          <w:szCs w:val="32"/>
          <w:rtl/>
        </w:rPr>
        <w:t xml:space="preserve"> </w:t>
      </w:r>
      <w:r w:rsidRPr="00824EFC">
        <w:rPr>
          <w:rFonts w:ascii="Traditional Arabic" w:hAnsi="Traditional Arabic" w:cs="Traditional Arabic"/>
          <w:sz w:val="32"/>
          <w:szCs w:val="32"/>
        </w:rPr>
        <w:t>authenticated for those who have not reached the age of eighteen.</w:t>
      </w:r>
      <w:r w:rsidRPr="00824EFC">
        <w:rPr>
          <w:rFonts w:ascii="Traditional Arabic" w:hAnsi="Traditional Arabic" w:cs="Traditional Arabic"/>
          <w:sz w:val="32"/>
          <w:szCs w:val="32"/>
          <w:lang w:val="en-US"/>
        </w:rPr>
        <w:t xml:space="preserve">” </w:t>
      </w:r>
      <w:r w:rsidRPr="00824EFC">
        <w:rPr>
          <w:rFonts w:ascii="Traditional Arabic" w:hAnsi="Traditional Arabic" w:cs="Traditional Arabic"/>
          <w:sz w:val="32"/>
          <w:szCs w:val="32"/>
        </w:rPr>
        <w:t xml:space="preserve">And those who violate those provisions are disciplined. </w:t>
      </w:r>
    </w:p>
    <w:p w14:paraId="264C4719" w14:textId="1DC2257C" w:rsidR="006028BE" w:rsidRPr="00824EFC" w:rsidRDefault="006028BE" w:rsidP="004179D1">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 xml:space="preserve">The Minister of Justice issued </w:t>
      </w:r>
      <w:r w:rsidR="00676C9F" w:rsidRPr="00824EFC">
        <w:rPr>
          <w:rFonts w:ascii="Traditional Arabic" w:hAnsi="Traditional Arabic" w:cs="Traditional Arabic"/>
          <w:sz w:val="32"/>
          <w:szCs w:val="32"/>
        </w:rPr>
        <w:t>Decision No.</w:t>
      </w:r>
      <w:r w:rsidRPr="00824EFC">
        <w:rPr>
          <w:rFonts w:ascii="Traditional Arabic" w:hAnsi="Traditional Arabic" w:cs="Traditional Arabic"/>
          <w:sz w:val="32"/>
          <w:szCs w:val="32"/>
        </w:rPr>
        <w:t xml:space="preserve"> 6927 of 2008, which states that "</w:t>
      </w:r>
      <w:r w:rsidR="00676C9F" w:rsidRPr="00824EFC">
        <w:rPr>
          <w:rFonts w:ascii="Traditional Arabic" w:hAnsi="Traditional Arabic" w:cs="Traditional Arabic"/>
          <w:sz w:val="32"/>
          <w:szCs w:val="32"/>
        </w:rPr>
        <w:t xml:space="preserve">"the marriage contract cannot be commenced or marriage approved unless the spouses are eighteen years old at the time of the contract </w:t>
      </w:r>
      <w:r w:rsidRPr="00824EFC">
        <w:rPr>
          <w:rFonts w:ascii="Traditional Arabic" w:hAnsi="Traditional Arabic" w:cs="Traditional Arabic"/>
          <w:sz w:val="32"/>
          <w:szCs w:val="32"/>
        </w:rPr>
        <w:t xml:space="preserve">". </w:t>
      </w:r>
    </w:p>
    <w:p w14:paraId="5A4E1A8D" w14:textId="355B89AF" w:rsidR="00967103" w:rsidRPr="00824EFC" w:rsidRDefault="00967103" w:rsidP="001C7329">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 xml:space="preserve">Article 227 of the Penal Code stipulates a penalty of imprisonment and a fine for anyone who makes false statements before the competent </w:t>
      </w:r>
      <w:r w:rsidRPr="00824EFC">
        <w:rPr>
          <w:rFonts w:ascii="Traditional Arabic" w:hAnsi="Traditional Arabic" w:cs="Traditional Arabic"/>
          <w:sz w:val="32"/>
          <w:szCs w:val="32"/>
        </w:rPr>
        <w:lastRenderedPageBreak/>
        <w:t xml:space="preserve">authority or who has written or submitted papers with the intention of proving that one of the spouses has reached the legally specified age, as well as penalties for those who </w:t>
      </w:r>
      <w:r w:rsidR="006C358E" w:rsidRPr="00824EFC">
        <w:rPr>
          <w:rFonts w:ascii="Traditional Arabic" w:hAnsi="Traditional Arabic" w:cs="Traditional Arabic"/>
          <w:sz w:val="32"/>
          <w:szCs w:val="32"/>
        </w:rPr>
        <w:t>prepare</w:t>
      </w:r>
      <w:r w:rsidRPr="00824EFC">
        <w:rPr>
          <w:rFonts w:ascii="Traditional Arabic" w:hAnsi="Traditional Arabic" w:cs="Traditional Arabic"/>
          <w:sz w:val="32"/>
          <w:szCs w:val="32"/>
        </w:rPr>
        <w:t xml:space="preserve"> the marriage</w:t>
      </w:r>
      <w:r w:rsidR="006C358E" w:rsidRPr="00824EFC">
        <w:rPr>
          <w:rFonts w:ascii="Traditional Arabic" w:hAnsi="Traditional Arabic" w:cs="Traditional Arabic"/>
          <w:sz w:val="32"/>
          <w:szCs w:val="32"/>
        </w:rPr>
        <w:t>’s contract.</w:t>
      </w:r>
    </w:p>
    <w:p w14:paraId="3DA0F9C0" w14:textId="57A4E555" w:rsidR="006028BE" w:rsidRPr="00824EFC" w:rsidRDefault="006028BE" w:rsidP="00AB0E89">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Artic</w:t>
      </w:r>
      <w:r w:rsidR="00792CFF" w:rsidRPr="00824EFC">
        <w:rPr>
          <w:rFonts w:ascii="Traditional Arabic" w:hAnsi="Traditional Arabic" w:cs="Traditional Arabic"/>
          <w:sz w:val="32"/>
          <w:szCs w:val="32"/>
        </w:rPr>
        <w:t xml:space="preserve">le 116 bis of the </w:t>
      </w:r>
      <w:r w:rsidR="00D906F3" w:rsidRPr="00824EFC">
        <w:rPr>
          <w:rFonts w:ascii="Traditional Arabic" w:hAnsi="Traditional Arabic" w:cs="Traditional Arabic"/>
          <w:sz w:val="32"/>
          <w:szCs w:val="32"/>
        </w:rPr>
        <w:t>Child</w:t>
      </w:r>
      <w:r w:rsidR="00792CFF" w:rsidRPr="00824EFC">
        <w:rPr>
          <w:rFonts w:ascii="Traditional Arabic" w:hAnsi="Traditional Arabic" w:cs="Traditional Arabic"/>
          <w:sz w:val="32"/>
          <w:szCs w:val="32"/>
        </w:rPr>
        <w:t xml:space="preserve"> Law</w:t>
      </w:r>
      <w:r w:rsidRPr="00824EFC">
        <w:rPr>
          <w:rFonts w:ascii="Traditional Arabic" w:hAnsi="Traditional Arabic" w:cs="Traditional Arabic"/>
          <w:sz w:val="32"/>
          <w:szCs w:val="32"/>
        </w:rPr>
        <w:t xml:space="preserve"> No. 126 of 2008 stipulates </w:t>
      </w:r>
      <w:r w:rsidR="00D36FB7" w:rsidRPr="00824EFC">
        <w:rPr>
          <w:rFonts w:ascii="Traditional Arabic" w:hAnsi="Traditional Arabic" w:cs="Traditional Arabic"/>
          <w:sz w:val="32"/>
          <w:szCs w:val="32"/>
        </w:rPr>
        <w:t>“The minimum penalty decreed for any crime shall be doubled if the crime is committed by an adult against a child, or if it is committed by one of the parents, or by one of the child’s guardians, or by people in charge of supervising or upbringing the child, or by those who have authority over the child, or by a servant to any of the above mentioned.</w:t>
      </w:r>
      <w:r w:rsidRPr="00824EFC">
        <w:rPr>
          <w:rFonts w:ascii="Traditional Arabic" w:hAnsi="Traditional Arabic" w:cs="Traditional Arabic" w:hint="cs"/>
          <w:sz w:val="32"/>
          <w:szCs w:val="32"/>
        </w:rPr>
        <w:t xml:space="preserve">" </w:t>
      </w:r>
    </w:p>
    <w:p w14:paraId="639A0693" w14:textId="7807A6F3" w:rsidR="006028BE" w:rsidRPr="00824EFC" w:rsidRDefault="006028BE" w:rsidP="004179D1">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before="240" w:after="240" w:line="240" w:lineRule="auto"/>
        <w:contextualSpacing w:val="0"/>
        <w:jc w:val="both"/>
        <w:textDirection w:val="tbRlV"/>
        <w:rPr>
          <w:rFonts w:ascii="Traditional Arabic" w:hAnsi="Traditional Arabic" w:cs="Traditional Arabic"/>
          <w:sz w:val="32"/>
          <w:szCs w:val="32"/>
        </w:rPr>
      </w:pPr>
      <w:r w:rsidRPr="00824EFC">
        <w:rPr>
          <w:rFonts w:ascii="Traditional Arabic" w:hAnsi="Traditional Arabic" w:cs="Traditional Arabic"/>
          <w:sz w:val="32"/>
          <w:szCs w:val="32"/>
        </w:rPr>
        <w:t xml:space="preserve">The Anti-trafficking in </w:t>
      </w:r>
      <w:r w:rsidR="004179D1" w:rsidRPr="00824EFC">
        <w:rPr>
          <w:rFonts w:ascii="Traditional Arabic" w:hAnsi="Traditional Arabic" w:cs="Traditional Arabic"/>
          <w:sz w:val="32"/>
          <w:szCs w:val="32"/>
        </w:rPr>
        <w:t xml:space="preserve">persons </w:t>
      </w:r>
      <w:r w:rsidR="00AB0E89" w:rsidRPr="00824EFC">
        <w:rPr>
          <w:rFonts w:ascii="Traditional Arabic" w:hAnsi="Traditional Arabic" w:cs="Traditional Arabic"/>
          <w:sz w:val="32"/>
          <w:szCs w:val="32"/>
        </w:rPr>
        <w:t>Law</w:t>
      </w:r>
      <w:r w:rsidRPr="00824EFC">
        <w:rPr>
          <w:rFonts w:ascii="Traditional Arabic" w:hAnsi="Traditional Arabic" w:cs="Traditional Arabic"/>
          <w:sz w:val="32"/>
          <w:szCs w:val="32"/>
        </w:rPr>
        <w:t xml:space="preserve"> No. 64 of 2010 criminalizes some child marriages as a </w:t>
      </w:r>
      <w:r w:rsidRPr="00824EFC">
        <w:rPr>
          <w:rFonts w:ascii="Traditional Arabic" w:hAnsi="Traditional Arabic" w:cs="Traditional Arabic"/>
          <w:sz w:val="32"/>
          <w:szCs w:val="32"/>
        </w:rPr>
        <w:lastRenderedPageBreak/>
        <w:t xml:space="preserve">form of sexual exploitation and trafficking in </w:t>
      </w:r>
      <w:r w:rsidR="004179D1" w:rsidRPr="00824EFC">
        <w:rPr>
          <w:rFonts w:ascii="Traditional Arabic" w:hAnsi="Traditional Arabic" w:cs="Traditional Arabic"/>
          <w:sz w:val="32"/>
          <w:szCs w:val="32"/>
        </w:rPr>
        <w:t>persons</w:t>
      </w:r>
      <w:r w:rsidRPr="00824EFC">
        <w:rPr>
          <w:rFonts w:ascii="Traditional Arabic" w:hAnsi="Traditional Arabic" w:cs="Traditional Arabic"/>
          <w:sz w:val="32"/>
          <w:szCs w:val="32"/>
        </w:rPr>
        <w:t xml:space="preserve"> when the child's guardian</w:t>
      </w:r>
      <w:r w:rsidRPr="00824EFC">
        <w:rPr>
          <w:rFonts w:ascii="Traditional Arabic" w:hAnsi="Traditional Arabic" w:cs="Traditional Arabic"/>
          <w:color w:val="FF0000"/>
          <w:sz w:val="32"/>
          <w:szCs w:val="32"/>
        </w:rPr>
        <w:t xml:space="preserve"> </w:t>
      </w:r>
      <w:r w:rsidR="00EE0B02" w:rsidRPr="00824EFC">
        <w:rPr>
          <w:rFonts w:ascii="Traditional Arabic" w:hAnsi="Traditional Arabic" w:cs="Traditional Arabic"/>
          <w:sz w:val="32"/>
          <w:szCs w:val="32"/>
        </w:rPr>
        <w:t>gives</w:t>
      </w:r>
      <w:r w:rsidRPr="00824EFC">
        <w:rPr>
          <w:rFonts w:ascii="Traditional Arabic" w:hAnsi="Traditional Arabic" w:cs="Traditional Arabic"/>
          <w:sz w:val="32"/>
          <w:szCs w:val="32"/>
        </w:rPr>
        <w:t xml:space="preserve"> them to </w:t>
      </w:r>
      <w:r w:rsidR="004179D1" w:rsidRPr="00824EFC">
        <w:rPr>
          <w:rFonts w:ascii="Traditional Arabic" w:hAnsi="Traditional Arabic" w:cs="Traditional Arabic"/>
          <w:sz w:val="32"/>
          <w:szCs w:val="32"/>
        </w:rPr>
        <w:t xml:space="preserve">an adult to </w:t>
      </w:r>
      <w:r w:rsidR="00D36FB7" w:rsidRPr="00824EFC">
        <w:rPr>
          <w:rFonts w:ascii="Traditional Arabic" w:hAnsi="Traditional Arabic" w:cs="Traditional Arabic"/>
          <w:sz w:val="32"/>
          <w:szCs w:val="32"/>
        </w:rPr>
        <w:t>be</w:t>
      </w:r>
      <w:r w:rsidR="004179D1" w:rsidRPr="00824EFC">
        <w:rPr>
          <w:rFonts w:ascii="Traditional Arabic" w:hAnsi="Traditional Arabic" w:cs="Traditional Arabic"/>
          <w:sz w:val="32"/>
          <w:szCs w:val="32"/>
        </w:rPr>
        <w:t xml:space="preserve"> married</w:t>
      </w:r>
      <w:r w:rsidRPr="00824EFC">
        <w:rPr>
          <w:rFonts w:ascii="Traditional Arabic" w:hAnsi="Traditional Arabic" w:cs="Traditional Arabic"/>
          <w:sz w:val="32"/>
          <w:szCs w:val="32"/>
        </w:rPr>
        <w:t xml:space="preserve"> for a specific period of time in exchange for a financial </w:t>
      </w:r>
      <w:r w:rsidR="004179D1" w:rsidRPr="00824EFC">
        <w:rPr>
          <w:rFonts w:ascii="Traditional Arabic" w:hAnsi="Traditional Arabic" w:cs="Traditional Arabic"/>
          <w:sz w:val="32"/>
          <w:szCs w:val="32"/>
        </w:rPr>
        <w:t xml:space="preserve">sum, or </w:t>
      </w:r>
      <w:r w:rsidRPr="00824EFC">
        <w:rPr>
          <w:rFonts w:ascii="Traditional Arabic" w:hAnsi="Traditional Arabic" w:cs="Traditional Arabic"/>
          <w:sz w:val="32"/>
          <w:szCs w:val="32"/>
        </w:rPr>
        <w:t>the so-called "</w:t>
      </w:r>
      <w:r w:rsidR="00D36FB7" w:rsidRPr="00824EFC">
        <w:t xml:space="preserve"> </w:t>
      </w:r>
      <w:r w:rsidR="00D36FB7" w:rsidRPr="00824EFC">
        <w:rPr>
          <w:rFonts w:ascii="Traditional Arabic" w:hAnsi="Traditional Arabic" w:cs="Traditional Arabic"/>
          <w:sz w:val="32"/>
          <w:szCs w:val="32"/>
        </w:rPr>
        <w:t>Bargain marriage</w:t>
      </w:r>
    </w:p>
    <w:p w14:paraId="26FB2EB7" w14:textId="15DA81F8" w:rsidR="006028BE" w:rsidRPr="00824EFC" w:rsidRDefault="006028BE" w:rsidP="00F22FEE">
      <w:pPr>
        <w:spacing w:line="240" w:lineRule="auto"/>
        <w:jc w:val="both"/>
        <w:rPr>
          <w:rFonts w:ascii="Traditional Arabic" w:hAnsi="Traditional Arabic" w:cs="Traditional Arabic"/>
          <w:sz w:val="32"/>
          <w:szCs w:val="32"/>
          <w:rtl/>
        </w:rPr>
      </w:pPr>
      <w:r w:rsidRPr="00824EFC">
        <w:rPr>
          <w:rFonts w:ascii="Traditional Arabic" w:hAnsi="Traditional Arabic" w:cs="Traditional Arabic"/>
          <w:sz w:val="32"/>
          <w:szCs w:val="32"/>
        </w:rPr>
        <w:t xml:space="preserve">In the course of the ongoing </w:t>
      </w:r>
      <w:r w:rsidR="006E3350" w:rsidRPr="00824EFC">
        <w:rPr>
          <w:rFonts w:ascii="Traditional Arabic" w:hAnsi="Traditional Arabic" w:cs="Traditional Arabic"/>
          <w:sz w:val="32"/>
          <w:szCs w:val="32"/>
        </w:rPr>
        <w:t>legislative review and</w:t>
      </w:r>
      <w:r w:rsidRPr="00824EFC">
        <w:rPr>
          <w:rFonts w:ascii="Traditional Arabic" w:hAnsi="Traditional Arabic" w:cs="Traditional Arabic"/>
          <w:sz w:val="32"/>
          <w:szCs w:val="32"/>
        </w:rPr>
        <w:t xml:space="preserve"> proposals, the Egyptian Government h</w:t>
      </w:r>
      <w:r w:rsidR="00D62B55" w:rsidRPr="00824EFC">
        <w:rPr>
          <w:rFonts w:ascii="Traditional Arabic" w:hAnsi="Traditional Arabic" w:cs="Traditional Arabic"/>
          <w:sz w:val="32"/>
          <w:szCs w:val="32"/>
        </w:rPr>
        <w:t>as introduced an integrated law that would</w:t>
      </w:r>
      <w:r w:rsidRPr="00824EFC">
        <w:rPr>
          <w:rFonts w:ascii="Traditional Arabic" w:hAnsi="Traditional Arabic" w:cs="Traditional Arabic"/>
          <w:sz w:val="32"/>
          <w:szCs w:val="32"/>
        </w:rPr>
        <w:t xml:space="preserve"> cover all matters that would criminalize early marriage and explicitly stipulate that the legal age for marriage is 18 years</w:t>
      </w:r>
      <w:r w:rsidR="005D6F57" w:rsidRPr="00824EFC">
        <w:rPr>
          <w:rFonts w:ascii="Traditional Arabic" w:hAnsi="Traditional Arabic" w:cs="Traditional Arabic"/>
          <w:b/>
          <w:bCs/>
          <w:sz w:val="32"/>
          <w:szCs w:val="32"/>
        </w:rPr>
        <w:t>.</w:t>
      </w:r>
      <w:r w:rsidRPr="00824EFC">
        <w:rPr>
          <w:rFonts w:ascii="Traditional Arabic" w:hAnsi="Traditional Arabic" w:cs="Traditional Arabic"/>
          <w:b/>
          <w:bCs/>
          <w:sz w:val="32"/>
          <w:szCs w:val="32"/>
        </w:rPr>
        <w:t xml:space="preserve"> </w:t>
      </w:r>
      <w:r w:rsidR="005D6F57" w:rsidRPr="00824EFC">
        <w:rPr>
          <w:rFonts w:ascii="Traditional Arabic" w:hAnsi="Traditional Arabic" w:cs="Traditional Arabic"/>
          <w:b/>
          <w:bCs/>
          <w:sz w:val="32"/>
          <w:szCs w:val="32"/>
        </w:rPr>
        <w:t>The law includes</w:t>
      </w:r>
      <w:r w:rsidRPr="00824EFC">
        <w:rPr>
          <w:rFonts w:ascii="Traditional Arabic" w:hAnsi="Traditional Arabic" w:cs="Traditional Arabic"/>
          <w:b/>
          <w:bCs/>
          <w:sz w:val="32"/>
          <w:szCs w:val="32"/>
        </w:rPr>
        <w:t xml:space="preserve"> amendments and proposals </w:t>
      </w:r>
      <w:r w:rsidR="005D6F57" w:rsidRPr="00824EFC">
        <w:rPr>
          <w:rFonts w:ascii="Traditional Arabic" w:hAnsi="Traditional Arabic" w:cs="Traditional Arabic"/>
          <w:b/>
          <w:bCs/>
          <w:sz w:val="32"/>
          <w:szCs w:val="32"/>
        </w:rPr>
        <w:t>of the following:</w:t>
      </w:r>
    </w:p>
    <w:p w14:paraId="0D3BD8E2" w14:textId="79FF5CFD" w:rsidR="006028BE" w:rsidRPr="00824EFC" w:rsidRDefault="006028BE" w:rsidP="00F22FEE">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sz w:val="32"/>
          <w:szCs w:val="32"/>
        </w:rPr>
        <w:t>The legal age for marriage</w:t>
      </w:r>
      <w:r w:rsidR="00733640" w:rsidRPr="00824EFC">
        <w:rPr>
          <w:rFonts w:ascii="Traditional Arabic" w:hAnsi="Traditional Arabic" w:cs="Traditional Arabic"/>
          <w:sz w:val="32"/>
          <w:szCs w:val="32"/>
        </w:rPr>
        <w:t xml:space="preserve"> is expressly set out in the law</w:t>
      </w:r>
      <w:r w:rsidRPr="00824EFC">
        <w:rPr>
          <w:rFonts w:ascii="Traditional Arabic" w:hAnsi="Traditional Arabic" w:cs="Traditional Arabic"/>
          <w:sz w:val="32"/>
          <w:szCs w:val="32"/>
        </w:rPr>
        <w:t xml:space="preserve"> to be 18 years</w:t>
      </w:r>
      <w:r w:rsidR="00070E6F"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w:t>
      </w:r>
    </w:p>
    <w:p w14:paraId="4BFC04A2" w14:textId="629DBE62" w:rsidR="006028BE" w:rsidRPr="00824EFC" w:rsidRDefault="006028BE" w:rsidP="00733640">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sz w:val="32"/>
          <w:szCs w:val="32"/>
        </w:rPr>
        <w:t xml:space="preserve">A penalty and a fine for anyone who participates in the marriage of a child or a child under </w:t>
      </w:r>
      <w:r w:rsidRPr="00824EFC">
        <w:rPr>
          <w:rFonts w:ascii="Traditional Arabic" w:hAnsi="Traditional Arabic" w:cs="Traditional Arabic"/>
          <w:sz w:val="32"/>
          <w:szCs w:val="32"/>
        </w:rPr>
        <w:lastRenderedPageBreak/>
        <w:t xml:space="preserve">18 years of age or in the preparatory </w:t>
      </w:r>
      <w:r w:rsidR="00D36FB7" w:rsidRPr="00824EFC">
        <w:rPr>
          <w:rFonts w:ascii="Traditional Arabic" w:hAnsi="Traditional Arabic" w:cs="Traditional Arabic"/>
          <w:sz w:val="32"/>
          <w:szCs w:val="32"/>
        </w:rPr>
        <w:t>stages</w:t>
      </w:r>
      <w:r w:rsidRPr="00824EFC">
        <w:rPr>
          <w:rFonts w:ascii="Traditional Arabic" w:hAnsi="Traditional Arabic" w:cs="Traditional Arabic"/>
          <w:sz w:val="32"/>
          <w:szCs w:val="32"/>
        </w:rPr>
        <w:t xml:space="preserve"> preceding or </w:t>
      </w:r>
      <w:r w:rsidR="00D36FB7" w:rsidRPr="00824EFC">
        <w:rPr>
          <w:rFonts w:ascii="Traditional Arabic" w:hAnsi="Traditional Arabic" w:cs="Traditional Arabic"/>
          <w:sz w:val="32"/>
          <w:szCs w:val="32"/>
        </w:rPr>
        <w:t>commencing</w:t>
      </w:r>
      <w:r w:rsidRPr="00824EFC">
        <w:rPr>
          <w:rFonts w:ascii="Traditional Arabic" w:hAnsi="Traditional Arabic" w:cs="Traditional Arabic"/>
          <w:sz w:val="32"/>
          <w:szCs w:val="32"/>
        </w:rPr>
        <w:t xml:space="preserve"> the marriage contract and a penalty f</w:t>
      </w:r>
      <w:r w:rsidR="00070E6F" w:rsidRPr="00824EFC">
        <w:rPr>
          <w:rFonts w:ascii="Traditional Arabic" w:hAnsi="Traditional Arabic" w:cs="Traditional Arabic"/>
          <w:sz w:val="32"/>
          <w:szCs w:val="32"/>
        </w:rPr>
        <w:t>or every person who has notarized</w:t>
      </w:r>
      <w:r w:rsidRPr="00824EFC">
        <w:rPr>
          <w:rFonts w:ascii="Traditional Arabic" w:hAnsi="Traditional Arabic" w:cs="Traditional Arabic"/>
          <w:sz w:val="32"/>
          <w:szCs w:val="32"/>
        </w:rPr>
        <w:t xml:space="preserve"> a marriage contract (i.e. notarized and authorized) </w:t>
      </w:r>
      <w:r w:rsidR="00733640" w:rsidRPr="00824EFC">
        <w:rPr>
          <w:rFonts w:ascii="Traditional Arabic" w:hAnsi="Traditional Arabic" w:cs="Traditional Arabic"/>
          <w:sz w:val="32"/>
          <w:szCs w:val="32"/>
        </w:rPr>
        <w:t>person and he</w:t>
      </w:r>
      <w:r w:rsidR="007C594D" w:rsidRPr="00824EFC">
        <w:rPr>
          <w:rFonts w:ascii="Traditional Arabic" w:hAnsi="Traditional Arabic" w:cs="Traditional Arabic"/>
          <w:sz w:val="32"/>
          <w:szCs w:val="32"/>
        </w:rPr>
        <w:t>/she</w:t>
      </w:r>
      <w:r w:rsidRPr="00824EFC">
        <w:rPr>
          <w:rFonts w:ascii="Traditional Arabic" w:hAnsi="Traditional Arabic" w:cs="Traditional Arabic"/>
          <w:sz w:val="32"/>
          <w:szCs w:val="32"/>
        </w:rPr>
        <w:t xml:space="preserve"> </w:t>
      </w:r>
      <w:r w:rsidR="00070E6F" w:rsidRPr="00824EFC">
        <w:rPr>
          <w:rFonts w:ascii="Traditional Arabic" w:hAnsi="Traditional Arabic" w:cs="Traditional Arabic"/>
          <w:sz w:val="32"/>
          <w:szCs w:val="32"/>
        </w:rPr>
        <w:t>knows that one of the parties in</w:t>
      </w:r>
      <w:r w:rsidRPr="00824EFC">
        <w:rPr>
          <w:rFonts w:ascii="Traditional Arabic" w:hAnsi="Traditional Arabic" w:cs="Traditional Arabic"/>
          <w:sz w:val="32"/>
          <w:szCs w:val="32"/>
        </w:rPr>
        <w:t xml:space="preserve"> the contract is under the legal age</w:t>
      </w:r>
      <w:r w:rsidR="00156AF6" w:rsidRPr="00824EFC">
        <w:rPr>
          <w:rFonts w:ascii="Traditional Arabic" w:hAnsi="Traditional Arabic" w:cs="Traditional Arabic"/>
          <w:sz w:val="32"/>
          <w:szCs w:val="32"/>
        </w:rPr>
        <w:t>. The statute of limitations for the</w:t>
      </w:r>
      <w:r w:rsidRPr="00824EFC">
        <w:rPr>
          <w:rFonts w:ascii="Traditional Arabic" w:hAnsi="Traditional Arabic" w:cs="Traditional Arabic"/>
          <w:sz w:val="32"/>
          <w:szCs w:val="32"/>
        </w:rPr>
        <w:t xml:space="preserve"> crime is not obsolescence</w:t>
      </w:r>
      <w:r w:rsidR="00C04408"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w:t>
      </w:r>
    </w:p>
    <w:p w14:paraId="1E4A8CFA" w14:textId="77777777" w:rsidR="006028BE" w:rsidRPr="00824EFC" w:rsidRDefault="006028BE" w:rsidP="00F22FEE">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hint="cs"/>
          <w:sz w:val="32"/>
          <w:szCs w:val="32"/>
        </w:rPr>
        <w:t xml:space="preserve">Severe penalties for any person who has used force or threat to force a child to marry or to disclose the identity of the victim, witness or amount, or to publish any information relating to such facts except within the framework of the competent investigating authorities and obtain their consent. </w:t>
      </w:r>
    </w:p>
    <w:p w14:paraId="2D0F094B" w14:textId="16F488D5" w:rsidR="006028BE" w:rsidRPr="00824EFC" w:rsidRDefault="006028BE" w:rsidP="00F22FEE">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hint="cs"/>
          <w:sz w:val="32"/>
          <w:szCs w:val="32"/>
        </w:rPr>
        <w:t>Prohibition of ratification</w:t>
      </w:r>
      <w:r w:rsidR="007C594D" w:rsidRPr="00824EFC">
        <w:rPr>
          <w:rFonts w:ascii="Traditional Arabic" w:hAnsi="Traditional Arabic" w:cs="Traditional Arabic"/>
          <w:sz w:val="32"/>
          <w:szCs w:val="32"/>
        </w:rPr>
        <w:t>/authentication of</w:t>
      </w:r>
      <w:r w:rsidRPr="00824EFC">
        <w:rPr>
          <w:rFonts w:ascii="Traditional Arabic" w:hAnsi="Traditional Arabic" w:cs="Traditional Arabic" w:hint="cs"/>
          <w:sz w:val="32"/>
          <w:szCs w:val="32"/>
        </w:rPr>
        <w:t xml:space="preserve"> all customary marriage contracts for children</w:t>
      </w:r>
      <w:r w:rsidR="00C04408" w:rsidRPr="00824EFC">
        <w:rPr>
          <w:rFonts w:ascii="Traditional Arabic" w:hAnsi="Traditional Arabic" w:cs="Traditional Arabic"/>
          <w:sz w:val="32"/>
          <w:szCs w:val="32"/>
        </w:rPr>
        <w:t>.</w:t>
      </w:r>
      <w:r w:rsidRPr="00824EFC">
        <w:rPr>
          <w:rFonts w:ascii="Traditional Arabic" w:hAnsi="Traditional Arabic" w:cs="Traditional Arabic" w:hint="cs"/>
          <w:sz w:val="32"/>
          <w:szCs w:val="32"/>
        </w:rPr>
        <w:t xml:space="preserve"> </w:t>
      </w:r>
    </w:p>
    <w:p w14:paraId="34E45E1C" w14:textId="72C81138" w:rsidR="006028BE" w:rsidRPr="00824EFC" w:rsidRDefault="006028BE" w:rsidP="00707B61">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sz w:val="32"/>
          <w:szCs w:val="32"/>
        </w:rPr>
        <w:lastRenderedPageBreak/>
        <w:t xml:space="preserve">An obligation on the </w:t>
      </w:r>
      <w:r w:rsidR="00707B61" w:rsidRPr="00824EFC">
        <w:rPr>
          <w:rFonts w:ascii="Traditional Arabic" w:hAnsi="Traditional Arabic" w:cs="Traditional Arabic"/>
          <w:sz w:val="32"/>
          <w:szCs w:val="32"/>
        </w:rPr>
        <w:t>(Ma’zoun)</w:t>
      </w:r>
      <w:r w:rsidRPr="00824EFC">
        <w:rPr>
          <w:rFonts w:ascii="Traditional Arabic" w:hAnsi="Traditional Arabic" w:cs="Traditional Arabic"/>
          <w:sz w:val="32"/>
          <w:szCs w:val="32"/>
        </w:rPr>
        <w:t xml:space="preserve"> to notify the Public Prosecutor's Office of customary marriages and to </w:t>
      </w:r>
      <w:r w:rsidR="007C594D" w:rsidRPr="00824EFC">
        <w:rPr>
          <w:rFonts w:ascii="Traditional Arabic" w:hAnsi="Traditional Arabic" w:cs="Traditional Arabic"/>
          <w:sz w:val="32"/>
          <w:szCs w:val="32"/>
        </w:rPr>
        <w:t>state</w:t>
      </w:r>
      <w:r w:rsidRPr="00824EFC">
        <w:rPr>
          <w:rFonts w:ascii="Traditional Arabic" w:hAnsi="Traditional Arabic" w:cs="Traditional Arabic"/>
          <w:sz w:val="32"/>
          <w:szCs w:val="32"/>
        </w:rPr>
        <w:t xml:space="preserve"> a penalty of imprisonment and dismissal in the event of non-notification. </w:t>
      </w:r>
    </w:p>
    <w:p w14:paraId="37FB262C" w14:textId="5415E757" w:rsidR="006028BE" w:rsidRPr="00824EFC" w:rsidRDefault="006028BE" w:rsidP="00936D2F">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sz w:val="32"/>
          <w:szCs w:val="32"/>
        </w:rPr>
        <w:t xml:space="preserve">Amend the </w:t>
      </w:r>
      <w:r w:rsidR="00733640" w:rsidRPr="00824EFC">
        <w:rPr>
          <w:rFonts w:ascii="Traditional Arabic" w:hAnsi="Traditional Arabic" w:cs="Traditional Arabic"/>
          <w:sz w:val="32"/>
          <w:szCs w:val="32"/>
        </w:rPr>
        <w:t>notarization articles</w:t>
      </w:r>
      <w:r w:rsidRPr="00824EFC">
        <w:rPr>
          <w:rFonts w:ascii="Traditional Arabic" w:hAnsi="Traditional Arabic" w:cs="Traditional Arabic"/>
          <w:sz w:val="32"/>
          <w:szCs w:val="32"/>
        </w:rPr>
        <w:t xml:space="preserve"> by tightening the cases of proof of the marriage contract and the need for the approval </w:t>
      </w:r>
      <w:r w:rsidR="00936D2F" w:rsidRPr="00824EFC">
        <w:rPr>
          <w:rFonts w:ascii="Traditional Arabic" w:hAnsi="Traditional Arabic" w:cs="Traditional Arabic"/>
          <w:sz w:val="32"/>
          <w:szCs w:val="32"/>
        </w:rPr>
        <w:t xml:space="preserve">of the competent family court based on </w:t>
      </w:r>
      <w:r w:rsidRPr="00824EFC">
        <w:rPr>
          <w:rFonts w:ascii="Traditional Arabic" w:hAnsi="Traditional Arabic" w:cs="Traditional Arabic"/>
          <w:sz w:val="32"/>
          <w:szCs w:val="32"/>
        </w:rPr>
        <w:t xml:space="preserve">the request of the Public Prosecutor's Office. </w:t>
      </w:r>
    </w:p>
    <w:p w14:paraId="38F44332" w14:textId="24E27107" w:rsidR="006028BE" w:rsidRPr="00824EFC" w:rsidRDefault="006028BE" w:rsidP="00F22FEE">
      <w:pPr>
        <w:pStyle w:val="ListParagraph"/>
        <w:numPr>
          <w:ilvl w:val="0"/>
          <w:numId w:val="1"/>
        </w:numPr>
        <w:spacing w:line="240" w:lineRule="auto"/>
        <w:jc w:val="both"/>
        <w:rPr>
          <w:rFonts w:ascii="Traditional Arabic" w:hAnsi="Traditional Arabic" w:cs="Traditional Arabic"/>
          <w:sz w:val="32"/>
          <w:szCs w:val="32"/>
        </w:rPr>
      </w:pPr>
      <w:r w:rsidRPr="00824EFC">
        <w:rPr>
          <w:rFonts w:ascii="Traditional Arabic" w:hAnsi="Traditional Arabic" w:cs="Traditional Arabic"/>
          <w:sz w:val="32"/>
          <w:szCs w:val="32"/>
        </w:rPr>
        <w:t>An amendment to the autho</w:t>
      </w:r>
      <w:r w:rsidR="00733640" w:rsidRPr="00824EFC">
        <w:rPr>
          <w:rFonts w:ascii="Traditional Arabic" w:hAnsi="Traditional Arabic" w:cs="Traditional Arabic"/>
          <w:sz w:val="32"/>
          <w:szCs w:val="32"/>
        </w:rPr>
        <w:t>rity of the guardian or parent</w:t>
      </w:r>
      <w:r w:rsidRPr="00824EFC">
        <w:rPr>
          <w:rFonts w:ascii="Traditional Arabic" w:hAnsi="Traditional Arabic" w:cs="Traditional Arabic"/>
          <w:sz w:val="32"/>
          <w:szCs w:val="32"/>
        </w:rPr>
        <w:t xml:space="preserve"> to add a case of State robbery</w:t>
      </w:r>
      <w:r w:rsidR="00E16E40" w:rsidRPr="00824EFC">
        <w:rPr>
          <w:rFonts w:ascii="Traditional Arabic" w:hAnsi="Traditional Arabic" w:cs="Traditional Arabic"/>
          <w:sz w:val="32"/>
          <w:szCs w:val="32"/>
        </w:rPr>
        <w:t xml:space="preserve"> on guardianship</w:t>
      </w:r>
      <w:r w:rsidRPr="00824EFC">
        <w:rPr>
          <w:rFonts w:ascii="Traditional Arabic" w:hAnsi="Traditional Arabic" w:cs="Traditional Arabic"/>
          <w:sz w:val="32"/>
          <w:szCs w:val="32"/>
        </w:rPr>
        <w:t>, w</w:t>
      </w:r>
      <w:r w:rsidR="00E16E40" w:rsidRPr="00824EFC">
        <w:rPr>
          <w:rFonts w:ascii="Traditional Arabic" w:hAnsi="Traditional Arabic" w:cs="Traditional Arabic"/>
          <w:sz w:val="32"/>
          <w:szCs w:val="32"/>
        </w:rPr>
        <w:t>hich is the crime of marring a boy child and a</w:t>
      </w:r>
      <w:r w:rsidRPr="00824EFC">
        <w:rPr>
          <w:rFonts w:ascii="Traditional Arabic" w:hAnsi="Traditional Arabic" w:cs="Traditional Arabic"/>
          <w:sz w:val="32"/>
          <w:szCs w:val="32"/>
        </w:rPr>
        <w:t xml:space="preserve"> girl child</w:t>
      </w:r>
      <w:r w:rsidR="00C04408" w:rsidRPr="00824EFC">
        <w:rPr>
          <w:rFonts w:ascii="Traditional Arabic" w:hAnsi="Traditional Arabic" w:cs="Traditional Arabic"/>
          <w:sz w:val="32"/>
          <w:szCs w:val="32"/>
        </w:rPr>
        <w:t>.</w:t>
      </w:r>
      <w:r w:rsidRPr="00824EFC">
        <w:rPr>
          <w:rFonts w:ascii="Traditional Arabic" w:hAnsi="Traditional Arabic" w:cs="Traditional Arabic"/>
          <w:sz w:val="32"/>
          <w:szCs w:val="32"/>
        </w:rPr>
        <w:t xml:space="preserve"> </w:t>
      </w:r>
    </w:p>
    <w:p w14:paraId="0DC2AD82" w14:textId="754D459C" w:rsidR="006028BE" w:rsidRPr="00824EFC" w:rsidRDefault="006028BE" w:rsidP="00350F39">
      <w:pPr>
        <w:spacing w:line="240" w:lineRule="auto"/>
        <w:jc w:val="both"/>
        <w:rPr>
          <w:rFonts w:ascii="Traditional Arabic" w:eastAsia="Times New Roman" w:hAnsi="Traditional Arabic" w:cs="Traditional Arabic"/>
          <w:sz w:val="32"/>
          <w:szCs w:val="32"/>
          <w:rtl/>
        </w:rPr>
      </w:pPr>
      <w:r w:rsidRPr="00824EFC">
        <w:rPr>
          <w:rFonts w:ascii="Traditional Arabic" w:hAnsi="Traditional Arabic" w:cs="Traditional Arabic"/>
          <w:sz w:val="32"/>
          <w:szCs w:val="32"/>
        </w:rPr>
        <w:t>The National Strategy against early Marriage</w:t>
      </w:r>
      <w:r w:rsidRPr="00824EFC">
        <w:rPr>
          <w:sz w:val="24"/>
          <w:szCs w:val="24"/>
        </w:rPr>
        <w:t xml:space="preserve"> </w:t>
      </w:r>
      <w:r w:rsidRPr="00824EFC">
        <w:rPr>
          <w:rFonts w:ascii="Traditional Arabic" w:hAnsi="Traditional Arabic" w:cs="Traditional Arabic" w:hint="cs"/>
          <w:sz w:val="32"/>
          <w:szCs w:val="32"/>
        </w:rPr>
        <w:t>has been issued,</w:t>
      </w:r>
      <w:r w:rsidR="00456D50" w:rsidRPr="00824EFC">
        <w:rPr>
          <w:rFonts w:ascii="Traditional Arabic" w:hAnsi="Traditional Arabic" w:cs="Traditional Arabic"/>
          <w:sz w:val="32"/>
          <w:szCs w:val="32"/>
        </w:rPr>
        <w:t xml:space="preserve"> as well as</w:t>
      </w:r>
      <w:r w:rsidR="00456D50" w:rsidRPr="00824EFC">
        <w:rPr>
          <w:rFonts w:ascii="Traditional Arabic" w:hAnsi="Traditional Arabic" w:cs="Traditional Arabic" w:hint="cs"/>
          <w:sz w:val="32"/>
          <w:szCs w:val="32"/>
        </w:rPr>
        <w:t xml:space="preserve"> </w:t>
      </w:r>
      <w:r w:rsidRPr="00824EFC">
        <w:rPr>
          <w:rFonts w:ascii="Traditional Arabic" w:hAnsi="Traditional Arabic" w:cs="Traditional Arabic" w:hint="cs"/>
          <w:sz w:val="32"/>
          <w:szCs w:val="32"/>
        </w:rPr>
        <w:t xml:space="preserve">the Egyptian Women 2030 empowerment Strategy is devoted to protection against all forms of discrimination and violence </w:t>
      </w:r>
      <w:r w:rsidRPr="00824EFC">
        <w:rPr>
          <w:rFonts w:ascii="Traditional Arabic" w:hAnsi="Traditional Arabic" w:cs="Traditional Arabic" w:hint="cs"/>
          <w:sz w:val="32"/>
          <w:szCs w:val="32"/>
        </w:rPr>
        <w:lastRenderedPageBreak/>
        <w:t xml:space="preserve">against women, including combating early marriage. The Egyptian State is working to raise awareness and alert families to the risks of child marriage in all governorates through the </w:t>
      </w:r>
      <w:r w:rsidR="00733640" w:rsidRPr="00824EFC">
        <w:rPr>
          <w:rFonts w:ascii="Traditional Arabic" w:hAnsi="Traditional Arabic" w:cs="Traditional Arabic"/>
          <w:sz w:val="32"/>
          <w:szCs w:val="32"/>
        </w:rPr>
        <w:t xml:space="preserve">mass </w:t>
      </w:r>
      <w:r w:rsidRPr="00824EFC">
        <w:rPr>
          <w:rFonts w:ascii="Traditional Arabic" w:hAnsi="Traditional Arabic" w:cs="Traditional Arabic" w:hint="cs"/>
          <w:sz w:val="32"/>
          <w:szCs w:val="32"/>
        </w:rPr>
        <w:t>media and s</w:t>
      </w:r>
      <w:r w:rsidR="00733640" w:rsidRPr="00824EFC">
        <w:rPr>
          <w:rFonts w:ascii="Traditional Arabic" w:hAnsi="Traditional Arabic" w:cs="Traditional Arabic" w:hint="cs"/>
          <w:sz w:val="32"/>
          <w:szCs w:val="32"/>
        </w:rPr>
        <w:t>ocial media. Other direct</w:t>
      </w:r>
      <w:r w:rsidRPr="00824EFC">
        <w:rPr>
          <w:rFonts w:ascii="Traditional Arabic" w:hAnsi="Traditional Arabic" w:cs="Traditional Arabic" w:hint="cs"/>
          <w:sz w:val="32"/>
          <w:szCs w:val="32"/>
        </w:rPr>
        <w:t xml:space="preserve"> campaigns, State interventions and activities have also contributed</w:t>
      </w:r>
      <w:r w:rsidR="00350F39" w:rsidRPr="00824EFC">
        <w:rPr>
          <w:rFonts w:ascii="Traditional Arabic" w:hAnsi="Traditional Arabic" w:cs="Traditional Arabic"/>
          <w:noProof/>
          <w:color w:val="000000" w:themeColor="text1"/>
          <w:sz w:val="32"/>
          <w:szCs w:val="32"/>
          <w:lang w:bidi="ar-EG"/>
        </w:rPr>
        <w:t xml:space="preserve"> to the monitoring </w:t>
      </w:r>
      <w:r w:rsidRPr="00824EFC">
        <w:rPr>
          <w:rFonts w:ascii="Traditional Arabic" w:hAnsi="Traditional Arabic" w:cs="Traditional Arabic"/>
          <w:noProof/>
          <w:color w:val="000000" w:themeColor="text1"/>
          <w:sz w:val="32"/>
          <w:szCs w:val="32"/>
          <w:lang w:bidi="ar-EG"/>
        </w:rPr>
        <w:t xml:space="preserve">of a large number of child marriages </w:t>
      </w:r>
      <w:r w:rsidR="00350F39" w:rsidRPr="00824EFC">
        <w:rPr>
          <w:rFonts w:ascii="Traditional Arabic" w:hAnsi="Traditional Arabic" w:cs="Traditional Arabic"/>
          <w:noProof/>
          <w:color w:val="000000" w:themeColor="text1"/>
          <w:sz w:val="32"/>
          <w:szCs w:val="32"/>
          <w:lang w:bidi="ar-EG"/>
        </w:rPr>
        <w:t>(both directly and indirectly)</w:t>
      </w:r>
      <w:r w:rsidRPr="00824EFC">
        <w:rPr>
          <w:rFonts w:ascii="Traditional Arabic" w:hAnsi="Traditional Arabic" w:cs="Traditional Arabic"/>
          <w:noProof/>
          <w:color w:val="000000" w:themeColor="text1"/>
          <w:sz w:val="32"/>
          <w:szCs w:val="32"/>
          <w:lang w:bidi="ar-EG"/>
        </w:rPr>
        <w:t xml:space="preserve"> and</w:t>
      </w:r>
      <w:r w:rsidRPr="00824EFC">
        <w:rPr>
          <w:rFonts w:ascii="Traditional Arabic" w:eastAsiaTheme="minorEastAsia" w:hAnsi="Traditional Arabic" w:cs="Traditional Arabic" w:hint="cs"/>
          <w:color w:val="212121"/>
          <w:sz w:val="32"/>
          <w:szCs w:val="32"/>
          <w:lang w:eastAsia="zh-CN"/>
        </w:rPr>
        <w:t xml:space="preserve"> the training of various health and </w:t>
      </w:r>
      <w:r w:rsidR="00350F39" w:rsidRPr="00824EFC">
        <w:rPr>
          <w:rFonts w:ascii="Traditional Arabic" w:eastAsiaTheme="minorEastAsia" w:hAnsi="Traditional Arabic" w:cs="Traditional Arabic"/>
          <w:color w:val="212121"/>
          <w:sz w:val="32"/>
          <w:szCs w:val="32"/>
          <w:lang w:eastAsia="zh-CN"/>
        </w:rPr>
        <w:t>services</w:t>
      </w:r>
      <w:r w:rsidRPr="00824EFC">
        <w:rPr>
          <w:rFonts w:ascii="Traditional Arabic" w:eastAsiaTheme="minorEastAsia" w:hAnsi="Traditional Arabic" w:cs="Traditional Arabic" w:hint="cs"/>
          <w:color w:val="212121"/>
          <w:sz w:val="32"/>
          <w:szCs w:val="32"/>
          <w:lang w:eastAsia="zh-CN"/>
        </w:rPr>
        <w:t xml:space="preserve"> providers is being carried out on the psychological and physical damage to early marriage</w:t>
      </w:r>
      <w:r w:rsidR="00350F39" w:rsidRPr="00824EFC">
        <w:rPr>
          <w:rFonts w:ascii="Traditional Arabic" w:eastAsiaTheme="minorEastAsia" w:hAnsi="Traditional Arabic" w:cs="Traditional Arabic"/>
          <w:color w:val="212121"/>
          <w:sz w:val="32"/>
          <w:szCs w:val="32"/>
          <w:lang w:eastAsia="zh-CN"/>
        </w:rPr>
        <w:t>.</w:t>
      </w:r>
      <w:r w:rsidRPr="00824EFC">
        <w:rPr>
          <w:rFonts w:ascii="Traditional Arabic" w:eastAsiaTheme="minorEastAsia" w:hAnsi="Traditional Arabic" w:cs="Traditional Arabic" w:hint="cs"/>
          <w:color w:val="212121"/>
          <w:sz w:val="32"/>
          <w:szCs w:val="32"/>
          <w:lang w:eastAsia="zh-CN"/>
        </w:rPr>
        <w:t xml:space="preserve"> Official statistics in 2017 </w:t>
      </w:r>
      <w:r w:rsidR="001C7743" w:rsidRPr="00824EFC">
        <w:rPr>
          <w:rFonts w:ascii="Traditional Arabic" w:eastAsiaTheme="minorEastAsia" w:hAnsi="Traditional Arabic" w:cs="Traditional Arabic"/>
          <w:color w:val="212121"/>
          <w:sz w:val="32"/>
          <w:szCs w:val="32"/>
          <w:lang w:eastAsia="zh-CN"/>
        </w:rPr>
        <w:t>stated</w:t>
      </w:r>
      <w:r w:rsidRPr="00824EFC">
        <w:rPr>
          <w:rFonts w:ascii="Traditional Arabic" w:hAnsi="Traditional Arabic" w:cs="Traditional Arabic"/>
          <w:color w:val="000000"/>
          <w:sz w:val="32"/>
          <w:szCs w:val="32"/>
          <w:shd w:val="clear" w:color="auto" w:fill="FFFFFF"/>
        </w:rPr>
        <w:t xml:space="preserve"> 118,000</w:t>
      </w:r>
      <w:r w:rsidR="001C7743" w:rsidRPr="00824EFC">
        <w:rPr>
          <w:rFonts w:ascii="Traditional Arabic" w:eastAsiaTheme="minorEastAsia" w:hAnsi="Traditional Arabic" w:cs="Traditional Arabic" w:hint="cs"/>
          <w:color w:val="212121"/>
          <w:sz w:val="32"/>
          <w:szCs w:val="32"/>
          <w:lang w:eastAsia="zh-CN"/>
        </w:rPr>
        <w:t xml:space="preserve"> </w:t>
      </w:r>
      <w:r w:rsidR="001C7743" w:rsidRPr="00824EFC">
        <w:rPr>
          <w:rFonts w:ascii="Traditional Arabic" w:eastAsiaTheme="minorEastAsia" w:hAnsi="Traditional Arabic" w:cs="Traditional Arabic"/>
          <w:color w:val="212121"/>
          <w:sz w:val="32"/>
          <w:szCs w:val="32"/>
          <w:lang w:eastAsia="zh-CN"/>
        </w:rPr>
        <w:t xml:space="preserve">cases of </w:t>
      </w:r>
      <w:r w:rsidR="001C7743" w:rsidRPr="00824EFC">
        <w:rPr>
          <w:rFonts w:ascii="Traditional Arabic" w:eastAsiaTheme="minorEastAsia" w:hAnsi="Traditional Arabic" w:cs="Traditional Arabic" w:hint="cs"/>
          <w:color w:val="212121"/>
          <w:sz w:val="32"/>
          <w:szCs w:val="32"/>
          <w:lang w:eastAsia="zh-CN"/>
        </w:rPr>
        <w:t>early marriages</w:t>
      </w:r>
      <w:r w:rsidRPr="00824EFC">
        <w:rPr>
          <w:rFonts w:ascii="Traditional Arabic" w:eastAsia="Times New Roman" w:hAnsi="Traditional Arabic" w:cs="Traditional Arabic"/>
          <w:sz w:val="32"/>
          <w:szCs w:val="32"/>
        </w:rPr>
        <w:t xml:space="preserve">. </w:t>
      </w:r>
    </w:p>
    <w:p w14:paraId="5CC7D514" w14:textId="1D8D45C9" w:rsidR="004838C7" w:rsidRPr="0032103B" w:rsidRDefault="00B45A0B" w:rsidP="007C594D">
      <w:pPr>
        <w:pStyle w:val="HTMLPreformatted"/>
        <w:shd w:val="clear" w:color="auto" w:fill="F8F9FA"/>
        <w:spacing w:line="540" w:lineRule="atLeast"/>
        <w:jc w:val="both"/>
        <w:rPr>
          <w:rFonts w:ascii="Traditional Arabic" w:eastAsiaTheme="minorEastAsia" w:hAnsi="Traditional Arabic" w:cs="Traditional Arabic"/>
          <w:color w:val="212121"/>
          <w:sz w:val="32"/>
          <w:szCs w:val="32"/>
          <w:lang w:eastAsia="zh-CN"/>
        </w:rPr>
      </w:pPr>
      <w:r w:rsidRPr="0032103B">
        <w:rPr>
          <w:rFonts w:ascii="Traditional Arabic" w:eastAsiaTheme="minorEastAsia" w:hAnsi="Traditional Arabic" w:cs="Traditional Arabic"/>
          <w:color w:val="212121"/>
          <w:sz w:val="32"/>
          <w:szCs w:val="32"/>
          <w:lang w:eastAsia="zh-CN"/>
        </w:rPr>
        <w:t xml:space="preserve">The </w:t>
      </w:r>
      <w:r w:rsidR="004900F3" w:rsidRPr="0032103B">
        <w:rPr>
          <w:rFonts w:ascii="Traditional Arabic" w:eastAsiaTheme="minorEastAsia" w:hAnsi="Traditional Arabic" w:cs="Traditional Arabic"/>
          <w:color w:val="212121"/>
          <w:sz w:val="32"/>
          <w:szCs w:val="32"/>
          <w:lang w:eastAsia="zh-CN"/>
        </w:rPr>
        <w:t xml:space="preserve">Decree No. 9200 of 2015 of the Minister of Justice, which mandates a foreign marriage applicant for Egyptian marriage to submit an investment certificate at the Egyptian National Bank in the amount </w:t>
      </w:r>
      <w:r w:rsidR="004900F3" w:rsidRPr="0032103B">
        <w:rPr>
          <w:rFonts w:ascii="Traditional Arabic" w:eastAsiaTheme="minorEastAsia" w:hAnsi="Traditional Arabic" w:cs="Traditional Arabic"/>
          <w:color w:val="212121"/>
          <w:sz w:val="32"/>
          <w:szCs w:val="32"/>
          <w:lang w:eastAsia="zh-CN"/>
        </w:rPr>
        <w:lastRenderedPageBreak/>
        <w:t xml:space="preserve">of 50,000 pounds in the name of the </w:t>
      </w:r>
      <w:r w:rsidRPr="0032103B">
        <w:rPr>
          <w:rFonts w:ascii="Traditional Arabic" w:eastAsiaTheme="minorEastAsia" w:hAnsi="Traditional Arabic" w:cs="Traditional Arabic"/>
          <w:color w:val="212121"/>
          <w:sz w:val="32"/>
          <w:szCs w:val="32"/>
          <w:lang w:eastAsia="zh-CN"/>
        </w:rPr>
        <w:t>Women</w:t>
      </w:r>
      <w:r w:rsidR="004900F3" w:rsidRPr="0032103B">
        <w:rPr>
          <w:rFonts w:ascii="Traditional Arabic" w:eastAsiaTheme="minorEastAsia" w:hAnsi="Traditional Arabic" w:cs="Traditional Arabic"/>
          <w:color w:val="212121"/>
          <w:sz w:val="32"/>
          <w:szCs w:val="32"/>
          <w:lang w:eastAsia="zh-CN"/>
        </w:rPr>
        <w:t xml:space="preserve"> applicant and to complete the required documents with the Documentation Office, if they </w:t>
      </w:r>
      <w:r w:rsidRPr="0032103B">
        <w:rPr>
          <w:rFonts w:ascii="Traditional Arabic" w:eastAsiaTheme="minorEastAsia" w:hAnsi="Traditional Arabic" w:cs="Traditional Arabic"/>
          <w:color w:val="212121"/>
          <w:sz w:val="32"/>
          <w:szCs w:val="32"/>
          <w:lang w:eastAsia="zh-CN"/>
        </w:rPr>
        <w:t>have an age ga</w:t>
      </w:r>
      <w:r w:rsidR="007C594D" w:rsidRPr="0032103B">
        <w:rPr>
          <w:rFonts w:ascii="Traditional Arabic" w:eastAsiaTheme="minorEastAsia" w:hAnsi="Traditional Arabic" w:cs="Traditional Arabic"/>
          <w:color w:val="212121"/>
          <w:sz w:val="32"/>
          <w:szCs w:val="32"/>
          <w:lang w:eastAsia="zh-CN"/>
        </w:rPr>
        <w:t>p</w:t>
      </w:r>
      <w:r w:rsidRPr="0032103B">
        <w:rPr>
          <w:rFonts w:ascii="Traditional Arabic" w:eastAsiaTheme="minorEastAsia" w:hAnsi="Traditional Arabic" w:cs="Traditional Arabic"/>
          <w:color w:val="212121"/>
          <w:sz w:val="32"/>
          <w:szCs w:val="32"/>
          <w:lang w:eastAsia="zh-CN"/>
        </w:rPr>
        <w:t xml:space="preserve"> of</w:t>
      </w:r>
      <w:r w:rsidR="004900F3" w:rsidRPr="0032103B">
        <w:rPr>
          <w:rFonts w:ascii="Traditional Arabic" w:eastAsiaTheme="minorEastAsia" w:hAnsi="Traditional Arabic" w:cs="Traditional Arabic"/>
          <w:color w:val="212121"/>
          <w:sz w:val="32"/>
          <w:szCs w:val="32"/>
          <w:lang w:eastAsia="zh-CN"/>
        </w:rPr>
        <w:t xml:space="preserve"> over </w:t>
      </w:r>
      <w:r w:rsidRPr="0032103B">
        <w:rPr>
          <w:rFonts w:ascii="Traditional Arabic" w:eastAsiaTheme="minorEastAsia" w:hAnsi="Traditional Arabic" w:cs="Traditional Arabic"/>
          <w:color w:val="212121"/>
          <w:sz w:val="32"/>
          <w:szCs w:val="32"/>
          <w:lang w:eastAsia="zh-CN"/>
        </w:rPr>
        <w:t>25 years on the date of notarizing</w:t>
      </w:r>
      <w:r w:rsidR="004900F3" w:rsidRPr="0032103B">
        <w:rPr>
          <w:rFonts w:ascii="Traditional Arabic" w:eastAsiaTheme="minorEastAsia" w:hAnsi="Traditional Arabic" w:cs="Traditional Arabic"/>
          <w:color w:val="212121"/>
          <w:sz w:val="32"/>
          <w:szCs w:val="32"/>
          <w:lang w:eastAsia="zh-CN"/>
        </w:rPr>
        <w:t xml:space="preserve"> a </w:t>
      </w:r>
      <w:r w:rsidRPr="0032103B">
        <w:rPr>
          <w:rFonts w:ascii="Traditional Arabic" w:eastAsiaTheme="minorEastAsia" w:hAnsi="Traditional Arabic" w:cs="Traditional Arabic"/>
          <w:color w:val="212121"/>
          <w:sz w:val="32"/>
          <w:szCs w:val="32"/>
          <w:lang w:eastAsia="zh-CN"/>
        </w:rPr>
        <w:t>contract. The response</w:t>
      </w:r>
      <w:r w:rsidR="004900F3" w:rsidRPr="0032103B">
        <w:rPr>
          <w:rFonts w:ascii="Traditional Arabic" w:eastAsiaTheme="minorEastAsia" w:hAnsi="Traditional Arabic" w:cs="Traditional Arabic"/>
          <w:color w:val="212121"/>
          <w:sz w:val="32"/>
          <w:szCs w:val="32"/>
          <w:lang w:eastAsia="zh-CN"/>
        </w:rPr>
        <w:t xml:space="preserve"> is not inconsistent with the Anti-</w:t>
      </w:r>
      <w:r w:rsidRPr="0032103B">
        <w:rPr>
          <w:rFonts w:ascii="Traditional Arabic" w:eastAsiaTheme="minorEastAsia" w:hAnsi="Traditional Arabic" w:cs="Traditional Arabic"/>
          <w:color w:val="212121"/>
          <w:sz w:val="32"/>
          <w:szCs w:val="32"/>
          <w:lang w:eastAsia="zh-CN"/>
        </w:rPr>
        <w:t>Trafficking in Persons Law</w:t>
      </w:r>
      <w:r w:rsidR="004838C7" w:rsidRPr="0032103B">
        <w:rPr>
          <w:rFonts w:ascii="Traditional Arabic" w:eastAsiaTheme="minorEastAsia" w:hAnsi="Traditional Arabic" w:cs="Traditional Arabic"/>
          <w:color w:val="212121"/>
          <w:sz w:val="32"/>
          <w:szCs w:val="32"/>
          <w:lang w:eastAsia="zh-CN"/>
        </w:rPr>
        <w:t xml:space="preserve">, on the contrary, it is considered a guarantee to combat forced/early marriage and the loss of the wife’s rights. In all cases, if it is proven that the marriage violates the conditions of the law in terms of marriage age and suspicion of exploitation, it is punished according to the law when the child’s guardian hands her over to someone for marriage for a specified period in return for a sum of money, which is what it is called. bargain marriage." </w:t>
      </w:r>
    </w:p>
    <w:p w14:paraId="0AE9FE69" w14:textId="38CD026B" w:rsidR="005B4891" w:rsidRDefault="004900F3" w:rsidP="007C594D">
      <w:pPr>
        <w:spacing w:line="240" w:lineRule="auto"/>
        <w:jc w:val="both"/>
        <w:rPr>
          <w:rFonts w:ascii="Traditional Arabic" w:eastAsiaTheme="minorEastAsia" w:hAnsi="Traditional Arabic" w:cs="Traditional Arabic"/>
          <w:color w:val="212121"/>
          <w:sz w:val="32"/>
          <w:szCs w:val="32"/>
          <w:lang w:eastAsia="zh-CN"/>
        </w:rPr>
      </w:pPr>
      <w:r w:rsidRPr="0032103B">
        <w:rPr>
          <w:rFonts w:ascii="Traditional Arabic" w:eastAsiaTheme="minorEastAsia" w:hAnsi="Traditional Arabic" w:cs="Traditional Arabic"/>
          <w:color w:val="212121"/>
          <w:sz w:val="32"/>
          <w:szCs w:val="32"/>
          <w:lang w:val="en-US" w:eastAsia="zh-CN"/>
        </w:rPr>
        <w:lastRenderedPageBreak/>
        <w:t>Public Prosecutions has initiated investigations</w:t>
      </w:r>
      <w:r w:rsidRPr="0032103B">
        <w:rPr>
          <w:rFonts w:ascii="Traditional Arabic" w:eastAsiaTheme="minorEastAsia" w:hAnsi="Traditional Arabic" w:cs="Traditional Arabic"/>
          <w:color w:val="212121"/>
          <w:sz w:val="32"/>
          <w:szCs w:val="32"/>
          <w:lang w:eastAsia="zh-CN"/>
        </w:rPr>
        <w:t xml:space="preserve"> into a number of cases called tourist and temporary marriages, reaching 8 cases in 2017, 19 cases in 2018, 30 cases in 2019 and 50 cases in 2020</w:t>
      </w:r>
    </w:p>
    <w:p w14:paraId="4632EF3D" w14:textId="0A7D3FDE" w:rsidR="00E328B8" w:rsidRPr="004900F3" w:rsidRDefault="00E328B8" w:rsidP="004900F3">
      <w:pPr>
        <w:spacing w:line="240" w:lineRule="auto"/>
        <w:jc w:val="both"/>
        <w:rPr>
          <w:rFonts w:ascii="Traditional Arabic" w:eastAsiaTheme="minorEastAsia" w:hAnsi="Traditional Arabic" w:cs="Traditional Arabic"/>
          <w:color w:val="212121"/>
          <w:sz w:val="32"/>
          <w:szCs w:val="32"/>
          <w:lang w:eastAsia="zh-CN"/>
        </w:rPr>
      </w:pPr>
    </w:p>
    <w:sectPr w:rsidR="00E328B8" w:rsidRPr="004900F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C720F" w14:textId="77777777" w:rsidR="003457AB" w:rsidRDefault="003457AB" w:rsidP="0032103B">
      <w:pPr>
        <w:spacing w:after="0" w:line="240" w:lineRule="auto"/>
      </w:pPr>
      <w:r>
        <w:separator/>
      </w:r>
    </w:p>
  </w:endnote>
  <w:endnote w:type="continuationSeparator" w:id="0">
    <w:p w14:paraId="171AD3A9" w14:textId="77777777" w:rsidR="003457AB" w:rsidRDefault="003457AB" w:rsidP="0032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004362"/>
      <w:docPartObj>
        <w:docPartGallery w:val="Page Numbers (Bottom of Page)"/>
        <w:docPartUnique/>
      </w:docPartObj>
    </w:sdtPr>
    <w:sdtEndPr>
      <w:rPr>
        <w:noProof/>
      </w:rPr>
    </w:sdtEndPr>
    <w:sdtContent>
      <w:p w14:paraId="69BBCC70" w14:textId="5FCC7A1E" w:rsidR="0032103B" w:rsidRDefault="0032103B">
        <w:pPr>
          <w:pStyle w:val="Footer"/>
          <w:jc w:val="center"/>
        </w:pPr>
        <w:r>
          <w:fldChar w:fldCharType="begin"/>
        </w:r>
        <w:r>
          <w:instrText xml:space="preserve"> PAGE   \* MERGEFORMAT </w:instrText>
        </w:r>
        <w:r>
          <w:fldChar w:fldCharType="separate"/>
        </w:r>
        <w:r w:rsidR="00B76123">
          <w:rPr>
            <w:noProof/>
          </w:rPr>
          <w:t>1</w:t>
        </w:r>
        <w:r>
          <w:rPr>
            <w:noProof/>
          </w:rPr>
          <w:fldChar w:fldCharType="end"/>
        </w:r>
      </w:p>
    </w:sdtContent>
  </w:sdt>
  <w:p w14:paraId="25720AF9" w14:textId="77777777" w:rsidR="0032103B" w:rsidRDefault="0032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A6469" w14:textId="77777777" w:rsidR="003457AB" w:rsidRDefault="003457AB" w:rsidP="0032103B">
      <w:pPr>
        <w:spacing w:after="0" w:line="240" w:lineRule="auto"/>
      </w:pPr>
      <w:r>
        <w:separator/>
      </w:r>
    </w:p>
  </w:footnote>
  <w:footnote w:type="continuationSeparator" w:id="0">
    <w:p w14:paraId="00C08840" w14:textId="77777777" w:rsidR="003457AB" w:rsidRDefault="003457AB" w:rsidP="0032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923" w:type="dxa"/>
      <w:jc w:val="center"/>
      <w:tblBorders>
        <w:bottom w:val="dashSmallGap" w:sz="8" w:space="0" w:color="auto"/>
      </w:tblBorders>
      <w:tblLook w:val="04A0" w:firstRow="1" w:lastRow="0" w:firstColumn="1" w:lastColumn="0" w:noHBand="0" w:noVBand="1"/>
    </w:tblPr>
    <w:tblGrid>
      <w:gridCol w:w="3261"/>
      <w:gridCol w:w="2919"/>
      <w:gridCol w:w="3743"/>
    </w:tblGrid>
    <w:tr w:rsidR="0032103B" w14:paraId="777F50D1" w14:textId="77777777" w:rsidTr="00DE726F">
      <w:trPr>
        <w:jc w:val="center"/>
      </w:trPr>
      <w:tc>
        <w:tcPr>
          <w:tcW w:w="3261" w:type="dxa"/>
          <w:tcBorders>
            <w:top w:val="nil"/>
            <w:left w:val="nil"/>
            <w:bottom w:val="dashSmallGap" w:sz="8" w:space="0" w:color="auto"/>
            <w:right w:val="nil"/>
          </w:tcBorders>
          <w:hideMark/>
        </w:tcPr>
        <w:p w14:paraId="6F95771A" w14:textId="77777777" w:rsidR="0032103B" w:rsidRDefault="0032103B" w:rsidP="0032103B">
          <w:pPr>
            <w:pStyle w:val="Header"/>
            <w:spacing w:before="240" w:line="180" w:lineRule="auto"/>
            <w:jc w:val="center"/>
            <w:rPr>
              <w:b/>
              <w:bCs/>
              <w:szCs w:val="28"/>
              <w:rtl/>
              <w:lang w:bidi="ar-EG"/>
            </w:rPr>
          </w:pPr>
          <w:r>
            <w:rPr>
              <w:rFonts w:cs="Calibri"/>
              <w:noProof/>
              <w:lang w:val="en-GB" w:eastAsia="en-GB"/>
            </w:rPr>
            <w:drawing>
              <wp:inline distT="0" distB="0" distL="0" distR="0" wp14:anchorId="6A4C4893" wp14:editId="0B8929EA">
                <wp:extent cx="621665" cy="60325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3250"/>
                        </a:xfrm>
                        <a:prstGeom prst="rect">
                          <a:avLst/>
                        </a:prstGeom>
                        <a:noFill/>
                        <a:ln>
                          <a:noFill/>
                        </a:ln>
                      </pic:spPr>
                    </pic:pic>
                  </a:graphicData>
                </a:graphic>
              </wp:inline>
            </w:drawing>
          </w:r>
        </w:p>
        <w:p w14:paraId="5407134F" w14:textId="77777777" w:rsidR="0032103B" w:rsidRPr="004E2C35" w:rsidRDefault="0032103B" w:rsidP="0032103B">
          <w:pPr>
            <w:pStyle w:val="Header"/>
            <w:spacing w:line="180" w:lineRule="auto"/>
            <w:jc w:val="center"/>
            <w:rPr>
              <w:rFonts w:ascii="Traditional Arabic" w:hAnsi="Traditional Arabic"/>
              <w:b/>
              <w:bCs/>
              <w:color w:val="800000"/>
              <w:rtl/>
            </w:rPr>
          </w:pPr>
          <w:r w:rsidRPr="004E2C35">
            <w:rPr>
              <w:rFonts w:ascii="Traditional Arabic" w:hAnsi="Traditional Arabic"/>
              <w:b/>
              <w:bCs/>
              <w:color w:val="800000"/>
              <w:rtl/>
            </w:rPr>
            <w:t>جمهورية مصر العربية</w:t>
          </w:r>
        </w:p>
        <w:p w14:paraId="2E7CA913" w14:textId="77777777" w:rsidR="0032103B" w:rsidRDefault="0032103B" w:rsidP="0032103B">
          <w:pPr>
            <w:pStyle w:val="Header"/>
            <w:spacing w:line="180" w:lineRule="auto"/>
            <w:jc w:val="center"/>
            <w:rPr>
              <w:rFonts w:cs="PT Bold Heading"/>
              <w:rtl/>
            </w:rPr>
          </w:pPr>
        </w:p>
      </w:tc>
      <w:tc>
        <w:tcPr>
          <w:tcW w:w="2919" w:type="dxa"/>
          <w:tcBorders>
            <w:top w:val="nil"/>
            <w:left w:val="nil"/>
            <w:bottom w:val="dashSmallGap" w:sz="8" w:space="0" w:color="auto"/>
            <w:right w:val="nil"/>
          </w:tcBorders>
        </w:tcPr>
        <w:p w14:paraId="7F6EFC8A" w14:textId="77777777" w:rsidR="0032103B" w:rsidRDefault="0032103B" w:rsidP="0032103B">
          <w:pPr>
            <w:pStyle w:val="Header"/>
            <w:spacing w:line="180" w:lineRule="auto"/>
            <w:rPr>
              <w:lang w:bidi="ar-EG"/>
            </w:rPr>
          </w:pPr>
        </w:p>
      </w:tc>
      <w:tc>
        <w:tcPr>
          <w:tcW w:w="3743" w:type="dxa"/>
          <w:tcBorders>
            <w:top w:val="nil"/>
            <w:left w:val="nil"/>
            <w:bottom w:val="dashSmallGap" w:sz="8" w:space="0" w:color="auto"/>
            <w:right w:val="nil"/>
          </w:tcBorders>
          <w:hideMark/>
        </w:tcPr>
        <w:p w14:paraId="5FDB34A4" w14:textId="77777777" w:rsidR="0032103B" w:rsidRDefault="0032103B" w:rsidP="0032103B">
          <w:pPr>
            <w:pStyle w:val="Header"/>
            <w:spacing w:line="180" w:lineRule="auto"/>
            <w:jc w:val="right"/>
          </w:pPr>
          <w:r>
            <w:rPr>
              <w:noProof/>
              <w:lang w:val="en-GB" w:eastAsia="en-GB"/>
            </w:rPr>
            <w:drawing>
              <wp:anchor distT="0" distB="0" distL="114300" distR="114300" simplePos="0" relativeHeight="251659264" behindDoc="1" locked="0" layoutInCell="1" allowOverlap="1" wp14:anchorId="2819A8D0" wp14:editId="7B6DECE1">
                <wp:simplePos x="0" y="0"/>
                <wp:positionH relativeFrom="column">
                  <wp:posOffset>502285</wp:posOffset>
                </wp:positionH>
                <wp:positionV relativeFrom="paragraph">
                  <wp:posOffset>0</wp:posOffset>
                </wp:positionV>
                <wp:extent cx="1735547" cy="1141085"/>
                <wp:effectExtent l="0" t="0" r="0" b="2540"/>
                <wp:wrapTight wrapText="bothSides">
                  <wp:wrapPolygon edited="0">
                    <wp:start x="0" y="0"/>
                    <wp:lineTo x="0" y="21287"/>
                    <wp:lineTo x="21339" y="21287"/>
                    <wp:lineTo x="21339" y="0"/>
                    <wp:lineTo x="0" y="0"/>
                  </wp:wrapPolygon>
                </wp:wrapTight>
                <wp:docPr id="3" name="Picture 2" descr="WhatsApp Image 2020-04-20 at 7.29.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0 at 7.29.46 PM.jpeg"/>
                        <pic:cNvPicPr/>
                      </pic:nvPicPr>
                      <pic:blipFill>
                        <a:blip r:embed="rId2">
                          <a:extLst>
                            <a:ext uri="{28A0092B-C50C-407E-A947-70E740481C1C}">
                              <a14:useLocalDpi xmlns:a14="http://schemas.microsoft.com/office/drawing/2010/main" val="0"/>
                            </a:ext>
                          </a:extLst>
                        </a:blip>
                        <a:stretch>
                          <a:fillRect/>
                        </a:stretch>
                      </pic:blipFill>
                      <pic:spPr>
                        <a:xfrm>
                          <a:off x="0" y="0"/>
                          <a:ext cx="1735547" cy="1141085"/>
                        </a:xfrm>
                        <a:prstGeom prst="rect">
                          <a:avLst/>
                        </a:prstGeom>
                      </pic:spPr>
                    </pic:pic>
                  </a:graphicData>
                </a:graphic>
              </wp:anchor>
            </w:drawing>
          </w:r>
        </w:p>
      </w:tc>
    </w:tr>
  </w:tbl>
  <w:p w14:paraId="3DE77DEF" w14:textId="77777777" w:rsidR="0032103B" w:rsidRDefault="00321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9426A"/>
    <w:multiLevelType w:val="hybridMultilevel"/>
    <w:tmpl w:val="5F1E9CF0"/>
    <w:lvl w:ilvl="0" w:tplc="BBDED4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B17E3"/>
    <w:multiLevelType w:val="hybridMultilevel"/>
    <w:tmpl w:val="412E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65"/>
    <w:rsid w:val="00004317"/>
    <w:rsid w:val="000079D7"/>
    <w:rsid w:val="00070E6F"/>
    <w:rsid w:val="00113DD4"/>
    <w:rsid w:val="00156AF6"/>
    <w:rsid w:val="001C7329"/>
    <w:rsid w:val="001C7743"/>
    <w:rsid w:val="00230DE5"/>
    <w:rsid w:val="0032103B"/>
    <w:rsid w:val="003457AB"/>
    <w:rsid w:val="00350F39"/>
    <w:rsid w:val="00393579"/>
    <w:rsid w:val="004179D1"/>
    <w:rsid w:val="00456D50"/>
    <w:rsid w:val="004838C7"/>
    <w:rsid w:val="004900F3"/>
    <w:rsid w:val="00552FFB"/>
    <w:rsid w:val="005D6F57"/>
    <w:rsid w:val="006028BE"/>
    <w:rsid w:val="00637E64"/>
    <w:rsid w:val="006567EF"/>
    <w:rsid w:val="00676C9F"/>
    <w:rsid w:val="006A23C5"/>
    <w:rsid w:val="006C358E"/>
    <w:rsid w:val="006E3350"/>
    <w:rsid w:val="00707B61"/>
    <w:rsid w:val="00733640"/>
    <w:rsid w:val="00792CFF"/>
    <w:rsid w:val="007B5E7D"/>
    <w:rsid w:val="007C594D"/>
    <w:rsid w:val="00824EFC"/>
    <w:rsid w:val="00936D2F"/>
    <w:rsid w:val="00945BF0"/>
    <w:rsid w:val="00967103"/>
    <w:rsid w:val="00AB0E89"/>
    <w:rsid w:val="00B45A0B"/>
    <w:rsid w:val="00B76123"/>
    <w:rsid w:val="00C04408"/>
    <w:rsid w:val="00CA6DE9"/>
    <w:rsid w:val="00D10065"/>
    <w:rsid w:val="00D31BE1"/>
    <w:rsid w:val="00D36FB7"/>
    <w:rsid w:val="00D43FC9"/>
    <w:rsid w:val="00D62B55"/>
    <w:rsid w:val="00D906F3"/>
    <w:rsid w:val="00E16E40"/>
    <w:rsid w:val="00E328B8"/>
    <w:rsid w:val="00E6599E"/>
    <w:rsid w:val="00E80D92"/>
    <w:rsid w:val="00EE0B02"/>
    <w:rsid w:val="00F22FEE"/>
    <w:rsid w:val="00F47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B544"/>
  <w15:chartTrackingRefBased/>
  <w15:docId w15:val="{C0C20A6D-D931-4A45-A3EB-7D5B6268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BE"/>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Use Case List Paragraph,List Paragraph Char Char Char,Bullets,List Paragraph1,Citation List,References,Medium Grid 1 - Accent 21,bullets,Dot pt,F5 List Paragraph,Indicator Text,Numbered Para 1,Bullet 1,3,Ha"/>
    <w:basedOn w:val="Normal"/>
    <w:link w:val="ListParagraphChar"/>
    <w:uiPriority w:val="34"/>
    <w:qFormat/>
    <w:rsid w:val="006028BE"/>
    <w:pPr>
      <w:ind w:left="720"/>
      <w:contextualSpacing/>
    </w:pPr>
  </w:style>
  <w:style w:type="character" w:customStyle="1" w:styleId="ListParagraphChar">
    <w:name w:val="List Paragraph Char"/>
    <w:aliases w:val="List Paragraph (numbered (a)) Char,Use Case List Paragraph Char,List Paragraph Char Char Char Char,Bullets Char,List Paragraph1 Char,Citation List Char,References Char,Medium Grid 1 - Accent 21 Char,bullets Char,Dot pt Char,3 Char"/>
    <w:link w:val="ListParagraph"/>
    <w:uiPriority w:val="34"/>
    <w:qFormat/>
    <w:rsid w:val="006028BE"/>
  </w:style>
  <w:style w:type="paragraph" w:styleId="BalloonText">
    <w:name w:val="Balloon Text"/>
    <w:basedOn w:val="Normal"/>
    <w:link w:val="BalloonTextChar"/>
    <w:uiPriority w:val="99"/>
    <w:semiHidden/>
    <w:unhideWhenUsed/>
    <w:rsid w:val="0070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61"/>
    <w:rPr>
      <w:rFonts w:ascii="Segoe UI" w:hAnsi="Segoe UI" w:cs="Segoe UI"/>
      <w:sz w:val="18"/>
      <w:szCs w:val="18"/>
      <w:lang w:bidi="ar-SA"/>
    </w:rPr>
  </w:style>
  <w:style w:type="character" w:customStyle="1" w:styleId="ng-star-inserted">
    <w:name w:val="ng-star-inserted"/>
    <w:basedOn w:val="DefaultParagraphFont"/>
    <w:rsid w:val="004900F3"/>
  </w:style>
  <w:style w:type="paragraph" w:styleId="HTMLPreformatted">
    <w:name w:val="HTML Preformatted"/>
    <w:basedOn w:val="Normal"/>
    <w:link w:val="HTMLPreformattedChar"/>
    <w:uiPriority w:val="99"/>
    <w:semiHidden/>
    <w:unhideWhenUsed/>
    <w:rsid w:val="0048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38C7"/>
    <w:rPr>
      <w:rFonts w:ascii="Courier New" w:eastAsia="Times New Roman" w:hAnsi="Courier New" w:cs="Courier New"/>
      <w:sz w:val="20"/>
      <w:szCs w:val="20"/>
      <w:lang w:val="en-US" w:eastAsia="en-US" w:bidi="ar-SA"/>
    </w:rPr>
  </w:style>
  <w:style w:type="character" w:customStyle="1" w:styleId="y2iqfc">
    <w:name w:val="y2iqfc"/>
    <w:basedOn w:val="DefaultParagraphFont"/>
    <w:rsid w:val="004838C7"/>
  </w:style>
  <w:style w:type="paragraph" w:styleId="Header">
    <w:name w:val="header"/>
    <w:basedOn w:val="Normal"/>
    <w:link w:val="HeaderChar"/>
    <w:uiPriority w:val="99"/>
    <w:unhideWhenUsed/>
    <w:rsid w:val="0032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3B"/>
    <w:rPr>
      <w:rFonts w:cs="Times New Roman"/>
      <w:lang w:bidi="ar-SA"/>
    </w:rPr>
  </w:style>
  <w:style w:type="paragraph" w:styleId="Footer">
    <w:name w:val="footer"/>
    <w:basedOn w:val="Normal"/>
    <w:link w:val="FooterChar"/>
    <w:uiPriority w:val="99"/>
    <w:unhideWhenUsed/>
    <w:rsid w:val="0032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3B"/>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7DAE7-AD66-4385-B86C-C80C9D5F0D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754B918-B036-499B-98EE-E5F1584E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B853A9-6327-409C-BD6F-C1B2905F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abuzeid</dc:creator>
  <cp:keywords/>
  <dc:description/>
  <cp:lastModifiedBy>OHCHR</cp:lastModifiedBy>
  <cp:revision>2</cp:revision>
  <cp:lastPrinted>2022-01-04T10:10:00Z</cp:lastPrinted>
  <dcterms:created xsi:type="dcterms:W3CDTF">2022-02-14T12:27:00Z</dcterms:created>
  <dcterms:modified xsi:type="dcterms:W3CDTF">2022-02-14T12:27:00Z</dcterms:modified>
</cp:coreProperties>
</file>