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2FC4" w14:textId="19491A01" w:rsidR="00D10D35" w:rsidRPr="00D94625" w:rsidRDefault="00D10D35" w:rsidP="007E4164">
      <w:pPr>
        <w:spacing w:line="240" w:lineRule="auto"/>
        <w:rPr>
          <w:rFonts w:ascii="Gill Sans MT" w:hAnsi="Gill Sans MT" w:cs="Calibri"/>
          <w:i/>
          <w:iCs/>
          <w:sz w:val="20"/>
          <w:szCs w:val="20"/>
          <w:lang w:val="en-US"/>
        </w:rPr>
      </w:pPr>
      <w:r w:rsidRPr="00D94625">
        <w:rPr>
          <w:rFonts w:ascii="Gill Sans MT" w:hAnsi="Gill Sans MT" w:cs="Calibri"/>
          <w:b/>
          <w:bCs/>
          <w:sz w:val="20"/>
          <w:szCs w:val="20"/>
          <w:lang w:val="en-US"/>
        </w:rPr>
        <w:t>Submission</w:t>
      </w:r>
      <w:r w:rsidRPr="00D94625">
        <w:rPr>
          <w:rFonts w:ascii="Gill Sans MT" w:hAnsi="Gill Sans MT" w:cs="Calibri"/>
          <w:sz w:val="20"/>
          <w:szCs w:val="20"/>
          <w:lang w:val="en-US"/>
        </w:rPr>
        <w:t xml:space="preserve"> </w:t>
      </w:r>
      <w:r w:rsidRPr="00D94625">
        <w:rPr>
          <w:rFonts w:ascii="Gill Sans MT" w:hAnsi="Gill Sans MT" w:cs="Calibri"/>
          <w:b/>
          <w:bCs/>
          <w:sz w:val="20"/>
          <w:szCs w:val="20"/>
          <w:lang w:val="en-US"/>
        </w:rPr>
        <w:t>from Save the Children</w:t>
      </w:r>
      <w:r w:rsidRPr="00D94625">
        <w:rPr>
          <w:rFonts w:ascii="Gill Sans MT" w:hAnsi="Gill Sans MT" w:cs="Calibri"/>
          <w:sz w:val="20"/>
          <w:szCs w:val="20"/>
          <w:lang w:val="en-US"/>
        </w:rPr>
        <w:t xml:space="preserve">: </w:t>
      </w:r>
      <w:r w:rsidRPr="00D94625">
        <w:rPr>
          <w:rFonts w:ascii="Gill Sans MT" w:hAnsi="Gill Sans MT" w:cs="Calibri"/>
          <w:i/>
          <w:iCs/>
          <w:sz w:val="20"/>
          <w:szCs w:val="20"/>
          <w:lang w:val="en-US"/>
        </w:rPr>
        <w:t xml:space="preserve"> Report  to the Human Rights Council on progress, gaps and challenges in addressing CEFM and measures to ensure accountability</w:t>
      </w:r>
    </w:p>
    <w:p w14:paraId="247749D1" w14:textId="37677615" w:rsidR="007E4164" w:rsidRPr="00D87DF3" w:rsidRDefault="007E4164" w:rsidP="007E4164">
      <w:pPr>
        <w:spacing w:line="240" w:lineRule="auto"/>
        <w:rPr>
          <w:rFonts w:ascii="Gill Sans MT" w:hAnsi="Gill Sans MT" w:cs="Calibri"/>
          <w:i/>
          <w:iCs/>
          <w:lang w:val="en-US"/>
        </w:rPr>
      </w:pPr>
    </w:p>
    <w:p w14:paraId="00350D91" w14:textId="7A6183D9" w:rsidR="003E3F97" w:rsidRPr="00D94625" w:rsidRDefault="003E3F97" w:rsidP="00D94625">
      <w:pPr>
        <w:spacing w:line="240" w:lineRule="auto"/>
        <w:rPr>
          <w:rFonts w:ascii="Gill Sans MT" w:hAnsi="Gill Sans MT" w:cs="Calibri"/>
          <w:b/>
          <w:bCs/>
          <w:i/>
          <w:iCs/>
          <w:sz w:val="20"/>
          <w:szCs w:val="20"/>
          <w:lang w:val="en-US"/>
        </w:rPr>
      </w:pPr>
      <w:r w:rsidRPr="00D94625">
        <w:rPr>
          <w:rFonts w:ascii="Gill Sans MT" w:hAnsi="Gill Sans MT" w:cs="Calibri"/>
          <w:b/>
          <w:bCs/>
          <w:i/>
          <w:iCs/>
          <w:sz w:val="20"/>
          <w:szCs w:val="20"/>
          <w:lang w:val="en-US"/>
        </w:rPr>
        <w:t>Background</w:t>
      </w:r>
    </w:p>
    <w:p w14:paraId="2370465A" w14:textId="7EB8BC97" w:rsidR="00D10D35" w:rsidRPr="00D94625" w:rsidRDefault="00D10D35" w:rsidP="00D94625">
      <w:pPr>
        <w:spacing w:line="240" w:lineRule="auto"/>
        <w:jc w:val="both"/>
        <w:rPr>
          <w:rFonts w:ascii="Gill Sans MT" w:hAnsi="Gill Sans MT" w:cs="Calibri"/>
          <w:sz w:val="20"/>
          <w:szCs w:val="20"/>
          <w:lang w:val="en-US"/>
        </w:rPr>
      </w:pPr>
      <w:r w:rsidRPr="00D94625">
        <w:rPr>
          <w:rFonts w:ascii="Gill Sans MT" w:hAnsi="Gill Sans MT" w:cs="Calibri"/>
          <w:sz w:val="20"/>
          <w:szCs w:val="20"/>
          <w:lang w:val="en-US"/>
        </w:rPr>
        <w:t>The practice of Child</w:t>
      </w:r>
      <w:r w:rsidR="005225FE">
        <w:rPr>
          <w:rFonts w:ascii="Gill Sans MT" w:hAnsi="Gill Sans MT" w:cs="Calibri"/>
          <w:sz w:val="20"/>
          <w:szCs w:val="20"/>
          <w:lang w:val="en-US"/>
        </w:rPr>
        <w:t>,</w:t>
      </w:r>
      <w:r w:rsidRPr="00D94625">
        <w:rPr>
          <w:rFonts w:ascii="Gill Sans MT" w:hAnsi="Gill Sans MT" w:cs="Calibri"/>
          <w:sz w:val="20"/>
          <w:szCs w:val="20"/>
          <w:lang w:val="en-US"/>
        </w:rPr>
        <w:t xml:space="preserve"> Early and Forced Marriage (CEFM) is a human rights violation and a form of </w:t>
      </w:r>
      <w:r w:rsidR="00062E90" w:rsidRPr="00D94625">
        <w:rPr>
          <w:rFonts w:ascii="Gill Sans MT" w:hAnsi="Gill Sans MT" w:cs="Calibri"/>
          <w:sz w:val="20"/>
          <w:szCs w:val="20"/>
          <w:lang w:val="en-US"/>
        </w:rPr>
        <w:t>gender-based</w:t>
      </w:r>
      <w:r w:rsidRPr="00D94625">
        <w:rPr>
          <w:rFonts w:ascii="Gill Sans MT" w:hAnsi="Gill Sans MT" w:cs="Calibri"/>
          <w:sz w:val="20"/>
          <w:szCs w:val="20"/>
          <w:lang w:val="en-US"/>
        </w:rPr>
        <w:t xml:space="preserve"> </w:t>
      </w:r>
      <w:r w:rsidR="00986BF2" w:rsidRPr="00D94625">
        <w:rPr>
          <w:rFonts w:ascii="Gill Sans MT" w:hAnsi="Gill Sans MT" w:cs="Calibri"/>
          <w:sz w:val="20"/>
          <w:szCs w:val="20"/>
          <w:lang w:val="en-US"/>
        </w:rPr>
        <w:t>v</w:t>
      </w:r>
      <w:r w:rsidRPr="00D94625">
        <w:rPr>
          <w:rFonts w:ascii="Gill Sans MT" w:hAnsi="Gill Sans MT" w:cs="Calibri"/>
          <w:sz w:val="20"/>
          <w:szCs w:val="20"/>
          <w:lang w:val="en-US"/>
        </w:rPr>
        <w:t>iolence</w:t>
      </w:r>
      <w:r w:rsidR="00986BF2" w:rsidRPr="00D94625">
        <w:rPr>
          <w:rFonts w:ascii="Gill Sans MT" w:hAnsi="Gill Sans MT" w:cs="Calibri"/>
          <w:sz w:val="20"/>
          <w:szCs w:val="20"/>
          <w:lang w:val="en-US"/>
        </w:rPr>
        <w:t xml:space="preserve"> </w:t>
      </w:r>
      <w:r w:rsidRPr="00D94625">
        <w:rPr>
          <w:rFonts w:ascii="Gill Sans MT" w:hAnsi="Gill Sans MT" w:cs="Calibri"/>
          <w:sz w:val="20"/>
          <w:szCs w:val="20"/>
          <w:lang w:val="en-US"/>
        </w:rPr>
        <w:t>that threatens the lives and futures of girls and women around the world.</w:t>
      </w:r>
      <w:r w:rsidRPr="00D94625">
        <w:rPr>
          <w:rStyle w:val="FootnoteReference"/>
          <w:rFonts w:ascii="Gill Sans MT" w:hAnsi="Gill Sans MT" w:cs="Calibri"/>
          <w:sz w:val="20"/>
          <w:szCs w:val="20"/>
          <w:lang w:val="en-US"/>
        </w:rPr>
        <w:footnoteReference w:id="1"/>
      </w:r>
      <w:r w:rsidRPr="00D94625">
        <w:rPr>
          <w:rFonts w:ascii="Gill Sans MT" w:hAnsi="Gill Sans MT" w:cs="Calibri"/>
          <w:sz w:val="20"/>
          <w:szCs w:val="20"/>
          <w:lang w:val="en-US"/>
        </w:rPr>
        <w:t xml:space="preserve"> Deep-rooted gender inequalities and stereotypes, harmful practices, perceptions and customs, and discriminatory norms are not only obstacles to the full enjoyment of human rights and the empowerment of all women and girls but are also among the root causes of child, early and forced marriage.</w:t>
      </w:r>
      <w:r w:rsidRPr="00D94625">
        <w:rPr>
          <w:rStyle w:val="FootnoteReference"/>
          <w:rFonts w:ascii="Gill Sans MT" w:hAnsi="Gill Sans MT" w:cs="Calibri"/>
          <w:sz w:val="20"/>
          <w:szCs w:val="20"/>
          <w:lang w:val="en-US"/>
        </w:rPr>
        <w:footnoteReference w:id="2"/>
      </w:r>
      <w:r w:rsidRPr="00D94625">
        <w:rPr>
          <w:rFonts w:ascii="Gill Sans MT" w:hAnsi="Gill Sans MT" w:cs="Calibri"/>
          <w:sz w:val="20"/>
          <w:szCs w:val="20"/>
          <w:lang w:val="en-US"/>
        </w:rPr>
        <w:t xml:space="preserve"> </w:t>
      </w:r>
    </w:p>
    <w:p w14:paraId="25479D80" w14:textId="77777777" w:rsidR="00D10D35" w:rsidRPr="00D94625" w:rsidRDefault="00D10D35" w:rsidP="00D94625">
      <w:pPr>
        <w:spacing w:after="0" w:line="240" w:lineRule="auto"/>
        <w:jc w:val="both"/>
        <w:rPr>
          <w:rFonts w:ascii="Gill Sans MT" w:hAnsi="Gill Sans MT" w:cs="Calibri"/>
          <w:sz w:val="20"/>
          <w:szCs w:val="20"/>
          <w:lang w:val="en-US"/>
        </w:rPr>
      </w:pPr>
      <w:r w:rsidRPr="00D94625">
        <w:rPr>
          <w:rFonts w:ascii="Gill Sans MT" w:hAnsi="Gill Sans MT" w:cs="Calibri"/>
          <w:sz w:val="20"/>
          <w:szCs w:val="20"/>
          <w:lang w:val="en-US"/>
        </w:rPr>
        <w:t>CEFM robs children of their agency to make decisions about their lives disrupts their education, and makes them more vulnerable to domestic and intimate partner violence, discrimination, and abuse. CEFM prevents children’s full participation in economic, political, and social spheres throughout their lives. Rates of child marriage are expected to rise as a result of the COVID-19 crisis due to increasing risk factors like being out of school, lack of access to sexual and reproductive health services and information, disruptions to gender-based violence and child protection services, increasing food and economic insecurity, and exposure to other forms of gender-based violence.</w:t>
      </w:r>
      <w:r w:rsidRPr="00D94625">
        <w:rPr>
          <w:rStyle w:val="FootnoteReference"/>
          <w:rFonts w:ascii="Gill Sans MT" w:hAnsi="Gill Sans MT" w:cs="Calibri"/>
          <w:sz w:val="20"/>
          <w:szCs w:val="20"/>
          <w:lang w:val="en-US"/>
        </w:rPr>
        <w:footnoteReference w:id="3"/>
      </w:r>
      <w:r w:rsidRPr="00D94625">
        <w:rPr>
          <w:rFonts w:ascii="Gill Sans MT" w:hAnsi="Gill Sans MT" w:cs="Calibri"/>
          <w:sz w:val="20"/>
          <w:szCs w:val="20"/>
          <w:lang w:val="en-US"/>
        </w:rPr>
        <w:t xml:space="preserve"> UNFPA, UNICEF, Save the Children, and others have predicted the first global increase in child marriage rates in more than 20 years. The latest estimates, informed by demographic data and historical insights on the effects of crisis on rates of child marriage, suggest that over 10 million more girls could be married as children in the next ten years, resulting in 110 million child marriages by 2030.</w:t>
      </w:r>
      <w:r w:rsidRPr="00D94625">
        <w:rPr>
          <w:rStyle w:val="FootnoteReference"/>
          <w:rFonts w:ascii="Gill Sans MT" w:hAnsi="Gill Sans MT" w:cs="Calibri"/>
          <w:sz w:val="20"/>
          <w:szCs w:val="20"/>
          <w:lang w:val="en-US"/>
        </w:rPr>
        <w:footnoteReference w:id="4"/>
      </w:r>
    </w:p>
    <w:p w14:paraId="4771F0D2" w14:textId="77777777" w:rsidR="00D10D35" w:rsidRPr="00D94625" w:rsidRDefault="00D10D35" w:rsidP="00D94625">
      <w:pPr>
        <w:spacing w:after="0" w:line="240" w:lineRule="auto"/>
        <w:jc w:val="both"/>
        <w:rPr>
          <w:rFonts w:ascii="Gill Sans MT" w:hAnsi="Gill Sans MT" w:cs="Calibri"/>
          <w:sz w:val="20"/>
          <w:szCs w:val="20"/>
          <w:lang w:val="en-US"/>
        </w:rPr>
      </w:pPr>
    </w:p>
    <w:p w14:paraId="4B84C9A5" w14:textId="71680CC2" w:rsidR="00940C54" w:rsidRPr="00D94625" w:rsidRDefault="00D10D35" w:rsidP="00730837">
      <w:pPr>
        <w:spacing w:after="0" w:line="240" w:lineRule="auto"/>
        <w:jc w:val="both"/>
        <w:rPr>
          <w:rStyle w:val="markedcontent"/>
          <w:rFonts w:ascii="Gill Sans MT" w:hAnsi="Gill Sans MT" w:cs="Calibri"/>
          <w:sz w:val="20"/>
          <w:szCs w:val="20"/>
          <w:lang w:val="en-US"/>
        </w:rPr>
      </w:pPr>
      <w:r w:rsidRPr="00D94625">
        <w:rPr>
          <w:rStyle w:val="markedcontent"/>
          <w:rFonts w:ascii="Gill Sans MT" w:hAnsi="Gill Sans MT" w:cs="Calibri"/>
          <w:sz w:val="20"/>
          <w:szCs w:val="20"/>
          <w:lang w:val="en-US"/>
        </w:rPr>
        <w:t>Eradicating CEFM requires that stakeholders increase their</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attention, knowledge, appropriate and evidence-based</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prevention and response measures, and resources in a</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coordinated fashion. It also requires the full and meaningful</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participation of the women and girls who are at risk and</w:t>
      </w:r>
      <w:r w:rsidR="00986BF2"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affected, from the early stages of</w:t>
      </w:r>
      <w:r w:rsidR="00986BF2" w:rsidRPr="00D94625">
        <w:rPr>
          <w:rStyle w:val="markedcontent"/>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developing policies and</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programming through the monitoring and evaluating of</w:t>
      </w:r>
      <w:r w:rsidRPr="00D94625">
        <w:rPr>
          <w:rFonts w:ascii="Gill Sans MT" w:hAnsi="Gill Sans MT" w:cs="Calibri"/>
          <w:sz w:val="20"/>
          <w:szCs w:val="20"/>
          <w:lang w:val="en-US"/>
        </w:rPr>
        <w:t xml:space="preserve"> </w:t>
      </w:r>
      <w:r w:rsidRPr="00D94625">
        <w:rPr>
          <w:rStyle w:val="markedcontent"/>
          <w:rFonts w:ascii="Gill Sans MT" w:hAnsi="Gill Sans MT" w:cs="Calibri"/>
          <w:sz w:val="20"/>
          <w:szCs w:val="20"/>
          <w:lang w:val="en-US"/>
        </w:rPr>
        <w:t>efforts to address this pressing issue.</w:t>
      </w:r>
    </w:p>
    <w:p w14:paraId="3FBE68C3" w14:textId="77777777" w:rsidR="00384493" w:rsidRPr="00D94625" w:rsidRDefault="00384493" w:rsidP="00730837">
      <w:pPr>
        <w:spacing w:after="0" w:line="240" w:lineRule="auto"/>
        <w:jc w:val="both"/>
        <w:rPr>
          <w:rFonts w:ascii="Gill Sans MT" w:hAnsi="Gill Sans MT" w:cs="Calibri"/>
          <w:sz w:val="20"/>
          <w:szCs w:val="20"/>
          <w:lang w:val="en-US"/>
        </w:rPr>
      </w:pPr>
    </w:p>
    <w:p w14:paraId="70712B05" w14:textId="4DD61641" w:rsidR="00D6480C" w:rsidRPr="00D94625" w:rsidRDefault="00D6480C" w:rsidP="00730837">
      <w:pPr>
        <w:spacing w:after="0" w:line="240" w:lineRule="auto"/>
        <w:jc w:val="both"/>
        <w:rPr>
          <w:rFonts w:ascii="Gill Sans MT" w:hAnsi="Gill Sans MT"/>
          <w:b/>
          <w:bCs/>
          <w:sz w:val="20"/>
          <w:szCs w:val="20"/>
          <w:u w:val="single"/>
        </w:rPr>
      </w:pPr>
      <w:r w:rsidRPr="00D94625">
        <w:rPr>
          <w:rFonts w:ascii="Gill Sans MT" w:hAnsi="Gill Sans MT"/>
          <w:b/>
          <w:bCs/>
          <w:sz w:val="20"/>
          <w:szCs w:val="20"/>
          <w:u w:val="single"/>
        </w:rPr>
        <w:t>Measures implemented to ensure accountability at the community and national levels, including the applicable legal framework, policies, and programs.</w:t>
      </w:r>
    </w:p>
    <w:p w14:paraId="49D6B069" w14:textId="32ED48DB" w:rsidR="00E74621" w:rsidRPr="00D94625" w:rsidRDefault="00B65029" w:rsidP="00D94625">
      <w:pPr>
        <w:spacing w:after="0" w:line="240" w:lineRule="auto"/>
        <w:contextualSpacing/>
        <w:jc w:val="both"/>
        <w:rPr>
          <w:rFonts w:ascii="Gill Sans MT" w:hAnsi="Gill Sans MT" w:cs="Calibri"/>
          <w:sz w:val="20"/>
          <w:szCs w:val="20"/>
          <w:lang w:val="en-US"/>
        </w:rPr>
      </w:pPr>
      <w:r w:rsidRPr="00D94625">
        <w:rPr>
          <w:rFonts w:ascii="Gill Sans MT" w:hAnsi="Gill Sans MT" w:cstheme="minorHAnsi"/>
          <w:sz w:val="20"/>
          <w:szCs w:val="20"/>
          <w:lang w:val="en-US"/>
        </w:rPr>
        <w:t xml:space="preserve">Child marriage is a human rights violation, curtails children's basic rights and puts them at risk of abuse and violence. </w:t>
      </w:r>
      <w:r w:rsidR="00E74621" w:rsidRPr="00D94625">
        <w:rPr>
          <w:rFonts w:ascii="Gill Sans MT" w:hAnsi="Gill Sans MT" w:cstheme="minorHAnsi"/>
          <w:sz w:val="20"/>
          <w:szCs w:val="20"/>
          <w:lang w:val="en-US"/>
        </w:rPr>
        <w:t>S</w:t>
      </w:r>
      <w:proofErr w:type="spellStart"/>
      <w:r w:rsidR="00E74621" w:rsidRPr="00D94625">
        <w:rPr>
          <w:rFonts w:ascii="Gill Sans MT" w:hAnsi="Gill Sans MT"/>
          <w:sz w:val="20"/>
          <w:szCs w:val="20"/>
        </w:rPr>
        <w:t>ave</w:t>
      </w:r>
      <w:proofErr w:type="spellEnd"/>
      <w:r w:rsidR="00E74621" w:rsidRPr="00D94625">
        <w:rPr>
          <w:rFonts w:ascii="Gill Sans MT" w:hAnsi="Gill Sans MT"/>
          <w:sz w:val="20"/>
          <w:szCs w:val="20"/>
        </w:rPr>
        <w:t xml:space="preserve"> the Children has </w:t>
      </w:r>
      <w:r w:rsidR="00301DA3" w:rsidRPr="00D94625">
        <w:rPr>
          <w:rFonts w:ascii="Gill Sans MT" w:hAnsi="Gill Sans MT"/>
          <w:sz w:val="20"/>
          <w:szCs w:val="20"/>
          <w:lang w:val="en-US"/>
        </w:rPr>
        <w:t xml:space="preserve">helped to </w:t>
      </w:r>
      <w:r w:rsidR="00E74621" w:rsidRPr="00D94625">
        <w:rPr>
          <w:rFonts w:ascii="Gill Sans MT" w:hAnsi="Gill Sans MT"/>
          <w:sz w:val="20"/>
          <w:szCs w:val="20"/>
        </w:rPr>
        <w:t>achieve a 25% decline in child marriage worldwide – that’s 11 million more girls empowered to stay in school or transition to work and decide for themselves when they’re ready for marriage and motherhood</w:t>
      </w:r>
      <w:r w:rsidR="00E74621" w:rsidRPr="00D94625">
        <w:rPr>
          <w:rStyle w:val="FootnoteReference"/>
          <w:rFonts w:ascii="Gill Sans MT" w:hAnsi="Gill Sans MT"/>
          <w:sz w:val="20"/>
          <w:szCs w:val="20"/>
        </w:rPr>
        <w:footnoteReference w:id="5"/>
      </w:r>
      <w:r w:rsidR="00E74621" w:rsidRPr="00D94625">
        <w:rPr>
          <w:rFonts w:ascii="Gill Sans MT" w:hAnsi="Gill Sans MT"/>
          <w:sz w:val="20"/>
          <w:szCs w:val="20"/>
        </w:rPr>
        <w:t>.</w:t>
      </w:r>
      <w:r w:rsidR="00E74621" w:rsidRPr="00D94625">
        <w:rPr>
          <w:rFonts w:ascii="Gill Sans MT" w:hAnsi="Gill Sans MT" w:cs="Calibri"/>
          <w:sz w:val="20"/>
          <w:szCs w:val="20"/>
          <w:lang w:val="en-US"/>
        </w:rPr>
        <w:t xml:space="preserve"> </w:t>
      </w:r>
    </w:p>
    <w:p w14:paraId="2D9EB97D" w14:textId="77777777" w:rsidR="00E74621" w:rsidRPr="00D94625" w:rsidRDefault="00E74621" w:rsidP="00D94625">
      <w:pPr>
        <w:spacing w:after="0" w:line="240" w:lineRule="auto"/>
        <w:contextualSpacing/>
        <w:jc w:val="both"/>
        <w:rPr>
          <w:rFonts w:ascii="Gill Sans MT" w:hAnsi="Gill Sans MT" w:cs="Calibri"/>
          <w:sz w:val="20"/>
          <w:szCs w:val="20"/>
          <w:lang w:val="en-US"/>
        </w:rPr>
      </w:pPr>
    </w:p>
    <w:p w14:paraId="49722E8A" w14:textId="7A13F65F" w:rsidR="004639BF" w:rsidRPr="005850C0" w:rsidRDefault="001D0D08" w:rsidP="00D94625">
      <w:pPr>
        <w:spacing w:line="240" w:lineRule="auto"/>
        <w:contextualSpacing/>
        <w:jc w:val="both"/>
        <w:rPr>
          <w:rFonts w:ascii="Gill Sans MT" w:hAnsi="Gill Sans MT"/>
          <w:sz w:val="20"/>
          <w:szCs w:val="20"/>
        </w:rPr>
      </w:pPr>
      <w:r w:rsidRPr="00D94625">
        <w:rPr>
          <w:rFonts w:ascii="Gill Sans MT" w:hAnsi="Gill Sans MT"/>
          <w:sz w:val="20"/>
          <w:szCs w:val="20"/>
        </w:rPr>
        <w:t>Save the Children Zambia</w:t>
      </w:r>
      <w:r w:rsidR="00D61050" w:rsidRPr="00D94625">
        <w:rPr>
          <w:rFonts w:ascii="Gill Sans MT" w:hAnsi="Gill Sans MT"/>
          <w:sz w:val="20"/>
          <w:szCs w:val="20"/>
        </w:rPr>
        <w:t xml:space="preserve">, in close collaboration </w:t>
      </w:r>
      <w:r w:rsidR="009F5CBF" w:rsidRPr="00D94625">
        <w:rPr>
          <w:rFonts w:ascii="Gill Sans MT" w:hAnsi="Gill Sans MT"/>
          <w:sz w:val="20"/>
          <w:szCs w:val="20"/>
        </w:rPr>
        <w:t>Caritas</w:t>
      </w:r>
      <w:r w:rsidR="00D61050" w:rsidRPr="00D94625">
        <w:rPr>
          <w:rFonts w:ascii="Gill Sans MT" w:hAnsi="Gill Sans MT"/>
          <w:sz w:val="20"/>
          <w:szCs w:val="20"/>
        </w:rPr>
        <w:t xml:space="preserve"> and</w:t>
      </w:r>
      <w:r w:rsidR="009F5CBF" w:rsidRPr="00D94625">
        <w:rPr>
          <w:rFonts w:ascii="Gill Sans MT" w:hAnsi="Gill Sans MT"/>
          <w:sz w:val="20"/>
          <w:szCs w:val="20"/>
        </w:rPr>
        <w:t xml:space="preserve"> the network on Ending Child Marriage in Zambia</w:t>
      </w:r>
      <w:r w:rsidR="009F5CBF" w:rsidRPr="00D94625">
        <w:rPr>
          <w:rStyle w:val="FootnoteReference"/>
          <w:rFonts w:ascii="Gill Sans MT" w:hAnsi="Gill Sans MT" w:cs="Calibri"/>
          <w:sz w:val="20"/>
          <w:szCs w:val="20"/>
          <w:lang w:val="en-US"/>
        </w:rPr>
        <w:footnoteReference w:id="6"/>
      </w:r>
      <w:r w:rsidR="009F5CBF" w:rsidRPr="00D94625">
        <w:rPr>
          <w:rFonts w:ascii="Gill Sans MT" w:hAnsi="Gill Sans MT"/>
          <w:sz w:val="20"/>
          <w:szCs w:val="20"/>
        </w:rPr>
        <w:t xml:space="preserve"> </w:t>
      </w:r>
      <w:r w:rsidR="00D61050" w:rsidRPr="00D94625">
        <w:rPr>
          <w:rFonts w:ascii="Gill Sans MT" w:hAnsi="Gill Sans MT"/>
          <w:sz w:val="20"/>
          <w:szCs w:val="20"/>
        </w:rPr>
        <w:t xml:space="preserve"> have carried-out</w:t>
      </w:r>
      <w:r w:rsidR="00DA3FF9" w:rsidRPr="00D94625">
        <w:rPr>
          <w:rFonts w:ascii="Gill Sans MT" w:hAnsi="Gill Sans MT"/>
          <w:sz w:val="20"/>
          <w:szCs w:val="20"/>
        </w:rPr>
        <w:t xml:space="preserve"> advocacy efforts for the enactment of the Child Code Bill</w:t>
      </w:r>
      <w:r w:rsidR="0002008B" w:rsidRPr="00D94625">
        <w:rPr>
          <w:rStyle w:val="FootnoteReference"/>
          <w:rFonts w:ascii="Gill Sans MT" w:hAnsi="Gill Sans MT" w:cs="Calibri"/>
          <w:sz w:val="20"/>
          <w:szCs w:val="20"/>
          <w:lang w:val="en-US"/>
        </w:rPr>
        <w:footnoteReference w:id="7"/>
      </w:r>
      <w:r w:rsidR="0002008B" w:rsidRPr="00D94625">
        <w:rPr>
          <w:rFonts w:ascii="Gill Sans MT" w:hAnsi="Gill Sans MT"/>
          <w:sz w:val="20"/>
          <w:szCs w:val="20"/>
        </w:rPr>
        <w:t xml:space="preserve"> and the amendment of the Marriage Act</w:t>
      </w:r>
      <w:r w:rsidR="0002008B" w:rsidRPr="00D94625">
        <w:rPr>
          <w:rStyle w:val="FootnoteReference"/>
          <w:rFonts w:ascii="Gill Sans MT" w:hAnsi="Gill Sans MT" w:cs="Calibri"/>
          <w:sz w:val="20"/>
          <w:szCs w:val="20"/>
          <w:lang w:val="en-US"/>
        </w:rPr>
        <w:footnoteReference w:id="8"/>
      </w:r>
      <w:r w:rsidR="0002008B" w:rsidRPr="00D94625">
        <w:rPr>
          <w:rFonts w:ascii="Gill Sans MT" w:hAnsi="Gill Sans MT"/>
          <w:sz w:val="20"/>
          <w:szCs w:val="20"/>
        </w:rPr>
        <w:t xml:space="preserve">. </w:t>
      </w:r>
      <w:r w:rsidR="00D61050" w:rsidRPr="00D94625">
        <w:rPr>
          <w:rFonts w:ascii="Gill Sans MT" w:hAnsi="Gill Sans MT"/>
          <w:sz w:val="20"/>
          <w:szCs w:val="20"/>
        </w:rPr>
        <w:t>Community Child Protection Communities (</w:t>
      </w:r>
      <w:proofErr w:type="spellStart"/>
      <w:r w:rsidR="00D61050" w:rsidRPr="00D94625">
        <w:rPr>
          <w:rFonts w:ascii="Gill Sans MT" w:hAnsi="Gill Sans MT"/>
          <w:sz w:val="20"/>
          <w:szCs w:val="20"/>
        </w:rPr>
        <w:t>CCPCs</w:t>
      </w:r>
      <w:proofErr w:type="spellEnd"/>
      <w:r w:rsidR="00D61050" w:rsidRPr="00D94625">
        <w:rPr>
          <w:rFonts w:ascii="Gill Sans MT" w:hAnsi="Gill Sans MT"/>
          <w:sz w:val="20"/>
          <w:szCs w:val="20"/>
        </w:rPr>
        <w:t xml:space="preserve">) have been established </w:t>
      </w:r>
      <w:r w:rsidR="0002008B" w:rsidRPr="00D94625">
        <w:rPr>
          <w:rFonts w:ascii="Gill Sans MT" w:hAnsi="Gill Sans MT"/>
          <w:sz w:val="20"/>
          <w:szCs w:val="20"/>
        </w:rPr>
        <w:t>where children have been withdrawn from CEFM and taken back to school.</w:t>
      </w:r>
      <w:r w:rsidR="00237F52" w:rsidRPr="00D94625">
        <w:rPr>
          <w:rFonts w:ascii="Gill Sans MT" w:hAnsi="Gill Sans MT"/>
          <w:sz w:val="20"/>
          <w:szCs w:val="20"/>
        </w:rPr>
        <w:t xml:space="preserve"> </w:t>
      </w:r>
      <w:r w:rsidR="00F50DC3" w:rsidRPr="00D94625">
        <w:rPr>
          <w:rFonts w:ascii="Gill Sans MT" w:hAnsi="Gill Sans MT"/>
          <w:sz w:val="20"/>
          <w:szCs w:val="20"/>
        </w:rPr>
        <w:t>Children, including adolescent girls, have the right to participate in decision-making for matters that affect their lives and their communities, and nearly every country in the world has committed to delivering on this right. Children’s participation is about having the opportunity to express views, having these views taken seriously and having the opportunity to influence decision-making. It is the informed and willing involvement of children in any matter concerning them directly or indirectly</w:t>
      </w:r>
      <w:r w:rsidR="00A42937" w:rsidRPr="00D94625">
        <w:rPr>
          <w:rFonts w:ascii="Gill Sans MT" w:hAnsi="Gill Sans MT"/>
          <w:sz w:val="20"/>
          <w:szCs w:val="20"/>
        </w:rPr>
        <w:t>. In this context, c</w:t>
      </w:r>
      <w:r w:rsidR="00237F52" w:rsidRPr="00D94625">
        <w:rPr>
          <w:rFonts w:ascii="Gill Sans MT" w:hAnsi="Gill Sans MT"/>
          <w:sz w:val="20"/>
          <w:szCs w:val="20"/>
        </w:rPr>
        <w:t xml:space="preserve">hild rights clubs have </w:t>
      </w:r>
      <w:r w:rsidR="006E77A7" w:rsidRPr="00D94625">
        <w:rPr>
          <w:rFonts w:ascii="Gill Sans MT" w:hAnsi="Gill Sans MT"/>
          <w:sz w:val="20"/>
          <w:szCs w:val="20"/>
        </w:rPr>
        <w:t>been established</w:t>
      </w:r>
      <w:r w:rsidR="00A42937" w:rsidRPr="00D94625">
        <w:rPr>
          <w:rFonts w:ascii="Gill Sans MT" w:hAnsi="Gill Sans MT"/>
          <w:sz w:val="20"/>
          <w:szCs w:val="20"/>
        </w:rPr>
        <w:t xml:space="preserve"> </w:t>
      </w:r>
      <w:r w:rsidR="00D61050" w:rsidRPr="00D94625">
        <w:rPr>
          <w:rFonts w:ascii="Gill Sans MT" w:hAnsi="Gill Sans MT"/>
          <w:sz w:val="20"/>
          <w:szCs w:val="20"/>
        </w:rPr>
        <w:t>to</w:t>
      </w:r>
      <w:r w:rsidR="00237F52" w:rsidRPr="00D94625">
        <w:rPr>
          <w:rFonts w:ascii="Gill Sans MT" w:hAnsi="Gill Sans MT"/>
          <w:sz w:val="20"/>
          <w:szCs w:val="20"/>
        </w:rPr>
        <w:t xml:space="preserve"> empower children to defend and promote their own rights. </w:t>
      </w:r>
      <w:r w:rsidR="00A42937" w:rsidRPr="00D94625">
        <w:rPr>
          <w:rFonts w:ascii="Gill Sans MT" w:hAnsi="Gill Sans MT"/>
          <w:sz w:val="20"/>
          <w:szCs w:val="20"/>
        </w:rPr>
        <w:t>This has been critical</w:t>
      </w:r>
      <w:r w:rsidR="008161B1">
        <w:rPr>
          <w:rFonts w:ascii="Gill Sans MT" w:hAnsi="Gill Sans MT"/>
          <w:sz w:val="20"/>
          <w:szCs w:val="20"/>
          <w:lang w:val="en-US"/>
        </w:rPr>
        <w:t xml:space="preserve"> element</w:t>
      </w:r>
      <w:r w:rsidR="00A42937" w:rsidRPr="00D94625">
        <w:rPr>
          <w:rFonts w:ascii="Gill Sans MT" w:hAnsi="Gill Sans MT"/>
          <w:sz w:val="20"/>
          <w:szCs w:val="20"/>
        </w:rPr>
        <w:t xml:space="preserve"> in the fight against child marriage as children have been able to support their peers who </w:t>
      </w:r>
      <w:r w:rsidR="008161B1">
        <w:rPr>
          <w:rFonts w:ascii="Gill Sans MT" w:hAnsi="Gill Sans MT"/>
          <w:sz w:val="20"/>
          <w:szCs w:val="20"/>
          <w:lang w:val="en-US"/>
        </w:rPr>
        <w:t>are</w:t>
      </w:r>
      <w:r w:rsidR="00A42937" w:rsidRPr="00D94625">
        <w:rPr>
          <w:rFonts w:ascii="Gill Sans MT" w:hAnsi="Gill Sans MT"/>
          <w:sz w:val="20"/>
          <w:szCs w:val="20"/>
        </w:rPr>
        <w:t xml:space="preserve"> in the process of being married off or victims of CEFM. </w:t>
      </w:r>
      <w:r w:rsidR="00E7109B" w:rsidRPr="00D94625">
        <w:rPr>
          <w:rFonts w:ascii="Gill Sans MT" w:hAnsi="Gill Sans MT" w:cs="Calibri"/>
          <w:sz w:val="20"/>
          <w:szCs w:val="20"/>
          <w:lang w:val="en-US"/>
        </w:rPr>
        <w:t>Advocacy interventions</w:t>
      </w:r>
      <w:r w:rsidR="00237F52" w:rsidRPr="00D94625">
        <w:rPr>
          <w:rFonts w:ascii="Gill Sans MT" w:hAnsi="Gill Sans MT" w:cs="Calibri"/>
          <w:sz w:val="20"/>
          <w:szCs w:val="20"/>
          <w:lang w:val="en-US"/>
        </w:rPr>
        <w:t xml:space="preserve"> have</w:t>
      </w:r>
      <w:r w:rsidR="00D87DF3" w:rsidRPr="00D94625">
        <w:rPr>
          <w:rFonts w:ascii="Gill Sans MT" w:hAnsi="Gill Sans MT" w:cs="Calibri"/>
          <w:sz w:val="20"/>
          <w:szCs w:val="20"/>
          <w:lang w:val="en-US"/>
        </w:rPr>
        <w:t xml:space="preserve"> also</w:t>
      </w:r>
      <w:r w:rsidR="00237F52" w:rsidRPr="00D94625">
        <w:rPr>
          <w:rFonts w:ascii="Gill Sans MT" w:hAnsi="Gill Sans MT" w:cs="Calibri"/>
          <w:sz w:val="20"/>
          <w:szCs w:val="20"/>
          <w:lang w:val="en-US"/>
        </w:rPr>
        <w:t xml:space="preserve"> been implemented to</w:t>
      </w:r>
      <w:r w:rsidR="00E7109B" w:rsidRPr="00D94625">
        <w:rPr>
          <w:rFonts w:ascii="Gill Sans MT" w:hAnsi="Gill Sans MT" w:cs="Calibri"/>
          <w:sz w:val="20"/>
          <w:szCs w:val="20"/>
          <w:lang w:val="en-US"/>
        </w:rPr>
        <w:t xml:space="preserve"> pressure</w:t>
      </w:r>
      <w:r w:rsidR="00237F52" w:rsidRPr="00D94625">
        <w:rPr>
          <w:rFonts w:ascii="Gill Sans MT" w:hAnsi="Gill Sans MT" w:cs="Calibri"/>
          <w:sz w:val="20"/>
          <w:szCs w:val="20"/>
          <w:lang w:val="en-US"/>
        </w:rPr>
        <w:t xml:space="preserve"> </w:t>
      </w:r>
      <w:r w:rsidR="00E7109B" w:rsidRPr="00D94625">
        <w:rPr>
          <w:rFonts w:ascii="Gill Sans MT" w:hAnsi="Gill Sans MT" w:cs="Calibri"/>
          <w:sz w:val="20"/>
          <w:szCs w:val="20"/>
          <w:lang w:val="en-US"/>
        </w:rPr>
        <w:t>the government to accelerate the development and launch of the National Violence Against Child prevention and response plan 2021 to 2025</w:t>
      </w:r>
      <w:r w:rsidR="00474976" w:rsidRPr="00D94625">
        <w:rPr>
          <w:rStyle w:val="FootnoteReference"/>
          <w:rFonts w:ascii="Gill Sans MT" w:hAnsi="Gill Sans MT" w:cs="Calibri"/>
          <w:sz w:val="20"/>
          <w:szCs w:val="20"/>
          <w:lang w:val="en-US"/>
        </w:rPr>
        <w:footnoteReference w:id="9"/>
      </w:r>
      <w:r w:rsidR="00474976" w:rsidRPr="00D94625">
        <w:rPr>
          <w:rStyle w:val="d2edcug0"/>
          <w:rFonts w:ascii="Gill Sans MT" w:hAnsi="Gill Sans MT"/>
          <w:sz w:val="20"/>
          <w:szCs w:val="20"/>
          <w:lang w:val="en-US"/>
        </w:rPr>
        <w:t>.</w:t>
      </w:r>
      <w:r w:rsidR="00D55F78" w:rsidRPr="00D94625">
        <w:rPr>
          <w:rFonts w:ascii="Gill Sans MT" w:hAnsi="Gill Sans MT"/>
          <w:sz w:val="20"/>
          <w:szCs w:val="20"/>
          <w:lang w:val="en-US"/>
        </w:rPr>
        <w:t xml:space="preserve"> </w:t>
      </w:r>
    </w:p>
    <w:p w14:paraId="00CDBDD3" w14:textId="77777777" w:rsidR="00696C47" w:rsidRPr="00DA66BA" w:rsidRDefault="00696C47" w:rsidP="00D94625">
      <w:pPr>
        <w:spacing w:line="240" w:lineRule="auto"/>
        <w:contextualSpacing/>
        <w:jc w:val="both"/>
        <w:rPr>
          <w:rFonts w:ascii="Gill Sans MT" w:hAnsi="Gill Sans MT"/>
          <w:sz w:val="20"/>
          <w:szCs w:val="20"/>
        </w:rPr>
      </w:pPr>
    </w:p>
    <w:p w14:paraId="263F8863" w14:textId="44E33DA9" w:rsidR="00BD67BE" w:rsidRPr="00C172CE" w:rsidRDefault="00A5288F" w:rsidP="00D94625">
      <w:pPr>
        <w:spacing w:line="240" w:lineRule="auto"/>
        <w:contextualSpacing/>
        <w:jc w:val="both"/>
        <w:rPr>
          <w:rFonts w:ascii="Gill Sans MT" w:hAnsi="Gill Sans MT"/>
          <w:sz w:val="20"/>
          <w:szCs w:val="20"/>
          <w:lang w:val="en-US"/>
        </w:rPr>
      </w:pPr>
      <w:r w:rsidRPr="00A5288F">
        <w:rPr>
          <w:rFonts w:ascii="Gill Sans MT" w:hAnsi="Gill Sans MT"/>
          <w:sz w:val="20"/>
          <w:szCs w:val="20"/>
        </w:rPr>
        <w:t>Child marriage is often rationalized by traditional reasons across Africa</w:t>
      </w:r>
      <w:r w:rsidRPr="00A5288F">
        <w:rPr>
          <w:rFonts w:ascii="Gill Sans MT" w:hAnsi="Gill Sans MT"/>
          <w:sz w:val="20"/>
          <w:szCs w:val="20"/>
          <w:lang w:val="en-US"/>
        </w:rPr>
        <w:t xml:space="preserve"> and South Asia.</w:t>
      </w:r>
      <w:r w:rsidRPr="00A5288F">
        <w:rPr>
          <w:rFonts w:ascii="Gill Sans MT" w:hAnsi="Gill Sans MT"/>
          <w:sz w:val="20"/>
          <w:szCs w:val="20"/>
        </w:rPr>
        <w:t xml:space="preserve"> However, the practice is rooted in unequal gender and social norms as well as discriminatory cultural traditions. This makes attaining the main objectives of Sustainable Development Goal 5, ending child marriage in all parts of the world, a complex task that requires </w:t>
      </w:r>
      <w:r w:rsidRPr="00A5288F">
        <w:rPr>
          <w:rFonts w:ascii="Gill Sans MT" w:hAnsi="Gill Sans MT"/>
          <w:sz w:val="20"/>
          <w:szCs w:val="20"/>
        </w:rPr>
        <w:lastRenderedPageBreak/>
        <w:t xml:space="preserve">cooperation from all stakeholders, mostly traditional leaders. </w:t>
      </w:r>
      <w:r w:rsidR="008161B1">
        <w:rPr>
          <w:rFonts w:ascii="Gill Sans MT" w:hAnsi="Gill Sans MT"/>
          <w:sz w:val="20"/>
          <w:szCs w:val="20"/>
          <w:lang w:val="en-US"/>
        </w:rPr>
        <w:t>Traditional and religious leaders</w:t>
      </w:r>
      <w:r w:rsidRPr="00A5288F">
        <w:rPr>
          <w:rFonts w:ascii="Gill Sans MT" w:hAnsi="Gill Sans MT"/>
          <w:sz w:val="20"/>
          <w:szCs w:val="20"/>
        </w:rPr>
        <w:t xml:space="preserve"> are well indicated to address the issue of child marriage because they influence social norms more than political </w:t>
      </w:r>
      <w:r w:rsidR="008161B1">
        <w:rPr>
          <w:rFonts w:ascii="Gill Sans MT" w:hAnsi="Gill Sans MT"/>
          <w:sz w:val="20"/>
          <w:szCs w:val="20"/>
          <w:lang w:val="en-US"/>
        </w:rPr>
        <w:t>actors</w:t>
      </w:r>
      <w:r w:rsidRPr="00A5288F">
        <w:rPr>
          <w:rFonts w:ascii="Gill Sans MT" w:hAnsi="Gill Sans MT"/>
          <w:sz w:val="20"/>
          <w:szCs w:val="20"/>
        </w:rPr>
        <w:t xml:space="preserve">. Moreover, when political </w:t>
      </w:r>
      <w:r w:rsidR="0066220C">
        <w:rPr>
          <w:rFonts w:ascii="Gill Sans MT" w:hAnsi="Gill Sans MT"/>
          <w:sz w:val="20"/>
          <w:szCs w:val="20"/>
          <w:lang w:val="en-US"/>
        </w:rPr>
        <w:t xml:space="preserve">actors </w:t>
      </w:r>
      <w:r w:rsidRPr="00A5288F">
        <w:rPr>
          <w:rFonts w:ascii="Gill Sans MT" w:hAnsi="Gill Sans MT"/>
          <w:sz w:val="20"/>
          <w:szCs w:val="20"/>
        </w:rPr>
        <w:t>change, traditional structures remain from generation to generation.</w:t>
      </w:r>
      <w:r w:rsidRPr="00A5288F">
        <w:rPr>
          <w:rFonts w:ascii="Gill Sans MT" w:hAnsi="Gill Sans MT"/>
          <w:sz w:val="20"/>
          <w:szCs w:val="20"/>
          <w:lang w:val="en-US"/>
        </w:rPr>
        <w:t xml:space="preserve"> Hence, i</w:t>
      </w:r>
      <w:r w:rsidR="0072063B" w:rsidRPr="00A5288F">
        <w:rPr>
          <w:rFonts w:ascii="Gill Sans MT" w:hAnsi="Gill Sans MT"/>
          <w:sz w:val="20"/>
          <w:szCs w:val="20"/>
          <w:lang w:val="en-US"/>
        </w:rPr>
        <w:t>nvolving traditional leaders in eliminating child marriage is essential</w:t>
      </w:r>
      <w:r w:rsidR="001C3408" w:rsidRPr="00A5288F">
        <w:rPr>
          <w:rStyle w:val="FootnoteReference"/>
          <w:rFonts w:ascii="Gill Sans MT" w:hAnsi="Gill Sans MT"/>
          <w:sz w:val="20"/>
          <w:szCs w:val="20"/>
          <w:lang w:val="en-US"/>
        </w:rPr>
        <w:footnoteReference w:id="10"/>
      </w:r>
      <w:r w:rsidR="0072063B" w:rsidRPr="00A5288F">
        <w:rPr>
          <w:rFonts w:ascii="Gill Sans MT" w:hAnsi="Gill Sans MT"/>
          <w:sz w:val="20"/>
          <w:szCs w:val="20"/>
          <w:lang w:val="en-US"/>
        </w:rPr>
        <w:t>, literature suggests that they may have more capacity to address rural issues than elected politicians due to the influence they have in their community</w:t>
      </w:r>
      <w:r w:rsidR="001C3408" w:rsidRPr="00A5288F">
        <w:rPr>
          <w:rStyle w:val="FootnoteReference"/>
          <w:rFonts w:ascii="Gill Sans MT" w:hAnsi="Gill Sans MT"/>
          <w:sz w:val="20"/>
          <w:szCs w:val="20"/>
          <w:lang w:val="en-US"/>
        </w:rPr>
        <w:footnoteReference w:id="11"/>
      </w:r>
      <w:r w:rsidR="0072063B" w:rsidRPr="00A5288F">
        <w:rPr>
          <w:rFonts w:ascii="Gill Sans MT" w:hAnsi="Gill Sans MT"/>
          <w:sz w:val="20"/>
          <w:szCs w:val="20"/>
          <w:lang w:val="en-US"/>
        </w:rPr>
        <w:t>.</w:t>
      </w:r>
      <w:r w:rsidR="00A46AEB" w:rsidRPr="00A5288F">
        <w:rPr>
          <w:rFonts w:ascii="Gill Sans MT" w:hAnsi="Gill Sans MT"/>
          <w:sz w:val="20"/>
          <w:szCs w:val="20"/>
          <w:lang w:val="en-US"/>
        </w:rPr>
        <w:t xml:space="preserve"> </w:t>
      </w:r>
      <w:r w:rsidR="00D55F78" w:rsidRPr="00A5288F">
        <w:rPr>
          <w:rFonts w:ascii="Gill Sans MT" w:hAnsi="Gill Sans MT" w:cs="Calibri"/>
          <w:sz w:val="20"/>
          <w:szCs w:val="20"/>
          <w:lang w:val="en-US"/>
        </w:rPr>
        <w:t>Save the Children</w:t>
      </w:r>
      <w:r w:rsidR="00384493" w:rsidRPr="00A5288F">
        <w:rPr>
          <w:rFonts w:ascii="Gill Sans MT" w:hAnsi="Gill Sans MT" w:cs="Calibri"/>
          <w:sz w:val="20"/>
          <w:szCs w:val="20"/>
          <w:lang w:val="en-US"/>
        </w:rPr>
        <w:t xml:space="preserve"> Zambia</w:t>
      </w:r>
      <w:r w:rsidR="00D55F78" w:rsidRPr="00A5288F">
        <w:rPr>
          <w:rFonts w:ascii="Gill Sans MT" w:hAnsi="Gill Sans MT" w:cs="Calibri"/>
          <w:sz w:val="20"/>
          <w:szCs w:val="20"/>
          <w:lang w:val="en-US"/>
        </w:rPr>
        <w:t xml:space="preserve"> and Caritas has</w:t>
      </w:r>
      <w:r w:rsidR="00D55F78" w:rsidRPr="00D94625">
        <w:rPr>
          <w:rFonts w:ascii="Gill Sans MT" w:hAnsi="Gill Sans MT" w:cs="Calibri"/>
          <w:sz w:val="20"/>
          <w:szCs w:val="20"/>
          <w:lang w:val="en-US"/>
        </w:rPr>
        <w:t xml:space="preserve"> been able to build the capacity</w:t>
      </w:r>
      <w:r w:rsidR="0017490B" w:rsidRPr="00D94625">
        <w:rPr>
          <w:rFonts w:ascii="Gill Sans MT" w:hAnsi="Gill Sans MT" w:cs="Calibri"/>
          <w:sz w:val="20"/>
          <w:szCs w:val="20"/>
          <w:lang w:val="en-US"/>
        </w:rPr>
        <w:t xml:space="preserve"> and influence</w:t>
      </w:r>
      <w:r w:rsidR="00D55F78" w:rsidRPr="00D94625">
        <w:rPr>
          <w:rFonts w:ascii="Gill Sans MT" w:hAnsi="Gill Sans MT" w:cs="Calibri"/>
          <w:sz w:val="20"/>
          <w:szCs w:val="20"/>
          <w:lang w:val="en-US"/>
        </w:rPr>
        <w:t xml:space="preserve"> traditional leaders</w:t>
      </w:r>
      <w:r w:rsidR="0017490B" w:rsidRPr="00D94625">
        <w:rPr>
          <w:rFonts w:ascii="Gill Sans MT" w:hAnsi="Gill Sans MT" w:cs="Calibri"/>
          <w:sz w:val="20"/>
          <w:szCs w:val="20"/>
          <w:lang w:val="en-US"/>
        </w:rPr>
        <w:t xml:space="preserve"> in target districts for them to implement laws that support the protection of children at chiefdom level against CEFM.</w:t>
      </w:r>
      <w:r w:rsidR="00477D6B" w:rsidRPr="00D94625">
        <w:rPr>
          <w:rFonts w:ascii="Gill Sans MT" w:hAnsi="Gill Sans MT" w:cs="Calibri"/>
          <w:sz w:val="20"/>
          <w:szCs w:val="20"/>
          <w:lang w:val="en-US"/>
        </w:rPr>
        <w:t xml:space="preserve"> </w:t>
      </w:r>
      <w:r w:rsidR="00A40D82" w:rsidRPr="00D94625">
        <w:rPr>
          <w:rFonts w:ascii="Gill Sans MT" w:hAnsi="Gill Sans MT" w:cs="Calibri"/>
          <w:sz w:val="20"/>
          <w:szCs w:val="20"/>
          <w:lang w:val="en-US"/>
        </w:rPr>
        <w:t>Similarly, r</w:t>
      </w:r>
      <w:r w:rsidR="00477D6B" w:rsidRPr="00D94625">
        <w:rPr>
          <w:rFonts w:ascii="Gill Sans MT" w:hAnsi="Gill Sans MT" w:cs="Calibri"/>
          <w:sz w:val="20"/>
          <w:szCs w:val="20"/>
          <w:lang w:val="en-US"/>
        </w:rPr>
        <w:t xml:space="preserve">ecognizing </w:t>
      </w:r>
      <w:r w:rsidR="00477D6B" w:rsidRPr="00D94625">
        <w:rPr>
          <w:rFonts w:ascii="Gill Sans MT" w:hAnsi="Gill Sans MT"/>
          <w:sz w:val="20"/>
          <w:szCs w:val="20"/>
          <w:lang w:val="en-US"/>
        </w:rPr>
        <w:t xml:space="preserve">the need for improved knowledge and accountability through a </w:t>
      </w:r>
      <w:r w:rsidR="00477D6B" w:rsidRPr="00C172CE">
        <w:rPr>
          <w:rFonts w:ascii="Gill Sans MT" w:hAnsi="Gill Sans MT"/>
          <w:sz w:val="20"/>
          <w:szCs w:val="20"/>
          <w:lang w:val="en-US"/>
        </w:rPr>
        <w:t>multisectoral approach, Save the Children Nepal engage</w:t>
      </w:r>
      <w:r w:rsidR="00A40D82" w:rsidRPr="00C172CE">
        <w:rPr>
          <w:rFonts w:ascii="Gill Sans MT" w:hAnsi="Gill Sans MT"/>
          <w:sz w:val="20"/>
          <w:szCs w:val="20"/>
          <w:lang w:val="en-US"/>
        </w:rPr>
        <w:t>s</w:t>
      </w:r>
      <w:r w:rsidR="00477D6B" w:rsidRPr="00C172CE">
        <w:rPr>
          <w:rFonts w:ascii="Gill Sans MT" w:hAnsi="Gill Sans MT"/>
          <w:sz w:val="20"/>
          <w:szCs w:val="20"/>
          <w:lang w:val="en-US"/>
        </w:rPr>
        <w:t xml:space="preserve"> with priests and religious gurus in awareness-raising efforts </w:t>
      </w:r>
      <w:r w:rsidR="00C172CE" w:rsidRPr="00C172CE">
        <w:rPr>
          <w:rFonts w:ascii="Gill Sans MT" w:hAnsi="Gill Sans MT"/>
          <w:sz w:val="20"/>
          <w:szCs w:val="20"/>
          <w:lang w:val="en-US"/>
        </w:rPr>
        <w:t xml:space="preserve">on </w:t>
      </w:r>
      <w:r w:rsidR="001A2CD4">
        <w:rPr>
          <w:rFonts w:ascii="Gill Sans MT" w:hAnsi="Gill Sans MT"/>
          <w:sz w:val="20"/>
          <w:szCs w:val="20"/>
          <w:lang w:val="en-US"/>
        </w:rPr>
        <w:t xml:space="preserve">the </w:t>
      </w:r>
      <w:r w:rsidR="00C172CE" w:rsidRPr="00C172CE">
        <w:rPr>
          <w:rFonts w:ascii="Gill Sans MT" w:hAnsi="Gill Sans MT"/>
          <w:sz w:val="20"/>
          <w:szCs w:val="20"/>
        </w:rPr>
        <w:t>impacts</w:t>
      </w:r>
      <w:r w:rsidR="00C172CE" w:rsidRPr="00C172CE">
        <w:rPr>
          <w:rFonts w:ascii="Gill Sans MT" w:hAnsi="Gill Sans MT"/>
          <w:sz w:val="20"/>
          <w:szCs w:val="20"/>
          <w:lang w:val="en-US"/>
        </w:rPr>
        <w:t xml:space="preserve"> of</w:t>
      </w:r>
      <w:r w:rsidR="00C172CE" w:rsidRPr="00C172CE">
        <w:rPr>
          <w:rFonts w:ascii="Gill Sans MT" w:hAnsi="Gill Sans MT"/>
          <w:sz w:val="20"/>
          <w:szCs w:val="20"/>
        </w:rPr>
        <w:t xml:space="preserve"> child marriage on girls' health, </w:t>
      </w:r>
      <w:r w:rsidR="00C172CE" w:rsidRPr="00C172CE">
        <w:rPr>
          <w:rFonts w:ascii="Gill Sans MT" w:hAnsi="Gill Sans MT"/>
          <w:sz w:val="20"/>
          <w:szCs w:val="20"/>
          <w:lang w:val="en-US"/>
        </w:rPr>
        <w:t xml:space="preserve"> </w:t>
      </w:r>
      <w:r w:rsidR="00C172CE" w:rsidRPr="00C172CE">
        <w:rPr>
          <w:rFonts w:ascii="Gill Sans MT" w:hAnsi="Gill Sans MT"/>
          <w:sz w:val="20"/>
          <w:szCs w:val="20"/>
        </w:rPr>
        <w:t>education and on an entire community's wellbeing. </w:t>
      </w:r>
      <w:r w:rsidR="00C172CE" w:rsidRPr="00C172CE">
        <w:rPr>
          <w:rFonts w:ascii="Gill Sans MT" w:hAnsi="Gill Sans MT"/>
          <w:sz w:val="20"/>
          <w:szCs w:val="20"/>
          <w:lang w:val="en-US"/>
        </w:rPr>
        <w:t xml:space="preserve">Save the Children builds the capacity of these leaders to </w:t>
      </w:r>
      <w:r w:rsidR="00477D6B" w:rsidRPr="00C172CE">
        <w:rPr>
          <w:rFonts w:ascii="Gill Sans MT" w:hAnsi="Gill Sans MT"/>
          <w:sz w:val="20"/>
          <w:szCs w:val="20"/>
          <w:lang w:val="en-US"/>
        </w:rPr>
        <w:t xml:space="preserve">identify underage brides and grooms to refuse </w:t>
      </w:r>
      <w:r w:rsidR="00A40D82" w:rsidRPr="00C172CE">
        <w:rPr>
          <w:rFonts w:ascii="Gill Sans MT" w:hAnsi="Gill Sans MT"/>
          <w:sz w:val="20"/>
          <w:szCs w:val="20"/>
          <w:lang w:val="en-US"/>
        </w:rPr>
        <w:t xml:space="preserve">to </w:t>
      </w:r>
      <w:r w:rsidR="00477D6B" w:rsidRPr="00C172CE">
        <w:rPr>
          <w:rFonts w:ascii="Gill Sans MT" w:hAnsi="Gill Sans MT"/>
          <w:sz w:val="20"/>
          <w:szCs w:val="20"/>
          <w:lang w:val="en-US"/>
        </w:rPr>
        <w:t>ordain unlawful marriages.</w:t>
      </w:r>
      <w:r w:rsidR="00477D6B" w:rsidRPr="00C172CE">
        <w:rPr>
          <w:rStyle w:val="FootnoteReference"/>
          <w:rFonts w:ascii="Gill Sans MT" w:hAnsi="Gill Sans MT"/>
          <w:sz w:val="20"/>
          <w:szCs w:val="20"/>
          <w:lang w:val="en-US"/>
        </w:rPr>
        <w:footnoteReference w:id="12"/>
      </w:r>
    </w:p>
    <w:p w14:paraId="0D7D1CE5" w14:textId="77777777" w:rsidR="0017151E" w:rsidRPr="00D94625" w:rsidRDefault="0017151E" w:rsidP="00D94625">
      <w:pPr>
        <w:spacing w:after="0" w:line="240" w:lineRule="auto"/>
        <w:jc w:val="both"/>
        <w:rPr>
          <w:rFonts w:ascii="Gill Sans MT" w:hAnsi="Gill Sans MT" w:cs="Calibri"/>
          <w:sz w:val="20"/>
          <w:szCs w:val="20"/>
          <w:lang w:val="en-US"/>
        </w:rPr>
      </w:pPr>
    </w:p>
    <w:p w14:paraId="63552AE2" w14:textId="743297DC" w:rsidR="00D6480C" w:rsidRPr="00D94625" w:rsidRDefault="00D6480C" w:rsidP="00D94625">
      <w:pPr>
        <w:spacing w:after="0" w:line="240" w:lineRule="auto"/>
        <w:jc w:val="both"/>
        <w:rPr>
          <w:rFonts w:ascii="Gill Sans MT" w:hAnsi="Gill Sans MT" w:cs="Calibri"/>
          <w:sz w:val="20"/>
          <w:szCs w:val="20"/>
          <w:lang w:val="en-US"/>
        </w:rPr>
      </w:pPr>
      <w:r w:rsidRPr="00D94625">
        <w:rPr>
          <w:rFonts w:ascii="Gill Sans MT" w:hAnsi="Gill Sans MT" w:cs="Calibri"/>
          <w:sz w:val="20"/>
          <w:szCs w:val="20"/>
          <w:lang w:val="en-US"/>
        </w:rPr>
        <w:t>Save the Children</w:t>
      </w:r>
      <w:r w:rsidR="00685A14" w:rsidRPr="00D94625">
        <w:rPr>
          <w:rFonts w:ascii="Gill Sans MT" w:hAnsi="Gill Sans MT" w:cs="Calibri"/>
          <w:sz w:val="20"/>
          <w:szCs w:val="20"/>
          <w:lang w:val="en-US"/>
        </w:rPr>
        <w:t xml:space="preserve"> Nepal</w:t>
      </w:r>
      <w:r w:rsidRPr="00D94625">
        <w:rPr>
          <w:rFonts w:ascii="Gill Sans MT" w:hAnsi="Gill Sans MT" w:cs="Calibri"/>
          <w:sz w:val="20"/>
          <w:szCs w:val="20"/>
          <w:lang w:val="en-US"/>
        </w:rPr>
        <w:t xml:space="preserve"> has been supporting </w:t>
      </w:r>
      <w:r w:rsidR="00C172CE">
        <w:rPr>
          <w:rFonts w:ascii="Gill Sans MT" w:hAnsi="Gill Sans MT" w:cs="Calibri"/>
          <w:sz w:val="20"/>
          <w:szCs w:val="20"/>
          <w:lang w:val="en-US"/>
        </w:rPr>
        <w:t>the</w:t>
      </w:r>
      <w:r w:rsidR="00685A14" w:rsidRPr="00D94625">
        <w:rPr>
          <w:rFonts w:ascii="Gill Sans MT" w:hAnsi="Gill Sans MT" w:cs="Calibri"/>
          <w:sz w:val="20"/>
          <w:szCs w:val="20"/>
          <w:lang w:val="en-US"/>
        </w:rPr>
        <w:t xml:space="preserve"> National Child Rights Council (NCRC) </w:t>
      </w:r>
      <w:r w:rsidRPr="00D94625">
        <w:rPr>
          <w:rFonts w:ascii="Gill Sans MT" w:hAnsi="Gill Sans MT" w:cs="Calibri"/>
          <w:sz w:val="20"/>
          <w:szCs w:val="20"/>
          <w:lang w:val="en-US"/>
        </w:rPr>
        <w:t>by establishing a framework agreement to strengthen child rights and child protection system.</w:t>
      </w:r>
      <w:r w:rsidR="001C1F0E" w:rsidRPr="00D94625">
        <w:rPr>
          <w:rFonts w:ascii="Gill Sans MT" w:hAnsi="Gill Sans MT" w:cs="Calibri"/>
          <w:sz w:val="20"/>
          <w:szCs w:val="20"/>
          <w:lang w:val="en-US"/>
        </w:rPr>
        <w:t xml:space="preserve"> </w:t>
      </w:r>
      <w:r w:rsidR="00803EF5">
        <w:rPr>
          <w:rFonts w:ascii="Gill Sans MT" w:hAnsi="Gill Sans MT" w:cs="Calibri"/>
          <w:sz w:val="20"/>
          <w:szCs w:val="20"/>
          <w:lang w:val="en-US"/>
        </w:rPr>
        <w:t xml:space="preserve">The </w:t>
      </w:r>
      <w:r w:rsidRPr="00D94625">
        <w:rPr>
          <w:rFonts w:ascii="Gill Sans MT" w:hAnsi="Gill Sans MT" w:cs="Calibri"/>
          <w:sz w:val="20"/>
          <w:szCs w:val="20"/>
          <w:lang w:val="en-US"/>
        </w:rPr>
        <w:t xml:space="preserve">NCRC </w:t>
      </w:r>
      <w:r w:rsidR="00685A14" w:rsidRPr="00D94625">
        <w:rPr>
          <w:rFonts w:ascii="Gill Sans MT" w:hAnsi="Gill Sans MT" w:cs="Calibri"/>
          <w:sz w:val="20"/>
          <w:szCs w:val="20"/>
          <w:lang w:val="en-US"/>
        </w:rPr>
        <w:t xml:space="preserve">is </w:t>
      </w:r>
      <w:r w:rsidRPr="00D94625">
        <w:rPr>
          <w:rFonts w:ascii="Gill Sans MT" w:hAnsi="Gill Sans MT" w:cs="Calibri"/>
          <w:sz w:val="20"/>
          <w:szCs w:val="20"/>
          <w:lang w:val="en-US"/>
        </w:rPr>
        <w:t xml:space="preserve">working with the local governments for the formation of </w:t>
      </w:r>
      <w:r w:rsidR="00685A14" w:rsidRPr="00D94625">
        <w:rPr>
          <w:rFonts w:ascii="Gill Sans MT" w:hAnsi="Gill Sans MT" w:cs="Calibri"/>
          <w:sz w:val="20"/>
          <w:szCs w:val="20"/>
          <w:lang w:val="en-US"/>
        </w:rPr>
        <w:t xml:space="preserve">a </w:t>
      </w:r>
      <w:r w:rsidRPr="00D94625">
        <w:rPr>
          <w:rFonts w:ascii="Gill Sans MT" w:hAnsi="Gill Sans MT" w:cs="Calibri"/>
          <w:sz w:val="20"/>
          <w:szCs w:val="20"/>
          <w:lang w:val="en-US"/>
        </w:rPr>
        <w:t>child protection system in local level and capacity building of child protection actors</w:t>
      </w:r>
      <w:r w:rsidR="00685A14" w:rsidRPr="00D94625">
        <w:rPr>
          <w:rFonts w:ascii="Gill Sans MT" w:hAnsi="Gill Sans MT" w:cs="Calibri"/>
          <w:sz w:val="20"/>
          <w:szCs w:val="20"/>
          <w:lang w:val="en-US"/>
        </w:rPr>
        <w:t xml:space="preserve">. </w:t>
      </w:r>
      <w:r w:rsidRPr="00D94625">
        <w:rPr>
          <w:rFonts w:ascii="Gill Sans MT" w:hAnsi="Gill Sans MT" w:cs="Calibri"/>
          <w:sz w:val="20"/>
          <w:szCs w:val="20"/>
          <w:lang w:val="en-US"/>
        </w:rPr>
        <w:t xml:space="preserve">In June 2021, </w:t>
      </w:r>
      <w:r w:rsidR="00A40D82" w:rsidRPr="00D94625">
        <w:rPr>
          <w:rFonts w:ascii="Gill Sans MT" w:hAnsi="Gill Sans MT" w:cs="Calibri"/>
          <w:sz w:val="20"/>
          <w:szCs w:val="20"/>
          <w:lang w:val="en-US"/>
        </w:rPr>
        <w:t xml:space="preserve">the </w:t>
      </w:r>
      <w:r w:rsidRPr="00D94625">
        <w:rPr>
          <w:rFonts w:ascii="Gill Sans MT" w:hAnsi="Gill Sans MT" w:cs="Calibri"/>
          <w:sz w:val="20"/>
          <w:szCs w:val="20"/>
          <w:lang w:val="en-US"/>
        </w:rPr>
        <w:t>Ministry of Federal Affairs and General Administration (</w:t>
      </w:r>
      <w:proofErr w:type="spellStart"/>
      <w:r w:rsidRPr="00D94625">
        <w:rPr>
          <w:rFonts w:ascii="Gill Sans MT" w:hAnsi="Gill Sans MT" w:cs="Calibri"/>
          <w:sz w:val="20"/>
          <w:szCs w:val="20"/>
          <w:lang w:val="en-US"/>
        </w:rPr>
        <w:t>MoFAGA</w:t>
      </w:r>
      <w:proofErr w:type="spellEnd"/>
      <w:r w:rsidRPr="00D94625">
        <w:rPr>
          <w:rFonts w:ascii="Gill Sans MT" w:hAnsi="Gill Sans MT" w:cs="Calibri"/>
          <w:sz w:val="20"/>
          <w:szCs w:val="20"/>
          <w:lang w:val="en-US"/>
        </w:rPr>
        <w:t>) endorsed an implementation guideline of Child Friendly Local Governance (CFLG) initiative</w:t>
      </w:r>
      <w:r w:rsidR="001C1F0E" w:rsidRPr="00D94625">
        <w:rPr>
          <w:rStyle w:val="FootnoteReference"/>
          <w:rFonts w:ascii="Gill Sans MT" w:hAnsi="Gill Sans MT" w:cs="Calibri"/>
          <w:sz w:val="20"/>
          <w:szCs w:val="20"/>
          <w:lang w:val="en-US"/>
        </w:rPr>
        <w:footnoteReference w:id="13"/>
      </w:r>
      <w:r w:rsidRPr="00D94625">
        <w:rPr>
          <w:rFonts w:ascii="Gill Sans MT" w:hAnsi="Gill Sans MT" w:cs="Calibri"/>
          <w:sz w:val="20"/>
          <w:szCs w:val="20"/>
          <w:lang w:val="en-US"/>
        </w:rPr>
        <w:t xml:space="preserve">, one of the indicators for the local governments is to take actions on </w:t>
      </w:r>
      <w:r w:rsidR="0066220C">
        <w:rPr>
          <w:rFonts w:ascii="Gill Sans MT" w:hAnsi="Gill Sans MT" w:cs="Calibri"/>
          <w:sz w:val="20"/>
          <w:szCs w:val="20"/>
          <w:lang w:val="en-US"/>
        </w:rPr>
        <w:t xml:space="preserve">the </w:t>
      </w:r>
      <w:r w:rsidRPr="00D94625">
        <w:rPr>
          <w:rFonts w:ascii="Gill Sans MT" w:hAnsi="Gill Sans MT" w:cs="Calibri"/>
          <w:sz w:val="20"/>
          <w:szCs w:val="20"/>
          <w:lang w:val="en-US"/>
        </w:rPr>
        <w:t>elimination of child marriage at the local level.</w:t>
      </w:r>
      <w:r w:rsidR="00484902" w:rsidRPr="00D94625">
        <w:rPr>
          <w:rFonts w:ascii="Gill Sans MT" w:hAnsi="Gill Sans MT" w:cs="Calibri"/>
          <w:sz w:val="20"/>
          <w:szCs w:val="20"/>
          <w:lang w:val="en-US"/>
        </w:rPr>
        <w:t xml:space="preserve"> For instance, the province of </w:t>
      </w:r>
      <w:r w:rsidRPr="00D94625">
        <w:rPr>
          <w:rFonts w:ascii="Gill Sans MT" w:hAnsi="Gill Sans MT" w:cs="Calibri"/>
          <w:sz w:val="20"/>
          <w:szCs w:val="20"/>
          <w:lang w:val="en-US"/>
        </w:rPr>
        <w:t xml:space="preserve">Madhesh started implementation of "Beti </w:t>
      </w:r>
      <w:proofErr w:type="spellStart"/>
      <w:r w:rsidRPr="00D94625">
        <w:rPr>
          <w:rFonts w:ascii="Gill Sans MT" w:hAnsi="Gill Sans MT" w:cs="Calibri"/>
          <w:sz w:val="20"/>
          <w:szCs w:val="20"/>
          <w:lang w:val="en-US"/>
        </w:rPr>
        <w:t>Bachau</w:t>
      </w:r>
      <w:proofErr w:type="spellEnd"/>
      <w:r w:rsidRPr="00D94625">
        <w:rPr>
          <w:rFonts w:ascii="Gill Sans MT" w:hAnsi="Gill Sans MT" w:cs="Calibri"/>
          <w:sz w:val="20"/>
          <w:szCs w:val="20"/>
          <w:lang w:val="en-US"/>
        </w:rPr>
        <w:t xml:space="preserve">-Beti </w:t>
      </w:r>
      <w:proofErr w:type="spellStart"/>
      <w:r w:rsidRPr="00D94625">
        <w:rPr>
          <w:rFonts w:ascii="Gill Sans MT" w:hAnsi="Gill Sans MT" w:cs="Calibri"/>
          <w:sz w:val="20"/>
          <w:szCs w:val="20"/>
          <w:lang w:val="en-US"/>
        </w:rPr>
        <w:t>Padhau</w:t>
      </w:r>
      <w:proofErr w:type="spellEnd"/>
      <w:r w:rsidRPr="00D94625">
        <w:rPr>
          <w:rFonts w:ascii="Gill Sans MT" w:hAnsi="Gill Sans MT" w:cs="Calibri"/>
          <w:sz w:val="20"/>
          <w:szCs w:val="20"/>
          <w:lang w:val="en-US"/>
        </w:rPr>
        <w:t xml:space="preserve"> (save daughter, educate daughter)" campaign</w:t>
      </w:r>
      <w:r w:rsidR="001745BE" w:rsidRPr="00D94625">
        <w:rPr>
          <w:rStyle w:val="FootnoteReference"/>
          <w:rFonts w:ascii="Gill Sans MT" w:hAnsi="Gill Sans MT" w:cs="Calibri"/>
          <w:sz w:val="20"/>
          <w:szCs w:val="20"/>
          <w:lang w:val="en-US"/>
        </w:rPr>
        <w:footnoteReference w:id="14"/>
      </w:r>
      <w:r w:rsidRPr="00D94625">
        <w:rPr>
          <w:rFonts w:ascii="Gill Sans MT" w:hAnsi="Gill Sans MT" w:cs="Calibri"/>
          <w:sz w:val="20"/>
          <w:szCs w:val="20"/>
          <w:lang w:val="en-US"/>
        </w:rPr>
        <w:t xml:space="preserve">, an insurance scheme to encourage girls' education since 2019. Each of the insured </w:t>
      </w:r>
      <w:r w:rsidR="00B4389E" w:rsidRPr="00D94625">
        <w:rPr>
          <w:rFonts w:ascii="Gill Sans MT" w:hAnsi="Gill Sans MT" w:cs="Calibri"/>
          <w:sz w:val="20"/>
          <w:szCs w:val="20"/>
          <w:lang w:val="en-US"/>
        </w:rPr>
        <w:t>girls receive</w:t>
      </w:r>
      <w:r w:rsidRPr="00D94625">
        <w:rPr>
          <w:rFonts w:ascii="Gill Sans MT" w:hAnsi="Gill Sans MT" w:cs="Calibri"/>
          <w:sz w:val="20"/>
          <w:szCs w:val="20"/>
          <w:lang w:val="en-US"/>
        </w:rPr>
        <w:t xml:space="preserve"> NRs. 125,000 for their education. Similarly, </w:t>
      </w:r>
      <w:proofErr w:type="spellStart"/>
      <w:r w:rsidRPr="00D94625">
        <w:rPr>
          <w:rFonts w:ascii="Gill Sans MT" w:hAnsi="Gill Sans MT" w:cs="Calibri"/>
          <w:sz w:val="20"/>
          <w:szCs w:val="20"/>
          <w:lang w:val="en-US"/>
        </w:rPr>
        <w:t>Karnali</w:t>
      </w:r>
      <w:proofErr w:type="spellEnd"/>
      <w:r w:rsidRPr="00D94625">
        <w:rPr>
          <w:rFonts w:ascii="Gill Sans MT" w:hAnsi="Gill Sans MT" w:cs="Calibri"/>
          <w:sz w:val="20"/>
          <w:szCs w:val="20"/>
          <w:lang w:val="en-US"/>
        </w:rPr>
        <w:t xml:space="preserve"> provincial government launched a popular program "Bank Account for Daughters to Secure </w:t>
      </w:r>
      <w:proofErr w:type="spellStart"/>
      <w:r w:rsidRPr="00D94625">
        <w:rPr>
          <w:rFonts w:ascii="Gill Sans MT" w:hAnsi="Gill Sans MT" w:cs="Calibri"/>
          <w:sz w:val="20"/>
          <w:szCs w:val="20"/>
          <w:lang w:val="en-US"/>
        </w:rPr>
        <w:t>Life"program</w:t>
      </w:r>
      <w:proofErr w:type="spellEnd"/>
      <w:r w:rsidRPr="00D94625">
        <w:rPr>
          <w:rFonts w:ascii="Gill Sans MT" w:hAnsi="Gill Sans MT" w:cs="Calibri"/>
          <w:sz w:val="20"/>
          <w:szCs w:val="20"/>
          <w:lang w:val="en-US"/>
        </w:rPr>
        <w:t xml:space="preserve"> from the fiscal year 2019/20 with an objective to reduce child marriage and provide financial security to girls when they grow up. According to Ministry for Social Development </w:t>
      </w:r>
      <w:proofErr w:type="spellStart"/>
      <w:r w:rsidRPr="00D94625">
        <w:rPr>
          <w:rFonts w:ascii="Gill Sans MT" w:hAnsi="Gill Sans MT" w:cs="Calibri"/>
          <w:sz w:val="20"/>
          <w:szCs w:val="20"/>
          <w:lang w:val="en-US"/>
        </w:rPr>
        <w:t>Karnali</w:t>
      </w:r>
      <w:proofErr w:type="spellEnd"/>
      <w:r w:rsidRPr="00D94625">
        <w:rPr>
          <w:rFonts w:ascii="Gill Sans MT" w:hAnsi="Gill Sans MT" w:cs="Calibri"/>
          <w:sz w:val="20"/>
          <w:szCs w:val="20"/>
          <w:lang w:val="en-US"/>
        </w:rPr>
        <w:t>, the bank accounts of about 13,814 girls have been opened under the program until 2021. In the same way, most of the municipalities</w:t>
      </w:r>
      <w:r w:rsidR="00F40F11" w:rsidRPr="00D94625">
        <w:rPr>
          <w:rFonts w:ascii="Gill Sans MT" w:hAnsi="Gill Sans MT" w:cs="Calibri"/>
          <w:sz w:val="20"/>
          <w:szCs w:val="20"/>
          <w:lang w:val="en-US"/>
        </w:rPr>
        <w:t xml:space="preserve"> </w:t>
      </w:r>
      <w:r w:rsidRPr="00D94625">
        <w:rPr>
          <w:rFonts w:ascii="Gill Sans MT" w:hAnsi="Gill Sans MT" w:cs="Calibri"/>
          <w:sz w:val="20"/>
          <w:szCs w:val="20"/>
          <w:lang w:val="en-US"/>
        </w:rPr>
        <w:t xml:space="preserve">have formed Municipal Child Rights Committee (MCRC) following </w:t>
      </w:r>
      <w:r w:rsidR="00803EF5">
        <w:rPr>
          <w:rFonts w:ascii="Gill Sans MT" w:hAnsi="Gill Sans MT" w:cs="Calibri"/>
          <w:sz w:val="20"/>
          <w:szCs w:val="20"/>
          <w:lang w:val="en-US"/>
        </w:rPr>
        <w:t xml:space="preserve">the </w:t>
      </w:r>
      <w:r w:rsidRPr="00D94625">
        <w:rPr>
          <w:rFonts w:ascii="Gill Sans MT" w:hAnsi="Gill Sans MT" w:cs="Calibri"/>
          <w:sz w:val="20"/>
          <w:szCs w:val="20"/>
          <w:lang w:val="en-US"/>
        </w:rPr>
        <w:t>new children's act 2018</w:t>
      </w:r>
      <w:r w:rsidR="00484902" w:rsidRPr="00D94625">
        <w:rPr>
          <w:rStyle w:val="FootnoteReference"/>
          <w:rFonts w:ascii="Gill Sans MT" w:hAnsi="Gill Sans MT" w:cs="Calibri"/>
          <w:sz w:val="20"/>
          <w:szCs w:val="20"/>
          <w:lang w:val="en-US"/>
        </w:rPr>
        <w:footnoteReference w:id="15"/>
      </w:r>
      <w:r w:rsidRPr="00D94625">
        <w:rPr>
          <w:rFonts w:ascii="Gill Sans MT" w:hAnsi="Gill Sans MT" w:cs="Calibri"/>
          <w:sz w:val="20"/>
          <w:szCs w:val="20"/>
          <w:lang w:val="en-US"/>
        </w:rPr>
        <w:t xml:space="preserve"> and started working to end child marriage through the endorsement of multi sectoral strategy to end child marriage.</w:t>
      </w:r>
    </w:p>
    <w:p w14:paraId="19CD852F" w14:textId="77777777" w:rsidR="00685A14" w:rsidRPr="00D94625" w:rsidRDefault="00685A14" w:rsidP="00D94625">
      <w:pPr>
        <w:spacing w:after="0" w:line="240" w:lineRule="auto"/>
        <w:jc w:val="both"/>
        <w:rPr>
          <w:rFonts w:ascii="Gill Sans MT" w:hAnsi="Gill Sans MT" w:cs="Calibri"/>
          <w:sz w:val="20"/>
          <w:szCs w:val="20"/>
          <w:lang w:val="en-US"/>
        </w:rPr>
      </w:pPr>
    </w:p>
    <w:p w14:paraId="546550B5" w14:textId="3A625C7E" w:rsidR="00940C54" w:rsidRPr="00D94625" w:rsidRDefault="00D6480C" w:rsidP="00D94625">
      <w:pPr>
        <w:spacing w:line="240" w:lineRule="auto"/>
        <w:contextualSpacing/>
        <w:jc w:val="both"/>
        <w:rPr>
          <w:rFonts w:ascii="Gill Sans MT" w:hAnsi="Gill Sans MT"/>
          <w:b/>
          <w:bCs/>
          <w:sz w:val="20"/>
          <w:szCs w:val="20"/>
          <w:u w:val="single"/>
        </w:rPr>
      </w:pPr>
      <w:r w:rsidRPr="00D94625">
        <w:rPr>
          <w:rFonts w:ascii="Gill Sans MT" w:hAnsi="Gill Sans MT"/>
          <w:b/>
          <w:bCs/>
          <w:sz w:val="20"/>
          <w:szCs w:val="20"/>
          <w:u w:val="single"/>
        </w:rPr>
        <w:t>The legal consequences of CEFM, including criminal, civil, administrative, and other legal consequences, as well as any documented effects, positive or negative, planned, or unintended, of the application of the legal framework</w:t>
      </w:r>
    </w:p>
    <w:p w14:paraId="5D826B03" w14:textId="77777777" w:rsidR="00A035E2" w:rsidRPr="00D94625" w:rsidRDefault="00A035E2" w:rsidP="00D94625">
      <w:pPr>
        <w:spacing w:line="240" w:lineRule="auto"/>
        <w:contextualSpacing/>
        <w:jc w:val="both"/>
        <w:rPr>
          <w:rFonts w:ascii="Gill Sans MT" w:hAnsi="Gill Sans MT"/>
          <w:b/>
          <w:bCs/>
          <w:sz w:val="20"/>
          <w:szCs w:val="20"/>
        </w:rPr>
      </w:pPr>
    </w:p>
    <w:p w14:paraId="59ADECB6" w14:textId="5867FF66" w:rsidR="00AE424C" w:rsidRPr="00A44E3C" w:rsidRDefault="002C42AC" w:rsidP="00D94625">
      <w:pPr>
        <w:spacing w:after="0" w:line="240" w:lineRule="auto"/>
        <w:contextualSpacing/>
        <w:jc w:val="both"/>
        <w:rPr>
          <w:rFonts w:ascii="Gill Sans MT" w:hAnsi="Gill Sans MT"/>
          <w:sz w:val="20"/>
          <w:szCs w:val="20"/>
          <w:lang w:val="en-US"/>
        </w:rPr>
      </w:pPr>
      <w:r w:rsidRPr="00D94625">
        <w:rPr>
          <w:rFonts w:ascii="Gill Sans MT" w:hAnsi="Gill Sans MT"/>
          <w:sz w:val="20"/>
          <w:szCs w:val="20"/>
          <w:lang w:val="en-US"/>
        </w:rPr>
        <w:t>Child marriage is defined as a formal or informal union before the age of 18</w:t>
      </w:r>
      <w:r w:rsidR="00FC65CF" w:rsidRPr="00D94625">
        <w:rPr>
          <w:rStyle w:val="FootnoteReference"/>
          <w:rFonts w:ascii="Gill Sans MT" w:hAnsi="Gill Sans MT" w:cs="Calibri"/>
          <w:sz w:val="20"/>
          <w:szCs w:val="20"/>
          <w:lang w:val="en-US"/>
        </w:rPr>
        <w:footnoteReference w:id="16"/>
      </w:r>
      <w:r w:rsidRPr="00D94625">
        <w:rPr>
          <w:rFonts w:ascii="Gill Sans MT" w:hAnsi="Gill Sans MT"/>
          <w:sz w:val="20"/>
          <w:szCs w:val="20"/>
          <w:lang w:val="en-US"/>
        </w:rPr>
        <w:t>.</w:t>
      </w:r>
      <w:r w:rsidR="00A53484" w:rsidRPr="00D94625">
        <w:rPr>
          <w:rFonts w:ascii="Gill Sans MT" w:hAnsi="Gill Sans MT" w:cs="Arial"/>
          <w:sz w:val="20"/>
          <w:szCs w:val="20"/>
        </w:rPr>
        <w:t xml:space="preserve"> </w:t>
      </w:r>
      <w:r w:rsidR="00A53484" w:rsidRPr="00D94625">
        <w:rPr>
          <w:rFonts w:ascii="Gill Sans MT" w:hAnsi="Gill Sans MT" w:cs="Arial"/>
          <w:sz w:val="20"/>
          <w:szCs w:val="20"/>
          <w:lang w:val="en-US"/>
        </w:rPr>
        <w:t>i</w:t>
      </w:r>
      <w:r w:rsidR="00A53484" w:rsidRPr="00D94625">
        <w:rPr>
          <w:rFonts w:ascii="Gill Sans MT" w:hAnsi="Gill Sans MT"/>
          <w:sz w:val="20"/>
          <w:szCs w:val="20"/>
          <w:lang w:val="en-US"/>
        </w:rPr>
        <w:t xml:space="preserve">t is important to recognize that the practice of CEFM includes those that are formalized, registered, and recognized by custom, religion, or the state, as well as those that are not formalized, are unregistered, and are not recognized by custom, religion, or the state. It is </w:t>
      </w:r>
      <w:r w:rsidR="00D0039C">
        <w:rPr>
          <w:rFonts w:ascii="Gill Sans MT" w:hAnsi="Gill Sans MT"/>
          <w:sz w:val="20"/>
          <w:szCs w:val="20"/>
          <w:lang w:val="en-US"/>
        </w:rPr>
        <w:t xml:space="preserve">key </w:t>
      </w:r>
      <w:r w:rsidR="00A53484" w:rsidRPr="00D94625">
        <w:rPr>
          <w:rFonts w:ascii="Gill Sans MT" w:hAnsi="Gill Sans MT"/>
          <w:sz w:val="20"/>
          <w:szCs w:val="20"/>
          <w:lang w:val="en-US"/>
        </w:rPr>
        <w:t>to collect information on the entire range of</w:t>
      </w:r>
      <w:r w:rsidR="00D94625">
        <w:rPr>
          <w:rFonts w:ascii="Gill Sans MT" w:hAnsi="Gill Sans MT"/>
          <w:sz w:val="20"/>
          <w:szCs w:val="20"/>
          <w:lang w:val="en-US"/>
        </w:rPr>
        <w:t xml:space="preserve"> </w:t>
      </w:r>
      <w:r w:rsidR="00A53484" w:rsidRPr="00D94625">
        <w:rPr>
          <w:rFonts w:ascii="Gill Sans MT" w:hAnsi="Gill Sans MT"/>
          <w:sz w:val="20"/>
          <w:szCs w:val="20"/>
          <w:lang w:val="en-US"/>
        </w:rPr>
        <w:t>CEFM in order to eradicate it globally.</w:t>
      </w:r>
      <w:r w:rsidR="00A53484" w:rsidRPr="00D94625">
        <w:rPr>
          <w:rStyle w:val="FootnoteReference"/>
          <w:rFonts w:ascii="Gill Sans MT" w:hAnsi="Gill Sans MT"/>
          <w:sz w:val="20"/>
          <w:szCs w:val="20"/>
          <w:lang w:val="en-US"/>
        </w:rPr>
        <w:footnoteReference w:id="17"/>
      </w:r>
      <w:r w:rsidRPr="00D94625">
        <w:rPr>
          <w:rFonts w:ascii="Gill Sans MT" w:hAnsi="Gill Sans MT"/>
          <w:sz w:val="20"/>
          <w:szCs w:val="20"/>
          <w:lang w:val="en-US"/>
        </w:rPr>
        <w:t xml:space="preserve"> </w:t>
      </w:r>
      <w:r w:rsidR="00AE424C" w:rsidRPr="00D94625">
        <w:rPr>
          <w:rFonts w:ascii="Gill Sans MT" w:hAnsi="Gill Sans MT"/>
          <w:sz w:val="20"/>
          <w:szCs w:val="20"/>
          <w:lang w:val="en-US"/>
        </w:rPr>
        <w:t>South Asia has the highest rates of child marriage in the world. Almost half (45%) of all women aged 20-</w:t>
      </w:r>
      <w:r w:rsidR="00AE424C" w:rsidRPr="00A44E3C">
        <w:rPr>
          <w:rFonts w:ascii="Gill Sans MT" w:hAnsi="Gill Sans MT"/>
          <w:sz w:val="20"/>
          <w:szCs w:val="20"/>
          <w:lang w:val="en-US"/>
        </w:rPr>
        <w:t>24 years reported being married before the age of 18. Almost one in five girls (17%) are married before the age of 15.</w:t>
      </w:r>
      <w:r w:rsidR="00AE424C" w:rsidRPr="00A44E3C">
        <w:rPr>
          <w:rStyle w:val="FootnoteReference"/>
          <w:rFonts w:ascii="Gill Sans MT" w:hAnsi="Gill Sans MT"/>
          <w:sz w:val="20"/>
          <w:szCs w:val="20"/>
          <w:lang w:val="en-US"/>
        </w:rPr>
        <w:footnoteReference w:id="18"/>
      </w:r>
      <w:r w:rsidR="00AE424C" w:rsidRPr="00A44E3C">
        <w:rPr>
          <w:rFonts w:ascii="Gill Sans MT" w:hAnsi="Gill Sans MT"/>
          <w:sz w:val="20"/>
          <w:szCs w:val="20"/>
          <w:lang w:val="en-US"/>
        </w:rPr>
        <w:t xml:space="preserve"> </w:t>
      </w:r>
      <w:r w:rsidR="00D94625" w:rsidRPr="00A44E3C">
        <w:rPr>
          <w:rFonts w:ascii="Gill Sans MT" w:hAnsi="Gill Sans MT"/>
          <w:sz w:val="20"/>
          <w:szCs w:val="20"/>
          <w:lang w:val="en-US"/>
        </w:rPr>
        <w:t>Unlike</w:t>
      </w:r>
      <w:r w:rsidR="00D94625" w:rsidRPr="00A44E3C">
        <w:rPr>
          <w:rStyle w:val="markedcontent"/>
          <w:rFonts w:ascii="Gill Sans MT" w:hAnsi="Gill Sans MT" w:cs="Arial"/>
          <w:sz w:val="20"/>
          <w:szCs w:val="20"/>
        </w:rPr>
        <w:t xml:space="preserve"> </w:t>
      </w:r>
      <w:r w:rsidR="00D94625" w:rsidRPr="00A44E3C">
        <w:rPr>
          <w:rFonts w:ascii="Gill Sans MT" w:hAnsi="Gill Sans MT"/>
          <w:sz w:val="20"/>
          <w:szCs w:val="20"/>
          <w:lang w:val="en-US"/>
        </w:rPr>
        <w:t>in South Asia where family members typically determine the spouse a girl will marry, most girls in the Africa study settings have greater autonomy in partner choice selection</w:t>
      </w:r>
      <w:r w:rsidR="00D94625" w:rsidRPr="00A44E3C">
        <w:rPr>
          <w:rStyle w:val="markedcontent"/>
          <w:rFonts w:ascii="Gill Sans MT" w:hAnsi="Gill Sans MT" w:cs="Arial"/>
          <w:sz w:val="20"/>
          <w:szCs w:val="20"/>
        </w:rPr>
        <w:t>.</w:t>
      </w:r>
      <w:r w:rsidR="00BC5F71" w:rsidRPr="00A44E3C">
        <w:rPr>
          <w:rFonts w:ascii="Gill Sans MT" w:hAnsi="Gill Sans MT"/>
          <w:sz w:val="20"/>
          <w:szCs w:val="20"/>
          <w:lang w:val="en-US"/>
        </w:rPr>
        <w:t>I</w:t>
      </w:r>
      <w:r w:rsidR="00AE424C" w:rsidRPr="00A44E3C">
        <w:rPr>
          <w:rFonts w:ascii="Gill Sans MT" w:hAnsi="Gill Sans MT"/>
          <w:sz w:val="20"/>
          <w:szCs w:val="20"/>
          <w:lang w:val="en-US"/>
        </w:rPr>
        <w:t>n Zambia the most common union are peer marriage between girls (from the age of 12+) and boys (from the age of 14+)</w:t>
      </w:r>
      <w:r w:rsidR="00AE424C" w:rsidRPr="00A44E3C">
        <w:rPr>
          <w:rStyle w:val="FootnoteReference"/>
          <w:rFonts w:ascii="Gill Sans MT" w:hAnsi="Gill Sans MT"/>
          <w:sz w:val="20"/>
          <w:szCs w:val="20"/>
          <w:lang w:val="en-US"/>
        </w:rPr>
        <w:footnoteReference w:id="19"/>
      </w:r>
      <w:r w:rsidR="00AE424C" w:rsidRPr="00A44E3C">
        <w:rPr>
          <w:rFonts w:ascii="Gill Sans MT" w:hAnsi="Gill Sans MT"/>
          <w:sz w:val="20"/>
          <w:szCs w:val="20"/>
          <w:lang w:val="en-US"/>
        </w:rPr>
        <w:t>. Children are “marrying” often making the decision to do so with or without the support of parents</w:t>
      </w:r>
      <w:r w:rsidR="00AE424C" w:rsidRPr="00A44E3C">
        <w:rPr>
          <w:rStyle w:val="FootnoteReference"/>
          <w:rFonts w:ascii="Gill Sans MT" w:hAnsi="Gill Sans MT"/>
          <w:sz w:val="20"/>
          <w:szCs w:val="20"/>
          <w:lang w:val="en-US"/>
        </w:rPr>
        <w:footnoteReference w:id="20"/>
      </w:r>
      <w:r w:rsidR="00AE424C" w:rsidRPr="00A44E3C">
        <w:rPr>
          <w:rFonts w:ascii="Gill Sans MT" w:hAnsi="Gill Sans MT"/>
          <w:sz w:val="20"/>
          <w:szCs w:val="20"/>
          <w:lang w:val="en-US"/>
        </w:rPr>
        <w:t>.</w:t>
      </w:r>
    </w:p>
    <w:p w14:paraId="022E4970" w14:textId="60A35D12" w:rsidR="00AE424C" w:rsidRPr="00D87DF3" w:rsidRDefault="00AE424C" w:rsidP="00AE424C">
      <w:pPr>
        <w:spacing w:after="0"/>
        <w:contextualSpacing/>
        <w:jc w:val="both"/>
        <w:rPr>
          <w:rFonts w:ascii="Gill Sans MT" w:hAnsi="Gill Sans MT"/>
          <w:lang w:val="en-US"/>
        </w:rPr>
      </w:pPr>
    </w:p>
    <w:p w14:paraId="4D2EB9BA" w14:textId="283AD028" w:rsidR="00A035E2" w:rsidRPr="0077708D" w:rsidRDefault="00A035E2" w:rsidP="006F687E">
      <w:pPr>
        <w:spacing w:after="0"/>
        <w:contextualSpacing/>
        <w:jc w:val="both"/>
        <w:rPr>
          <w:rFonts w:ascii="Gill Sans MT" w:hAnsi="Gill Sans MT"/>
          <w:sz w:val="20"/>
          <w:szCs w:val="20"/>
          <w:lang w:val="en-US"/>
        </w:rPr>
      </w:pPr>
      <w:r w:rsidRPr="0077708D">
        <w:rPr>
          <w:rFonts w:ascii="Gill Sans MT" w:hAnsi="Gill Sans MT"/>
          <w:sz w:val="20"/>
          <w:szCs w:val="20"/>
          <w:lang w:val="en-US"/>
        </w:rPr>
        <w:t xml:space="preserve">In Zambia, there is no offense in the Penal Code prescribed as Child/Early or Forced Marriage. </w:t>
      </w:r>
      <w:r w:rsidR="00F40F11" w:rsidRPr="0077708D">
        <w:rPr>
          <w:rFonts w:ascii="Gill Sans MT" w:hAnsi="Gill Sans MT"/>
          <w:sz w:val="20"/>
          <w:szCs w:val="20"/>
          <w:lang w:val="en-US"/>
        </w:rPr>
        <w:t xml:space="preserve">The </w:t>
      </w:r>
      <w:r w:rsidRPr="0077708D">
        <w:rPr>
          <w:rFonts w:ascii="Gill Sans MT" w:hAnsi="Gill Sans MT"/>
          <w:sz w:val="20"/>
          <w:szCs w:val="20"/>
          <w:lang w:val="en-US"/>
        </w:rPr>
        <w:t>legal consequences of marrying a child in Zambia who is below the age of 16 is charged as a defilement offense and the penalty include a minimum sentence of 15 years</w:t>
      </w:r>
      <w:r w:rsidRPr="0077708D">
        <w:rPr>
          <w:rStyle w:val="FootnoteReference"/>
          <w:rFonts w:ascii="Gill Sans MT" w:hAnsi="Gill Sans MT" w:cs="Calibri"/>
          <w:sz w:val="20"/>
          <w:szCs w:val="20"/>
          <w:lang w:val="en-US"/>
        </w:rPr>
        <w:footnoteReference w:id="21"/>
      </w:r>
      <w:r w:rsidRPr="0077708D">
        <w:rPr>
          <w:rFonts w:ascii="Gill Sans MT" w:hAnsi="Gill Sans MT"/>
          <w:sz w:val="20"/>
          <w:szCs w:val="20"/>
          <w:lang w:val="en-US"/>
        </w:rPr>
        <w:t>. While for those that are above 16 and are below 21, there is no clear legal provision for the penalty to perpetrators of CEFM other than charging it as rape in an event that there was force involved. Hence the need to amend the current Marriage Act</w:t>
      </w:r>
      <w:r w:rsidR="00FA6336" w:rsidRPr="0077708D">
        <w:rPr>
          <w:rStyle w:val="FootnoteReference"/>
          <w:rFonts w:ascii="Gill Sans MT" w:hAnsi="Gill Sans MT"/>
          <w:sz w:val="20"/>
          <w:szCs w:val="20"/>
          <w:lang w:val="en-US"/>
        </w:rPr>
        <w:footnoteReference w:id="22"/>
      </w:r>
      <w:r w:rsidRPr="0077708D">
        <w:rPr>
          <w:rFonts w:ascii="Gill Sans MT" w:hAnsi="Gill Sans MT"/>
          <w:sz w:val="20"/>
          <w:szCs w:val="20"/>
          <w:lang w:val="en-US"/>
        </w:rPr>
        <w:t xml:space="preserve"> to take into consideration a robust approach in addressing CEFM and </w:t>
      </w:r>
      <w:r w:rsidRPr="0077708D">
        <w:rPr>
          <w:rFonts w:ascii="Gill Sans MT" w:hAnsi="Gill Sans MT"/>
          <w:sz w:val="20"/>
          <w:szCs w:val="20"/>
          <w:lang w:val="en-US"/>
        </w:rPr>
        <w:lastRenderedPageBreak/>
        <w:t xml:space="preserve">amend the Penal Code to </w:t>
      </w:r>
      <w:r w:rsidR="001A2CD4">
        <w:rPr>
          <w:rFonts w:ascii="Gill Sans MT" w:hAnsi="Gill Sans MT"/>
          <w:sz w:val="20"/>
          <w:szCs w:val="20"/>
          <w:lang w:val="en-US"/>
        </w:rPr>
        <w:t>include</w:t>
      </w:r>
      <w:r w:rsidRPr="0077708D">
        <w:rPr>
          <w:rFonts w:ascii="Gill Sans MT" w:hAnsi="Gill Sans MT"/>
          <w:sz w:val="20"/>
          <w:szCs w:val="20"/>
          <w:lang w:val="en-US"/>
        </w:rPr>
        <w:t xml:space="preserve"> penalties around ending CEFM in the country. At community level</w:t>
      </w:r>
      <w:r w:rsidR="006D13CB" w:rsidRPr="0077708D">
        <w:rPr>
          <w:rFonts w:ascii="Gill Sans MT" w:hAnsi="Gill Sans MT"/>
          <w:sz w:val="20"/>
          <w:szCs w:val="20"/>
          <w:lang w:val="en-US"/>
        </w:rPr>
        <w:t xml:space="preserve">, </w:t>
      </w:r>
      <w:r w:rsidRPr="0077708D">
        <w:rPr>
          <w:rFonts w:ascii="Gill Sans MT" w:hAnsi="Gill Sans MT"/>
          <w:sz w:val="20"/>
          <w:szCs w:val="20"/>
          <w:lang w:val="en-US"/>
        </w:rPr>
        <w:t xml:space="preserve"> Save the Children</w:t>
      </w:r>
      <w:r w:rsidR="006D13CB" w:rsidRPr="0077708D">
        <w:rPr>
          <w:rFonts w:ascii="Gill Sans MT" w:hAnsi="Gill Sans MT"/>
          <w:sz w:val="20"/>
          <w:szCs w:val="20"/>
          <w:lang w:val="en-US"/>
        </w:rPr>
        <w:t xml:space="preserve"> and </w:t>
      </w:r>
      <w:r w:rsidRPr="0077708D">
        <w:rPr>
          <w:rFonts w:ascii="Gill Sans MT" w:hAnsi="Gill Sans MT"/>
          <w:sz w:val="20"/>
          <w:szCs w:val="20"/>
          <w:lang w:val="en-US"/>
        </w:rPr>
        <w:t>Caritas has been able to establish Community Child Protection Communities (CCPC</w:t>
      </w:r>
      <w:r w:rsidR="00E37339" w:rsidRPr="0077708D">
        <w:rPr>
          <w:rFonts w:ascii="Gill Sans MT" w:hAnsi="Gill Sans MT"/>
          <w:sz w:val="20"/>
          <w:szCs w:val="20"/>
          <w:lang w:val="en-US"/>
        </w:rPr>
        <w:t xml:space="preserve">s). CCPCs work </w:t>
      </w:r>
      <w:r w:rsidRPr="0077708D">
        <w:rPr>
          <w:rFonts w:ascii="Gill Sans MT" w:hAnsi="Gill Sans MT"/>
          <w:sz w:val="20"/>
          <w:szCs w:val="20"/>
          <w:lang w:val="en-US"/>
        </w:rPr>
        <w:t>in collaboration with the traditional leaders in dealing with CEFM  for children below the age 21 but are above 16 years</w:t>
      </w:r>
      <w:r w:rsidR="00E37339" w:rsidRPr="0077708D">
        <w:rPr>
          <w:rFonts w:ascii="Gill Sans MT" w:hAnsi="Gill Sans MT"/>
          <w:sz w:val="20"/>
          <w:szCs w:val="20"/>
          <w:lang w:val="en-US"/>
        </w:rPr>
        <w:t xml:space="preserve">. </w:t>
      </w:r>
    </w:p>
    <w:p w14:paraId="11E9878D" w14:textId="4701DFD9" w:rsidR="00C75B86" w:rsidRPr="0077708D" w:rsidRDefault="00C75B86" w:rsidP="006F687E">
      <w:pPr>
        <w:spacing w:after="0"/>
        <w:contextualSpacing/>
        <w:jc w:val="both"/>
        <w:rPr>
          <w:rFonts w:ascii="Gill Sans MT" w:hAnsi="Gill Sans MT"/>
          <w:sz w:val="20"/>
          <w:szCs w:val="20"/>
          <w:lang w:val="en-US"/>
        </w:rPr>
      </w:pPr>
    </w:p>
    <w:p w14:paraId="5527AF64" w14:textId="4B85E38D" w:rsidR="00940C54" w:rsidRPr="0077708D" w:rsidRDefault="00C75B86" w:rsidP="00A6139F">
      <w:pPr>
        <w:jc w:val="both"/>
        <w:rPr>
          <w:rFonts w:ascii="Times New Roman" w:hAnsi="Times New Roman" w:cs="Times New Roman"/>
          <w:i/>
          <w:iCs/>
          <w:sz w:val="20"/>
          <w:szCs w:val="20"/>
        </w:rPr>
      </w:pPr>
      <w:r w:rsidRPr="0077708D">
        <w:rPr>
          <w:rFonts w:ascii="Gill Sans MT" w:hAnsi="Gill Sans MT"/>
          <w:sz w:val="20"/>
          <w:szCs w:val="20"/>
          <w:lang w:val="en-US"/>
        </w:rPr>
        <w:t>Child marriage was outlawed in Nepal in 1963 – laws currently set the minimum age for marriage at 20 years old for boys and girls</w:t>
      </w:r>
      <w:r w:rsidRPr="0077708D">
        <w:rPr>
          <w:rStyle w:val="FootnoteReference"/>
          <w:rFonts w:ascii="Gill Sans MT" w:hAnsi="Gill Sans MT"/>
          <w:sz w:val="20"/>
          <w:szCs w:val="20"/>
          <w:lang w:val="en-US"/>
        </w:rPr>
        <w:footnoteReference w:id="23"/>
      </w:r>
      <w:r w:rsidRPr="0077708D">
        <w:rPr>
          <w:rFonts w:ascii="Gill Sans MT" w:hAnsi="Gill Sans MT"/>
          <w:sz w:val="20"/>
          <w:szCs w:val="20"/>
          <w:lang w:val="en-US"/>
        </w:rPr>
        <w:t xml:space="preserve">.  </w:t>
      </w:r>
      <w:r w:rsidR="00A6139F" w:rsidRPr="0077708D">
        <w:rPr>
          <w:rFonts w:ascii="Gill Sans MT" w:hAnsi="Gill Sans MT" w:cs="Calibri"/>
          <w:sz w:val="20"/>
          <w:szCs w:val="20"/>
          <w:lang w:val="en-US"/>
        </w:rPr>
        <w:t xml:space="preserve">Children’s Act 2018 </w:t>
      </w:r>
      <w:r w:rsidR="00A6139F" w:rsidRPr="0077708D">
        <w:rPr>
          <w:rStyle w:val="FootnoteReference"/>
          <w:rFonts w:ascii="Gill Sans MT" w:hAnsi="Gill Sans MT" w:cs="Calibri"/>
          <w:sz w:val="20"/>
          <w:szCs w:val="20"/>
          <w:lang w:val="en-US"/>
        </w:rPr>
        <w:footnoteReference w:id="24"/>
      </w:r>
      <w:r w:rsidR="00A6139F" w:rsidRPr="0077708D">
        <w:rPr>
          <w:rFonts w:ascii="Gill Sans MT" w:hAnsi="Gill Sans MT" w:cs="Calibri"/>
          <w:sz w:val="20"/>
          <w:szCs w:val="20"/>
          <w:lang w:val="en-US"/>
        </w:rPr>
        <w:t>defines children for individuals below 18 years of age and prohibits child marriage, also considering those involved in organizing child marriage</w:t>
      </w:r>
      <w:r w:rsidR="00A54B06">
        <w:rPr>
          <w:rFonts w:ascii="Gill Sans MT" w:hAnsi="Gill Sans MT" w:cs="Calibri"/>
          <w:sz w:val="20"/>
          <w:szCs w:val="20"/>
          <w:lang w:val="en-US"/>
        </w:rPr>
        <w:t>s</w:t>
      </w:r>
      <w:r w:rsidR="00A6139F" w:rsidRPr="0077708D">
        <w:rPr>
          <w:rFonts w:ascii="Gill Sans MT" w:hAnsi="Gill Sans MT" w:cs="Calibri"/>
          <w:sz w:val="20"/>
          <w:szCs w:val="20"/>
          <w:lang w:val="en-US"/>
        </w:rPr>
        <w:t xml:space="preserve"> as offenders</w:t>
      </w:r>
      <w:r w:rsidR="0059100D" w:rsidRPr="0077708D">
        <w:rPr>
          <w:rFonts w:ascii="Gill Sans MT" w:hAnsi="Gill Sans MT" w:cs="Calibri"/>
          <w:sz w:val="20"/>
          <w:szCs w:val="20"/>
          <w:lang w:val="en-US"/>
        </w:rPr>
        <w:t xml:space="preserve">. </w:t>
      </w:r>
      <w:r w:rsidR="00D6480C" w:rsidRPr="0077708D">
        <w:rPr>
          <w:rFonts w:ascii="Gill Sans MT" w:hAnsi="Gill Sans MT" w:cs="Calibri"/>
          <w:sz w:val="20"/>
          <w:szCs w:val="20"/>
          <w:lang w:val="en-US"/>
        </w:rPr>
        <w:t xml:space="preserve">Despite the legal provision for the minimum age, the situation </w:t>
      </w:r>
      <w:r w:rsidR="00803EF5">
        <w:rPr>
          <w:rFonts w:ascii="Gill Sans MT" w:hAnsi="Gill Sans MT" w:cs="Calibri"/>
          <w:sz w:val="20"/>
          <w:szCs w:val="20"/>
          <w:lang w:val="en-US"/>
        </w:rPr>
        <w:t>of CEFM</w:t>
      </w:r>
      <w:r w:rsidR="00D6480C" w:rsidRPr="0077708D">
        <w:rPr>
          <w:rFonts w:ascii="Gill Sans MT" w:hAnsi="Gill Sans MT" w:cs="Calibri"/>
          <w:sz w:val="20"/>
          <w:szCs w:val="20"/>
          <w:lang w:val="en-US"/>
        </w:rPr>
        <w:t xml:space="preserve"> </w:t>
      </w:r>
      <w:r w:rsidR="00BD67BE" w:rsidRPr="0077708D">
        <w:rPr>
          <w:rFonts w:ascii="Gill Sans MT" w:hAnsi="Gill Sans MT" w:cs="Calibri"/>
          <w:sz w:val="20"/>
          <w:szCs w:val="20"/>
          <w:lang w:val="en-US"/>
        </w:rPr>
        <w:t>remains alarming.</w:t>
      </w:r>
      <w:r w:rsidR="00770BEF">
        <w:rPr>
          <w:rFonts w:ascii="Gill Sans MT" w:hAnsi="Gill Sans MT" w:cs="Calibri"/>
          <w:sz w:val="20"/>
          <w:szCs w:val="20"/>
          <w:lang w:val="en-US"/>
        </w:rPr>
        <w:t xml:space="preserve"> L</w:t>
      </w:r>
      <w:r w:rsidR="00D6480C" w:rsidRPr="0077708D">
        <w:rPr>
          <w:rFonts w:ascii="Gill Sans MT" w:hAnsi="Gill Sans MT" w:cs="Calibri"/>
          <w:sz w:val="20"/>
          <w:szCs w:val="20"/>
          <w:lang w:val="en-US"/>
        </w:rPr>
        <w:t xml:space="preserve">aw enforcement agencies are struggling to enforce the latest legal provision in relation to marriage due to cultural norms and practices. Most of the cases of illegal marriage </w:t>
      </w:r>
      <w:r w:rsidR="00BD67BE" w:rsidRPr="0077708D">
        <w:rPr>
          <w:rFonts w:ascii="Gill Sans MT" w:hAnsi="Gill Sans MT" w:cs="Calibri"/>
          <w:sz w:val="20"/>
          <w:szCs w:val="20"/>
          <w:lang w:val="en-US"/>
        </w:rPr>
        <w:t xml:space="preserve">are </w:t>
      </w:r>
      <w:r w:rsidR="00D6480C" w:rsidRPr="0077708D">
        <w:rPr>
          <w:rFonts w:ascii="Gill Sans MT" w:hAnsi="Gill Sans MT" w:cs="Calibri"/>
          <w:sz w:val="20"/>
          <w:szCs w:val="20"/>
          <w:lang w:val="en-US"/>
        </w:rPr>
        <w:t xml:space="preserve">unreported as the continuation of cultural practices, and thereby the children born out of these marriages have not got their births registered, and have been </w:t>
      </w:r>
      <w:r w:rsidR="00770BEF">
        <w:rPr>
          <w:rFonts w:ascii="Gill Sans MT" w:hAnsi="Gill Sans MT" w:cs="Calibri"/>
          <w:sz w:val="20"/>
          <w:szCs w:val="20"/>
          <w:lang w:val="en-US"/>
        </w:rPr>
        <w:t>denied access</w:t>
      </w:r>
      <w:r w:rsidR="00D6480C" w:rsidRPr="0077708D">
        <w:rPr>
          <w:rFonts w:ascii="Gill Sans MT" w:hAnsi="Gill Sans MT" w:cs="Calibri"/>
          <w:sz w:val="20"/>
          <w:szCs w:val="20"/>
          <w:lang w:val="en-US"/>
        </w:rPr>
        <w:t xml:space="preserve"> to social services. Hence, the discussion is around whether to reduce the minimum age to 18 considering the social and cultural practices in the country. Child </w:t>
      </w:r>
      <w:r w:rsidR="00940C54" w:rsidRPr="0077708D">
        <w:rPr>
          <w:rFonts w:ascii="Gill Sans MT" w:hAnsi="Gill Sans MT" w:cs="Calibri"/>
          <w:sz w:val="20"/>
          <w:szCs w:val="20"/>
          <w:lang w:val="en-US"/>
        </w:rPr>
        <w:t>r</w:t>
      </w:r>
      <w:r w:rsidR="00D6480C" w:rsidRPr="0077708D">
        <w:rPr>
          <w:rFonts w:ascii="Gill Sans MT" w:hAnsi="Gill Sans MT" w:cs="Calibri"/>
          <w:sz w:val="20"/>
          <w:szCs w:val="20"/>
          <w:lang w:val="en-US"/>
        </w:rPr>
        <w:t xml:space="preserve">ights </w:t>
      </w:r>
      <w:r w:rsidR="00940C54" w:rsidRPr="0077708D">
        <w:rPr>
          <w:rFonts w:ascii="Gill Sans MT" w:hAnsi="Gill Sans MT" w:cs="Calibri"/>
          <w:sz w:val="20"/>
          <w:szCs w:val="20"/>
          <w:lang w:val="en-US"/>
        </w:rPr>
        <w:t>ac</w:t>
      </w:r>
      <w:r w:rsidR="00D6480C" w:rsidRPr="0077708D">
        <w:rPr>
          <w:rFonts w:ascii="Gill Sans MT" w:hAnsi="Gill Sans MT" w:cs="Calibri"/>
          <w:sz w:val="20"/>
          <w:szCs w:val="20"/>
          <w:lang w:val="en-US"/>
        </w:rPr>
        <w:t xml:space="preserve">tivists argue that the minimum age of marriage should be 18 looking at the international definition on the age of child and to avoid making more marriages illegal as per the current context of Nepal. </w:t>
      </w:r>
    </w:p>
    <w:p w14:paraId="50CC3237" w14:textId="1B00EE31" w:rsidR="00D6480C" w:rsidRDefault="00D6480C" w:rsidP="004B04AE">
      <w:pPr>
        <w:spacing w:before="240" w:after="240"/>
        <w:contextualSpacing/>
        <w:jc w:val="both"/>
        <w:rPr>
          <w:rFonts w:ascii="Gill Sans MT" w:hAnsi="Gill Sans MT"/>
          <w:b/>
          <w:bCs/>
          <w:sz w:val="20"/>
          <w:szCs w:val="20"/>
          <w:u w:val="single"/>
        </w:rPr>
      </w:pPr>
      <w:r w:rsidRPr="0077708D">
        <w:rPr>
          <w:rFonts w:ascii="Gill Sans MT" w:hAnsi="Gill Sans MT"/>
          <w:b/>
          <w:bCs/>
          <w:sz w:val="20"/>
          <w:szCs w:val="20"/>
          <w:u w:val="single"/>
        </w:rPr>
        <w:t>Concrete measures implemented to ensure the integration of a human rights-based approach in judicial proceeding against CEFM, including age and gender sensitivity, victim-</w:t>
      </w:r>
      <w:r w:rsidR="0066220C" w:rsidRPr="0077708D">
        <w:rPr>
          <w:rFonts w:ascii="Gill Sans MT" w:hAnsi="Gill Sans MT"/>
          <w:b/>
          <w:bCs/>
          <w:sz w:val="20"/>
          <w:szCs w:val="20"/>
          <w:u w:val="single"/>
        </w:rPr>
        <w:t>centred</w:t>
      </w:r>
      <w:r w:rsidRPr="0077708D">
        <w:rPr>
          <w:rFonts w:ascii="Gill Sans MT" w:hAnsi="Gill Sans MT"/>
          <w:b/>
          <w:bCs/>
          <w:sz w:val="20"/>
          <w:szCs w:val="20"/>
          <w:u w:val="single"/>
        </w:rPr>
        <w:t xml:space="preserve"> approach, respect of the best interest of the child, consideration of the evolving capacities of children, including adolescents, as well as their rights to be heard</w:t>
      </w:r>
    </w:p>
    <w:p w14:paraId="52E04583" w14:textId="00D7A16A" w:rsidR="00837726" w:rsidRPr="00FC1EB8" w:rsidRDefault="00837726" w:rsidP="004B04AE">
      <w:pPr>
        <w:spacing w:before="240" w:after="240"/>
        <w:contextualSpacing/>
        <w:jc w:val="both"/>
        <w:rPr>
          <w:rFonts w:ascii="Gill Sans MT" w:hAnsi="Gill Sans MT"/>
          <w:b/>
          <w:bCs/>
          <w:sz w:val="20"/>
          <w:szCs w:val="20"/>
          <w:u w:val="single"/>
        </w:rPr>
      </w:pPr>
    </w:p>
    <w:p w14:paraId="7DACC9C5" w14:textId="32362587" w:rsidR="004B04AE" w:rsidRDefault="009273D5" w:rsidP="00AA53C2">
      <w:pPr>
        <w:spacing w:before="240" w:line="240" w:lineRule="auto"/>
        <w:jc w:val="both"/>
        <w:rPr>
          <w:rFonts w:ascii="Gill Sans MT" w:hAnsi="Gill Sans MT" w:cs="Calibri"/>
          <w:sz w:val="20"/>
          <w:szCs w:val="20"/>
          <w:lang w:val="en-US"/>
        </w:rPr>
      </w:pPr>
      <w:r w:rsidRPr="009273D5">
        <w:rPr>
          <w:rFonts w:ascii="Gill Sans MT" w:hAnsi="Gill Sans MT" w:cs="Times New Roman"/>
          <w:sz w:val="20"/>
          <w:szCs w:val="20"/>
        </w:rPr>
        <w:t>In recent years, the government of Nepal has attempted to strengthen the provisions in the Constitution on children</w:t>
      </w:r>
      <w:r w:rsidR="00837726" w:rsidRPr="00FC1EB8">
        <w:rPr>
          <w:rFonts w:ascii="Gill Sans MT" w:hAnsi="Gill Sans MT" w:cs="Times New Roman"/>
          <w:sz w:val="20"/>
          <w:szCs w:val="20"/>
        </w:rPr>
        <w:t xml:space="preserve">. </w:t>
      </w:r>
      <w:r w:rsidR="00837726" w:rsidRPr="00FC1EB8">
        <w:rPr>
          <w:rFonts w:ascii="Gill Sans MT" w:hAnsi="Gill Sans MT" w:cs="Times New Roman"/>
          <w:sz w:val="20"/>
          <w:szCs w:val="20"/>
          <w:lang w:val="en-US"/>
        </w:rPr>
        <w:t xml:space="preserve">In an effort to integrate a human rights-based approach in judicial proceedings, </w:t>
      </w:r>
      <w:r w:rsidR="0066220C">
        <w:rPr>
          <w:rFonts w:ascii="Gill Sans MT" w:hAnsi="Gill Sans MT" w:cs="Times New Roman"/>
          <w:sz w:val="20"/>
          <w:szCs w:val="20"/>
          <w:lang w:val="en-US"/>
        </w:rPr>
        <w:t xml:space="preserve">the </w:t>
      </w:r>
      <w:r w:rsidR="00837726" w:rsidRPr="00FC1EB8">
        <w:rPr>
          <w:rFonts w:ascii="Gill Sans MT" w:hAnsi="Gill Sans MT" w:cs="Calibri"/>
          <w:sz w:val="20"/>
          <w:szCs w:val="20"/>
          <w:lang w:val="en-US"/>
        </w:rPr>
        <w:t xml:space="preserve">Children’s Act 2018 </w:t>
      </w:r>
      <w:r w:rsidR="00AA53C2" w:rsidRPr="00FC1EB8">
        <w:rPr>
          <w:rFonts w:ascii="Gill Sans MT" w:hAnsi="Gill Sans MT" w:cs="Calibri"/>
          <w:sz w:val="20"/>
          <w:szCs w:val="20"/>
          <w:lang w:val="en-US"/>
        </w:rPr>
        <w:t>incorporated</w:t>
      </w:r>
      <w:r w:rsidR="00837726" w:rsidRPr="00FC1EB8">
        <w:rPr>
          <w:rFonts w:ascii="Gill Sans MT" w:hAnsi="Gill Sans MT" w:cs="Calibri"/>
          <w:sz w:val="20"/>
          <w:szCs w:val="20"/>
          <w:lang w:val="en-US"/>
        </w:rPr>
        <w:t xml:space="preserve"> a provision of Juvenile Court and Juvenile Bench in District Courts</w:t>
      </w:r>
      <w:r w:rsidR="00837726" w:rsidRPr="00FC1EB8">
        <w:rPr>
          <w:rStyle w:val="FootnoteReference"/>
          <w:rFonts w:ascii="Gill Sans MT" w:hAnsi="Gill Sans MT" w:cs="Calibri"/>
          <w:sz w:val="20"/>
          <w:szCs w:val="20"/>
          <w:lang w:val="en-US"/>
        </w:rPr>
        <w:footnoteReference w:id="25"/>
      </w:r>
      <w:r w:rsidR="00837726" w:rsidRPr="00FC1EB8">
        <w:rPr>
          <w:rFonts w:ascii="Gill Sans MT" w:hAnsi="Gill Sans MT" w:cs="Calibri"/>
          <w:sz w:val="20"/>
          <w:szCs w:val="20"/>
          <w:lang w:val="en-US"/>
        </w:rPr>
        <w:t xml:space="preserve"> to look for the cases of children in conflict with the law. </w:t>
      </w:r>
      <w:r w:rsidR="00837726" w:rsidRPr="00837726">
        <w:rPr>
          <w:rFonts w:ascii="Gill Sans MT" w:eastAsia="Times New Roman" w:hAnsi="Gill Sans MT" w:cs="Times New Roman"/>
          <w:sz w:val="20"/>
          <w:szCs w:val="20"/>
          <w:lang w:eastAsia="en-CH"/>
        </w:rPr>
        <w:t>Child-friendly room</w:t>
      </w:r>
      <w:r w:rsidR="00FC1EB8" w:rsidRPr="00FC1EB8">
        <w:rPr>
          <w:rFonts w:ascii="Gill Sans MT" w:eastAsia="Times New Roman" w:hAnsi="Gill Sans MT" w:cs="Times New Roman"/>
          <w:sz w:val="20"/>
          <w:szCs w:val="20"/>
          <w:lang w:val="en-US" w:eastAsia="en-CH"/>
        </w:rPr>
        <w:t>s</w:t>
      </w:r>
      <w:r w:rsidR="00837726" w:rsidRPr="00837726">
        <w:rPr>
          <w:rFonts w:ascii="Gill Sans MT" w:eastAsia="Times New Roman" w:hAnsi="Gill Sans MT" w:cs="Times New Roman"/>
          <w:sz w:val="20"/>
          <w:szCs w:val="20"/>
          <w:lang w:eastAsia="en-CH"/>
        </w:rPr>
        <w:t xml:space="preserve"> and bench have been set up in order to increase the access of children to justice. </w:t>
      </w:r>
      <w:r w:rsidR="00FC1EB8" w:rsidRPr="00837726">
        <w:rPr>
          <w:rFonts w:ascii="Gill Sans MT" w:eastAsia="Times New Roman" w:hAnsi="Gill Sans MT" w:cs="Times New Roman"/>
          <w:sz w:val="20"/>
          <w:szCs w:val="20"/>
          <w:lang w:eastAsia="en-CH"/>
        </w:rPr>
        <w:t>The bench aims to rehabilitate children back into society through reforms and not by punishing them like elders</w:t>
      </w:r>
      <w:r w:rsidR="00AA53C2">
        <w:rPr>
          <w:rFonts w:ascii="Gill Sans MT" w:eastAsia="Times New Roman" w:hAnsi="Gill Sans MT" w:cs="Times New Roman"/>
          <w:sz w:val="20"/>
          <w:szCs w:val="20"/>
          <w:lang w:val="en-US" w:eastAsia="en-CH"/>
        </w:rPr>
        <w:t xml:space="preserve">. </w:t>
      </w:r>
      <w:r w:rsidR="00AA53C2" w:rsidRPr="0077708D">
        <w:rPr>
          <w:rFonts w:ascii="Gill Sans MT" w:hAnsi="Gill Sans MT" w:cs="Calibri"/>
          <w:sz w:val="20"/>
          <w:szCs w:val="20"/>
          <w:lang w:val="en-US"/>
        </w:rPr>
        <w:t>In addition, there is a provision that the investigation process and the hearings should be conducted in a child</w:t>
      </w:r>
      <w:r w:rsidR="005225FE">
        <w:rPr>
          <w:rFonts w:ascii="Gill Sans MT" w:hAnsi="Gill Sans MT" w:cs="Calibri"/>
          <w:sz w:val="20"/>
          <w:szCs w:val="20"/>
          <w:lang w:val="en-US"/>
        </w:rPr>
        <w:t>-</w:t>
      </w:r>
      <w:r w:rsidR="00AA53C2" w:rsidRPr="0077708D">
        <w:rPr>
          <w:rFonts w:ascii="Gill Sans MT" w:hAnsi="Gill Sans MT" w:cs="Calibri"/>
          <w:sz w:val="20"/>
          <w:szCs w:val="20"/>
          <w:lang w:val="en-US"/>
        </w:rPr>
        <w:t>friendly manner that is age</w:t>
      </w:r>
      <w:r w:rsidR="005225FE">
        <w:rPr>
          <w:rFonts w:ascii="Gill Sans MT" w:hAnsi="Gill Sans MT" w:cs="Calibri"/>
          <w:sz w:val="20"/>
          <w:szCs w:val="20"/>
          <w:lang w:val="en-US"/>
        </w:rPr>
        <w:t>-</w:t>
      </w:r>
      <w:r w:rsidR="00AA53C2" w:rsidRPr="0077708D">
        <w:rPr>
          <w:rFonts w:ascii="Gill Sans MT" w:hAnsi="Gill Sans MT" w:cs="Calibri"/>
          <w:sz w:val="20"/>
          <w:szCs w:val="20"/>
          <w:lang w:val="en-US"/>
        </w:rPr>
        <w:t>sensitive in the presence of their caregivers</w:t>
      </w:r>
      <w:r w:rsidR="003A1901">
        <w:rPr>
          <w:rFonts w:ascii="Gill Sans MT" w:hAnsi="Gill Sans MT" w:cs="Calibri"/>
          <w:sz w:val="20"/>
          <w:szCs w:val="20"/>
          <w:lang w:val="en-US"/>
        </w:rPr>
        <w:t>;</w:t>
      </w:r>
      <w:r w:rsidR="00E32AB5">
        <w:rPr>
          <w:rFonts w:ascii="Gill Sans MT" w:hAnsi="Gill Sans MT" w:cs="Calibri"/>
          <w:sz w:val="20"/>
          <w:szCs w:val="20"/>
          <w:lang w:val="en-US"/>
        </w:rPr>
        <w:t xml:space="preserve"> children also have the right to participate in the process of investigation and legal proceedings</w:t>
      </w:r>
      <w:r w:rsidR="00AA53C2" w:rsidRPr="0077708D">
        <w:rPr>
          <w:rFonts w:ascii="Gill Sans MT" w:hAnsi="Gill Sans MT" w:cs="Calibri"/>
          <w:sz w:val="20"/>
          <w:szCs w:val="20"/>
          <w:lang w:val="en-US"/>
        </w:rPr>
        <w:t xml:space="preserve">. In most cases, </w:t>
      </w:r>
      <w:r w:rsidR="003A1901">
        <w:rPr>
          <w:rFonts w:ascii="Gill Sans MT" w:hAnsi="Gill Sans MT" w:cs="Calibri"/>
          <w:sz w:val="20"/>
          <w:szCs w:val="20"/>
          <w:lang w:val="en-US"/>
        </w:rPr>
        <w:t xml:space="preserve">for </w:t>
      </w:r>
      <w:r w:rsidR="00AA53C2" w:rsidRPr="0077708D">
        <w:rPr>
          <w:rFonts w:ascii="Gill Sans MT" w:hAnsi="Gill Sans MT" w:cs="Calibri"/>
          <w:sz w:val="20"/>
          <w:szCs w:val="20"/>
          <w:lang w:val="en-US"/>
        </w:rPr>
        <w:t xml:space="preserve">children who come in conflict with the law particularly in conduct of child marriages, anecdotal evidence indicates that there are growing number of juveniles (mostly boys) in the juvenile correction centers sent from the District Court. Lack of skilled </w:t>
      </w:r>
      <w:r w:rsidR="002E0171">
        <w:rPr>
          <w:rFonts w:ascii="Gill Sans MT" w:hAnsi="Gill Sans MT" w:cs="Calibri"/>
          <w:sz w:val="20"/>
          <w:szCs w:val="20"/>
          <w:lang w:val="en-US"/>
        </w:rPr>
        <w:t>c</w:t>
      </w:r>
      <w:r w:rsidR="00AA53C2" w:rsidRPr="0077708D">
        <w:rPr>
          <w:rFonts w:ascii="Gill Sans MT" w:hAnsi="Gill Sans MT" w:cs="Calibri"/>
          <w:sz w:val="20"/>
          <w:szCs w:val="20"/>
          <w:lang w:val="en-US"/>
        </w:rPr>
        <w:t xml:space="preserve">hild </w:t>
      </w:r>
      <w:r w:rsidR="002E0171">
        <w:rPr>
          <w:rFonts w:ascii="Gill Sans MT" w:hAnsi="Gill Sans MT" w:cs="Calibri"/>
          <w:sz w:val="20"/>
          <w:szCs w:val="20"/>
          <w:lang w:val="en-US"/>
        </w:rPr>
        <w:t>p</w:t>
      </w:r>
      <w:r w:rsidR="00AA53C2" w:rsidRPr="0077708D">
        <w:rPr>
          <w:rFonts w:ascii="Gill Sans MT" w:hAnsi="Gill Sans MT" w:cs="Calibri"/>
          <w:sz w:val="20"/>
          <w:szCs w:val="20"/>
          <w:lang w:val="en-US"/>
        </w:rPr>
        <w:t xml:space="preserve">sychologist and limited </w:t>
      </w:r>
      <w:r w:rsidR="002E0171">
        <w:rPr>
          <w:rFonts w:ascii="Gill Sans MT" w:hAnsi="Gill Sans MT" w:cs="Calibri"/>
          <w:sz w:val="20"/>
          <w:szCs w:val="20"/>
          <w:lang w:val="en-US"/>
        </w:rPr>
        <w:t>s</w:t>
      </w:r>
      <w:r w:rsidR="00AA53C2" w:rsidRPr="0077708D">
        <w:rPr>
          <w:rFonts w:ascii="Gill Sans MT" w:hAnsi="Gill Sans MT" w:cs="Calibri"/>
          <w:sz w:val="20"/>
          <w:szCs w:val="20"/>
          <w:lang w:val="en-US"/>
        </w:rPr>
        <w:t xml:space="preserve">ocial </w:t>
      </w:r>
      <w:r w:rsidR="002E0171">
        <w:rPr>
          <w:rFonts w:ascii="Gill Sans MT" w:hAnsi="Gill Sans MT" w:cs="Calibri"/>
          <w:sz w:val="20"/>
          <w:szCs w:val="20"/>
          <w:lang w:val="en-US"/>
        </w:rPr>
        <w:t>w</w:t>
      </w:r>
      <w:r w:rsidR="00AA53C2" w:rsidRPr="0077708D">
        <w:rPr>
          <w:rFonts w:ascii="Gill Sans MT" w:hAnsi="Gill Sans MT" w:cs="Calibri"/>
          <w:sz w:val="20"/>
          <w:szCs w:val="20"/>
          <w:lang w:val="en-US"/>
        </w:rPr>
        <w:t xml:space="preserve">orkers </w:t>
      </w:r>
      <w:r w:rsidR="00F7242A">
        <w:rPr>
          <w:rFonts w:ascii="Gill Sans MT" w:hAnsi="Gill Sans MT" w:cs="Calibri"/>
          <w:sz w:val="20"/>
          <w:szCs w:val="20"/>
          <w:lang w:val="en-US"/>
        </w:rPr>
        <w:t xml:space="preserve">at </w:t>
      </w:r>
      <w:r w:rsidR="00AA53C2" w:rsidRPr="0077708D">
        <w:rPr>
          <w:rFonts w:ascii="Gill Sans MT" w:hAnsi="Gill Sans MT" w:cs="Calibri"/>
          <w:sz w:val="20"/>
          <w:szCs w:val="20"/>
          <w:lang w:val="en-US"/>
        </w:rPr>
        <w:t>the district level has hindered the legal process of children in conflict with the law and it is a questionable gap in the implementation of child</w:t>
      </w:r>
      <w:r w:rsidR="005225FE">
        <w:rPr>
          <w:rFonts w:ascii="Gill Sans MT" w:hAnsi="Gill Sans MT" w:cs="Calibri"/>
          <w:sz w:val="20"/>
          <w:szCs w:val="20"/>
          <w:lang w:val="en-US"/>
        </w:rPr>
        <w:t>-</w:t>
      </w:r>
      <w:r w:rsidR="00AA53C2" w:rsidRPr="0077708D">
        <w:rPr>
          <w:rFonts w:ascii="Gill Sans MT" w:hAnsi="Gill Sans MT" w:cs="Calibri"/>
          <w:sz w:val="20"/>
          <w:szCs w:val="20"/>
          <w:lang w:val="en-US"/>
        </w:rPr>
        <w:t xml:space="preserve">friendly provisions of the Children’s Act 2018. </w:t>
      </w:r>
    </w:p>
    <w:p w14:paraId="6EFAE2C3" w14:textId="40BF121B" w:rsidR="00AA53C2" w:rsidRPr="0077708D" w:rsidRDefault="00AA53C2" w:rsidP="00AA53C2">
      <w:pPr>
        <w:spacing w:line="240" w:lineRule="auto"/>
        <w:jc w:val="both"/>
        <w:rPr>
          <w:rFonts w:ascii="Gill Sans MT" w:hAnsi="Gill Sans MT" w:cs="Calibri"/>
          <w:sz w:val="20"/>
          <w:szCs w:val="20"/>
          <w:lang w:val="en-US"/>
        </w:rPr>
      </w:pPr>
      <w:r w:rsidRPr="0077708D">
        <w:rPr>
          <w:rFonts w:ascii="Gill Sans MT" w:hAnsi="Gill Sans MT" w:cs="Calibri"/>
          <w:sz w:val="20"/>
          <w:szCs w:val="20"/>
          <w:lang w:val="en-US"/>
        </w:rPr>
        <w:t>In 2020, Save the Children</w:t>
      </w:r>
      <w:r w:rsidR="0033279C">
        <w:rPr>
          <w:rFonts w:ascii="Gill Sans MT" w:hAnsi="Gill Sans MT" w:cs="Calibri"/>
          <w:sz w:val="20"/>
          <w:szCs w:val="20"/>
          <w:lang w:val="en-US"/>
        </w:rPr>
        <w:t xml:space="preserve"> </w:t>
      </w:r>
      <w:r w:rsidRPr="0077708D">
        <w:rPr>
          <w:rFonts w:ascii="Gill Sans MT" w:hAnsi="Gill Sans MT" w:cs="Calibri"/>
          <w:sz w:val="20"/>
          <w:szCs w:val="20"/>
          <w:lang w:val="en-US"/>
        </w:rPr>
        <w:t xml:space="preserve">Nepal conducted an analysis of court cases related to children and found that the legal proceedings took minimum of 4 years for the final verdict, which shows that the judicial system is not working proactively to ensure justice for the children who are the victims or come in conflict with the law. There were few cases of </w:t>
      </w:r>
      <w:r w:rsidR="00F66E95">
        <w:rPr>
          <w:rFonts w:ascii="Gill Sans MT" w:hAnsi="Gill Sans MT" w:cs="Calibri"/>
          <w:sz w:val="20"/>
          <w:szCs w:val="20"/>
          <w:lang w:val="en-US"/>
        </w:rPr>
        <w:t xml:space="preserve">CEFM </w:t>
      </w:r>
      <w:r w:rsidRPr="0077708D">
        <w:rPr>
          <w:rFonts w:ascii="Gill Sans MT" w:hAnsi="Gill Sans MT" w:cs="Calibri"/>
          <w:sz w:val="20"/>
          <w:szCs w:val="20"/>
          <w:lang w:val="en-US"/>
        </w:rPr>
        <w:t xml:space="preserve">survivors who had become adults by the time of the court hearing and the survivor was no longer interested because of the psychological stress they were going through due to the case. </w:t>
      </w:r>
    </w:p>
    <w:p w14:paraId="29DA428F" w14:textId="55F39B2F" w:rsidR="00AA53C2" w:rsidRPr="0077708D" w:rsidRDefault="00AA53C2" w:rsidP="00AA53C2">
      <w:pPr>
        <w:spacing w:line="240" w:lineRule="auto"/>
        <w:jc w:val="both"/>
        <w:rPr>
          <w:rFonts w:ascii="Gill Sans MT" w:hAnsi="Gill Sans MT" w:cs="Calibri"/>
          <w:sz w:val="20"/>
          <w:szCs w:val="20"/>
          <w:lang w:val="en-US"/>
        </w:rPr>
      </w:pPr>
      <w:r w:rsidRPr="0077708D">
        <w:rPr>
          <w:rFonts w:ascii="Gill Sans MT" w:hAnsi="Gill Sans MT" w:cs="Calibri"/>
          <w:sz w:val="20"/>
          <w:szCs w:val="20"/>
          <w:lang w:val="en-US"/>
        </w:rPr>
        <w:t xml:space="preserve">One Stop Crisis Management Centre (OCMC) has been established in all district hospitals of Nepal with an objective to provide properly managed treatment, care and support in an integrated way to </w:t>
      </w:r>
      <w:r w:rsidR="00F66E95">
        <w:rPr>
          <w:rFonts w:ascii="Gill Sans MT" w:hAnsi="Gill Sans MT" w:cs="Calibri"/>
          <w:sz w:val="20"/>
          <w:szCs w:val="20"/>
          <w:lang w:val="en-US"/>
        </w:rPr>
        <w:t xml:space="preserve">CEFM </w:t>
      </w:r>
      <w:r w:rsidRPr="0077708D">
        <w:rPr>
          <w:rFonts w:ascii="Gill Sans MT" w:hAnsi="Gill Sans MT" w:cs="Calibri"/>
          <w:sz w:val="20"/>
          <w:szCs w:val="20"/>
          <w:lang w:val="en-US"/>
        </w:rPr>
        <w:t xml:space="preserve">survivors and those affected by gender-based violence.  NCRC has expanded the services of Child Helpline  across more than 50 districts of Nepal. The mapping of child protection services including psychosocial services have been conducted and updated by government at federal, provincial, and local level to refer the reported cases of </w:t>
      </w:r>
      <w:r w:rsidR="00B33DE1">
        <w:rPr>
          <w:rFonts w:ascii="Gill Sans MT" w:hAnsi="Gill Sans MT" w:cs="Calibri"/>
          <w:sz w:val="20"/>
          <w:szCs w:val="20"/>
          <w:lang w:val="en-US"/>
        </w:rPr>
        <w:t>CEFM</w:t>
      </w:r>
      <w:r w:rsidRPr="0077708D">
        <w:rPr>
          <w:rFonts w:ascii="Gill Sans MT" w:hAnsi="Gill Sans MT" w:cs="Calibri"/>
          <w:sz w:val="20"/>
          <w:szCs w:val="20"/>
          <w:lang w:val="en-US"/>
        </w:rPr>
        <w:t xml:space="preserve">. It has significantly contributed to provide and extend the human right and victim centered approach. </w:t>
      </w:r>
    </w:p>
    <w:p w14:paraId="23BF30B8" w14:textId="118CCCB1" w:rsidR="00F73971" w:rsidRPr="0077708D" w:rsidRDefault="00F73971" w:rsidP="007308BE">
      <w:pPr>
        <w:spacing w:before="240" w:after="240"/>
        <w:contextualSpacing/>
        <w:jc w:val="both"/>
        <w:rPr>
          <w:rFonts w:ascii="Gill Sans MT" w:hAnsi="Gill Sans MT" w:cs="Calibri"/>
          <w:sz w:val="20"/>
          <w:szCs w:val="20"/>
          <w:lang w:val="en-US"/>
        </w:rPr>
      </w:pPr>
      <w:r w:rsidRPr="0077708D">
        <w:rPr>
          <w:rFonts w:ascii="Gill Sans MT" w:hAnsi="Gill Sans MT" w:cs="Calibri"/>
          <w:sz w:val="20"/>
          <w:szCs w:val="20"/>
          <w:lang w:val="en-US"/>
        </w:rPr>
        <w:t>In a quest to integrate the human rights</w:t>
      </w:r>
      <w:r w:rsidR="005225FE">
        <w:rPr>
          <w:rFonts w:ascii="Gill Sans MT" w:hAnsi="Gill Sans MT" w:cs="Calibri"/>
          <w:sz w:val="20"/>
          <w:szCs w:val="20"/>
          <w:lang w:val="en-US"/>
        </w:rPr>
        <w:t>-</w:t>
      </w:r>
      <w:r w:rsidRPr="0077708D">
        <w:rPr>
          <w:rFonts w:ascii="Gill Sans MT" w:hAnsi="Gill Sans MT" w:cs="Calibri"/>
          <w:sz w:val="20"/>
          <w:szCs w:val="20"/>
          <w:lang w:val="en-US"/>
        </w:rPr>
        <w:t>b</w:t>
      </w:r>
      <w:r w:rsidR="005225FE">
        <w:rPr>
          <w:rFonts w:ascii="Gill Sans MT" w:hAnsi="Gill Sans MT" w:cs="Calibri"/>
          <w:sz w:val="20"/>
          <w:szCs w:val="20"/>
          <w:lang w:val="en-US"/>
        </w:rPr>
        <w:t>ased</w:t>
      </w:r>
      <w:r w:rsidRPr="0077708D">
        <w:rPr>
          <w:rFonts w:ascii="Gill Sans MT" w:hAnsi="Gill Sans MT" w:cs="Calibri"/>
          <w:sz w:val="20"/>
          <w:szCs w:val="20"/>
          <w:lang w:val="en-US"/>
        </w:rPr>
        <w:t xml:space="preserve"> approach, working with Caritas</w:t>
      </w:r>
      <w:r w:rsidR="007308BE">
        <w:rPr>
          <w:rFonts w:ascii="Gill Sans MT" w:hAnsi="Gill Sans MT" w:cs="Calibri"/>
          <w:sz w:val="20"/>
          <w:szCs w:val="20"/>
          <w:lang w:val="en-US"/>
        </w:rPr>
        <w:t xml:space="preserve">, </w:t>
      </w:r>
      <w:r w:rsidRPr="0077708D">
        <w:rPr>
          <w:rFonts w:ascii="Gill Sans MT" w:hAnsi="Gill Sans MT" w:cs="Calibri"/>
          <w:sz w:val="20"/>
          <w:szCs w:val="20"/>
          <w:lang w:val="en-US"/>
        </w:rPr>
        <w:t xml:space="preserve">Save the Children has been able to create and strengthen collaboration mechanisms in ensuring that all </w:t>
      </w:r>
      <w:r w:rsidR="003A1901">
        <w:rPr>
          <w:rFonts w:ascii="Gill Sans MT" w:hAnsi="Gill Sans MT" w:cs="Calibri"/>
          <w:sz w:val="20"/>
          <w:szCs w:val="20"/>
          <w:lang w:val="en-US"/>
        </w:rPr>
        <w:t xml:space="preserve">CEFM </w:t>
      </w:r>
      <w:r w:rsidRPr="0077708D">
        <w:rPr>
          <w:rFonts w:ascii="Gill Sans MT" w:hAnsi="Gill Sans MT" w:cs="Calibri"/>
          <w:sz w:val="20"/>
          <w:szCs w:val="20"/>
          <w:lang w:val="en-US"/>
        </w:rPr>
        <w:t xml:space="preserve">survivors were supported with the basic needs by ensuring that </w:t>
      </w:r>
      <w:r w:rsidR="00DD0B30">
        <w:rPr>
          <w:rFonts w:ascii="Gill Sans MT" w:hAnsi="Gill Sans MT" w:cs="Calibri"/>
          <w:sz w:val="20"/>
          <w:szCs w:val="20"/>
          <w:lang w:val="en-US"/>
        </w:rPr>
        <w:t>they</w:t>
      </w:r>
      <w:r w:rsidRPr="0077708D">
        <w:rPr>
          <w:rFonts w:ascii="Gill Sans MT" w:hAnsi="Gill Sans MT" w:cs="Calibri"/>
          <w:sz w:val="20"/>
          <w:szCs w:val="20"/>
          <w:lang w:val="en-US"/>
        </w:rPr>
        <w:t xml:space="preserve"> receive medical attention </w:t>
      </w:r>
      <w:r w:rsidR="007308BE">
        <w:rPr>
          <w:rFonts w:ascii="Gill Sans MT" w:hAnsi="Gill Sans MT" w:cs="Calibri"/>
          <w:sz w:val="20"/>
          <w:szCs w:val="20"/>
          <w:lang w:val="en-US"/>
        </w:rPr>
        <w:t>and education support through collaboration with key stakeholder</w:t>
      </w:r>
      <w:r w:rsidR="00BA67AA">
        <w:rPr>
          <w:rFonts w:ascii="Gill Sans MT" w:hAnsi="Gill Sans MT" w:cs="Calibri"/>
          <w:sz w:val="20"/>
          <w:szCs w:val="20"/>
          <w:lang w:val="en-US"/>
        </w:rPr>
        <w:t>s</w:t>
      </w:r>
      <w:r w:rsidR="007308BE">
        <w:rPr>
          <w:rFonts w:ascii="Gill Sans MT" w:hAnsi="Gill Sans MT" w:cs="Calibri"/>
          <w:sz w:val="20"/>
          <w:szCs w:val="20"/>
          <w:lang w:val="en-US"/>
        </w:rPr>
        <w:t xml:space="preserve"> like </w:t>
      </w:r>
      <w:r w:rsidR="007308BE" w:rsidRPr="0077708D">
        <w:rPr>
          <w:rFonts w:ascii="Gill Sans MT" w:hAnsi="Gill Sans MT" w:cs="Calibri"/>
          <w:sz w:val="20"/>
          <w:szCs w:val="20"/>
          <w:lang w:val="en-US"/>
        </w:rPr>
        <w:t>Churches Health Associate Zambia (CHAZ) among others.</w:t>
      </w:r>
      <w:r w:rsidR="007308BE">
        <w:rPr>
          <w:rFonts w:ascii="Gill Sans MT" w:hAnsi="Gill Sans MT" w:cs="Calibri"/>
          <w:sz w:val="20"/>
          <w:szCs w:val="20"/>
          <w:lang w:val="en-US"/>
        </w:rPr>
        <w:t xml:space="preserve"> </w:t>
      </w:r>
      <w:r w:rsidRPr="0077708D">
        <w:rPr>
          <w:rFonts w:ascii="Gill Sans MT" w:hAnsi="Gill Sans MT" w:cs="Calibri"/>
          <w:sz w:val="20"/>
          <w:szCs w:val="20"/>
          <w:lang w:val="en-US"/>
        </w:rPr>
        <w:t xml:space="preserve">Save the Children and Caritas also ensured that cases of CEFM were accurately documented and referred to relevant authorities for further actions. </w:t>
      </w:r>
      <w:r w:rsidR="007308BE">
        <w:rPr>
          <w:rFonts w:ascii="Gill Sans MT" w:hAnsi="Gill Sans MT" w:cs="Calibri"/>
          <w:sz w:val="20"/>
          <w:szCs w:val="20"/>
          <w:lang w:val="en-US"/>
        </w:rPr>
        <w:t>A gender</w:t>
      </w:r>
      <w:r w:rsidR="003A1901">
        <w:rPr>
          <w:rFonts w:ascii="Gill Sans MT" w:hAnsi="Gill Sans MT" w:cs="Calibri"/>
          <w:sz w:val="20"/>
          <w:szCs w:val="20"/>
          <w:lang w:val="en-US"/>
        </w:rPr>
        <w:t>-</w:t>
      </w:r>
      <w:r w:rsidR="007308BE">
        <w:rPr>
          <w:rFonts w:ascii="Gill Sans MT" w:hAnsi="Gill Sans MT" w:cs="Calibri"/>
          <w:sz w:val="20"/>
          <w:szCs w:val="20"/>
          <w:lang w:val="en-US"/>
        </w:rPr>
        <w:t xml:space="preserve">sensitive approach is implemented across all </w:t>
      </w:r>
      <w:r w:rsidR="00713EF1">
        <w:rPr>
          <w:rFonts w:ascii="Gill Sans MT" w:hAnsi="Gill Sans MT" w:cs="Calibri"/>
          <w:sz w:val="20"/>
          <w:szCs w:val="20"/>
          <w:lang w:val="en-US"/>
        </w:rPr>
        <w:t>programs and interventions</w:t>
      </w:r>
      <w:r w:rsidR="003A1901">
        <w:rPr>
          <w:rFonts w:ascii="Gill Sans MT" w:hAnsi="Gill Sans MT" w:cs="Calibri"/>
          <w:sz w:val="20"/>
          <w:szCs w:val="20"/>
          <w:lang w:val="en-US"/>
        </w:rPr>
        <w:t>;</w:t>
      </w:r>
      <w:r w:rsidR="00713EF1">
        <w:rPr>
          <w:rFonts w:ascii="Gill Sans MT" w:hAnsi="Gill Sans MT" w:cs="Calibri"/>
          <w:sz w:val="20"/>
          <w:szCs w:val="20"/>
          <w:lang w:val="en-US"/>
        </w:rPr>
        <w:t xml:space="preserve"> for instance, </w:t>
      </w:r>
      <w:r w:rsidR="00474F3C" w:rsidRPr="0077708D">
        <w:rPr>
          <w:rFonts w:ascii="Gill Sans MT" w:hAnsi="Gill Sans MT" w:cs="Calibri"/>
          <w:sz w:val="20"/>
          <w:szCs w:val="20"/>
          <w:lang w:val="en-US"/>
        </w:rPr>
        <w:t>vulnerable g</w:t>
      </w:r>
      <w:r w:rsidR="00A85D6C" w:rsidRPr="0077708D">
        <w:rPr>
          <w:rFonts w:ascii="Gill Sans MT" w:hAnsi="Gill Sans MT" w:cs="Calibri"/>
          <w:sz w:val="20"/>
          <w:szCs w:val="20"/>
          <w:lang w:val="en-US"/>
        </w:rPr>
        <w:t xml:space="preserve">irls are enrolled in safe houses constructed by other CSOs partners </w:t>
      </w:r>
      <w:r w:rsidR="003A1901">
        <w:rPr>
          <w:rFonts w:ascii="Gill Sans MT" w:hAnsi="Gill Sans MT" w:cs="Calibri"/>
          <w:sz w:val="20"/>
          <w:szCs w:val="20"/>
          <w:lang w:val="en-US"/>
        </w:rPr>
        <w:t xml:space="preserve">such as </w:t>
      </w:r>
      <w:r w:rsidR="00A85D6C" w:rsidRPr="0077708D">
        <w:rPr>
          <w:rFonts w:ascii="Gill Sans MT" w:hAnsi="Gill Sans MT" w:cs="Calibri"/>
          <w:sz w:val="20"/>
          <w:szCs w:val="20"/>
          <w:lang w:val="en-US"/>
        </w:rPr>
        <w:t xml:space="preserve">World Vision Zambia, to monitor, support and protect them from any potential abuse. As part of </w:t>
      </w:r>
      <w:r w:rsidR="004B04AE" w:rsidRPr="0077708D">
        <w:rPr>
          <w:rFonts w:ascii="Gill Sans MT" w:hAnsi="Gill Sans MT" w:cs="Calibri"/>
          <w:sz w:val="20"/>
          <w:szCs w:val="20"/>
          <w:lang w:val="en-US"/>
        </w:rPr>
        <w:t>our</w:t>
      </w:r>
      <w:r w:rsidR="00A85D6C" w:rsidRPr="0077708D">
        <w:rPr>
          <w:rFonts w:ascii="Gill Sans MT" w:hAnsi="Gill Sans MT" w:cs="Calibri"/>
          <w:sz w:val="20"/>
          <w:szCs w:val="20"/>
          <w:lang w:val="en-US"/>
        </w:rPr>
        <w:t xml:space="preserve"> efforts, boys and girls are given the same information on children protection issues, including referral services and children’s rights. A victim-centered approach is </w:t>
      </w:r>
      <w:r w:rsidR="00713EF1">
        <w:rPr>
          <w:rFonts w:ascii="Gill Sans MT" w:hAnsi="Gill Sans MT" w:cs="Calibri"/>
          <w:sz w:val="20"/>
          <w:szCs w:val="20"/>
          <w:lang w:val="en-US"/>
        </w:rPr>
        <w:t xml:space="preserve">also </w:t>
      </w:r>
      <w:r w:rsidR="00A85D6C" w:rsidRPr="0077708D">
        <w:rPr>
          <w:rFonts w:ascii="Gill Sans MT" w:hAnsi="Gill Sans MT" w:cs="Calibri"/>
          <w:sz w:val="20"/>
          <w:szCs w:val="20"/>
          <w:lang w:val="en-US"/>
        </w:rPr>
        <w:t xml:space="preserve">implemented at all times to ensure </w:t>
      </w:r>
      <w:r w:rsidR="00A85D6C" w:rsidRPr="0077708D">
        <w:rPr>
          <w:rFonts w:ascii="Gill Sans MT" w:hAnsi="Gill Sans MT" w:cs="Calibri"/>
          <w:sz w:val="20"/>
          <w:szCs w:val="20"/>
          <w:lang w:val="en-US"/>
        </w:rPr>
        <w:lastRenderedPageBreak/>
        <w:t xml:space="preserve">that the well-being of victims is prioritized at all matters and </w:t>
      </w:r>
      <w:r w:rsidR="006C0CC0" w:rsidRPr="0077708D">
        <w:rPr>
          <w:rFonts w:ascii="Gill Sans MT" w:hAnsi="Gill Sans MT" w:cs="Calibri"/>
          <w:sz w:val="20"/>
          <w:szCs w:val="20"/>
          <w:lang w:val="en-US"/>
        </w:rPr>
        <w:t>procedures.</w:t>
      </w:r>
      <w:r w:rsidR="00713EF1">
        <w:rPr>
          <w:rFonts w:ascii="Gill Sans MT" w:hAnsi="Gill Sans MT" w:cs="Calibri"/>
          <w:sz w:val="20"/>
          <w:szCs w:val="20"/>
          <w:lang w:val="en-US"/>
        </w:rPr>
        <w:t xml:space="preserve"> Save the Children and Caritas collaborate </w:t>
      </w:r>
      <w:r w:rsidR="006C0CC0" w:rsidRPr="0077708D">
        <w:rPr>
          <w:rFonts w:ascii="Gill Sans MT" w:hAnsi="Gill Sans MT" w:cs="Calibri"/>
          <w:sz w:val="20"/>
          <w:szCs w:val="20"/>
          <w:lang w:val="en-US"/>
        </w:rPr>
        <w:t xml:space="preserve">with the relevant stakeholders to ensure that the child is separated from the family when a family member is involved as the perpetrator. Victims are provided with medical attention to prevent the possibility to contract diseases and/or unwanted pregnancies. Victims are also referred to Psychosocial Support (PSS). </w:t>
      </w:r>
    </w:p>
    <w:p w14:paraId="0F58F78D" w14:textId="77777777" w:rsidR="0012537E" w:rsidRPr="0077708D" w:rsidRDefault="0012537E" w:rsidP="00887686">
      <w:pPr>
        <w:spacing w:before="240" w:after="240"/>
        <w:contextualSpacing/>
        <w:jc w:val="both"/>
        <w:rPr>
          <w:rFonts w:ascii="Gill Sans MT" w:hAnsi="Gill Sans MT" w:cs="Calibri"/>
          <w:sz w:val="20"/>
          <w:szCs w:val="20"/>
          <w:lang w:val="en-US"/>
        </w:rPr>
      </w:pPr>
    </w:p>
    <w:p w14:paraId="184B5FF9" w14:textId="457981DD" w:rsidR="00D6480C" w:rsidRPr="0077708D" w:rsidRDefault="00AE59AC" w:rsidP="006A14C7">
      <w:pPr>
        <w:contextualSpacing/>
        <w:jc w:val="both"/>
        <w:rPr>
          <w:rFonts w:ascii="Gill Sans MT" w:hAnsi="Gill Sans MT"/>
          <w:b/>
          <w:bCs/>
          <w:sz w:val="20"/>
          <w:szCs w:val="20"/>
          <w:u w:val="single"/>
        </w:rPr>
      </w:pPr>
      <w:r>
        <w:rPr>
          <w:rFonts w:ascii="Gill Sans MT" w:hAnsi="Gill Sans MT"/>
          <w:b/>
          <w:bCs/>
          <w:sz w:val="20"/>
          <w:szCs w:val="20"/>
          <w:u w:val="single"/>
          <w:lang w:val="en-US"/>
        </w:rPr>
        <w:t>E</w:t>
      </w:r>
      <w:proofErr w:type="spellStart"/>
      <w:r w:rsidRPr="0077708D">
        <w:rPr>
          <w:rFonts w:ascii="Gill Sans MT" w:hAnsi="Gill Sans MT"/>
          <w:b/>
          <w:bCs/>
          <w:sz w:val="20"/>
          <w:szCs w:val="20"/>
          <w:u w:val="single"/>
        </w:rPr>
        <w:t>xamples</w:t>
      </w:r>
      <w:proofErr w:type="spellEnd"/>
      <w:r w:rsidR="00D6480C" w:rsidRPr="0077708D">
        <w:rPr>
          <w:rFonts w:ascii="Gill Sans MT" w:hAnsi="Gill Sans MT"/>
          <w:b/>
          <w:bCs/>
          <w:sz w:val="20"/>
          <w:szCs w:val="20"/>
          <w:u w:val="single"/>
        </w:rPr>
        <w:t>, good practices and lessons learnt by national human rights institutions to enhance State accountability for preventing and responding to CEFM.</w:t>
      </w:r>
    </w:p>
    <w:p w14:paraId="62D8C483" w14:textId="5E32E59F" w:rsidR="005F24E3" w:rsidRPr="0077708D" w:rsidRDefault="005F24E3" w:rsidP="005F24E3">
      <w:pPr>
        <w:contextualSpacing/>
        <w:jc w:val="both"/>
        <w:rPr>
          <w:rFonts w:ascii="Gill Sans MT" w:hAnsi="Gill Sans MT"/>
          <w:b/>
          <w:bCs/>
          <w:sz w:val="20"/>
          <w:szCs w:val="20"/>
          <w:lang w:val="en-US"/>
        </w:rPr>
      </w:pPr>
    </w:p>
    <w:p w14:paraId="4FA27604" w14:textId="5EF6C37D" w:rsidR="00A07A29" w:rsidRPr="0077708D" w:rsidRDefault="00A07A29" w:rsidP="00A07A29">
      <w:pPr>
        <w:spacing w:line="240" w:lineRule="auto"/>
        <w:contextualSpacing/>
        <w:jc w:val="both"/>
        <w:rPr>
          <w:rFonts w:ascii="Gill Sans MT" w:hAnsi="Gill Sans MT" w:cs="Calibri"/>
          <w:sz w:val="20"/>
          <w:szCs w:val="20"/>
          <w:lang w:val="en-US"/>
        </w:rPr>
      </w:pPr>
      <w:r w:rsidRPr="0077708D">
        <w:rPr>
          <w:rFonts w:ascii="Gill Sans MT" w:hAnsi="Gill Sans MT" w:cs="Calibri"/>
          <w:sz w:val="20"/>
          <w:szCs w:val="20"/>
          <w:lang w:val="en-US"/>
        </w:rPr>
        <w:t>In relation to the good practices and lessons learnt on the use of international and regional human rights protection mechanisms, Save the Children</w:t>
      </w:r>
      <w:r w:rsidR="00900CE7" w:rsidRPr="0077708D">
        <w:rPr>
          <w:rFonts w:ascii="Gill Sans MT" w:hAnsi="Gill Sans MT" w:cs="Calibri"/>
          <w:sz w:val="20"/>
          <w:szCs w:val="20"/>
          <w:lang w:val="en-US"/>
        </w:rPr>
        <w:t xml:space="preserve"> </w:t>
      </w:r>
      <w:r w:rsidRPr="0077708D">
        <w:rPr>
          <w:rFonts w:ascii="Gill Sans MT" w:hAnsi="Gill Sans MT" w:cs="Calibri"/>
          <w:sz w:val="20"/>
          <w:szCs w:val="20"/>
          <w:lang w:val="en-US"/>
        </w:rPr>
        <w:t xml:space="preserve">have been able to build the </w:t>
      </w:r>
      <w:r w:rsidR="00C50BBC" w:rsidRPr="0077708D">
        <w:rPr>
          <w:rFonts w:ascii="Gill Sans MT" w:hAnsi="Gill Sans MT" w:cs="Calibri"/>
          <w:sz w:val="20"/>
          <w:szCs w:val="20"/>
          <w:lang w:val="en-US"/>
        </w:rPr>
        <w:t>capacity</w:t>
      </w:r>
      <w:r w:rsidRPr="0077708D">
        <w:rPr>
          <w:rFonts w:ascii="Gill Sans MT" w:hAnsi="Gill Sans MT" w:cs="Calibri"/>
          <w:sz w:val="20"/>
          <w:szCs w:val="20"/>
          <w:lang w:val="en-US"/>
        </w:rPr>
        <w:t xml:space="preserve"> of stakeholders and established structures in various aspects of child protection and understanding of children rights as enshrined in the Convention on the Rights of the Child and the African Charter on the Rights and Welfare of the Child.</w:t>
      </w:r>
    </w:p>
    <w:p w14:paraId="50F8AEB2" w14:textId="6F52B263" w:rsidR="00A07A29" w:rsidRPr="0077708D" w:rsidRDefault="00A07A29" w:rsidP="00A07A29">
      <w:pPr>
        <w:spacing w:line="240" w:lineRule="auto"/>
        <w:contextualSpacing/>
        <w:jc w:val="both"/>
        <w:rPr>
          <w:rFonts w:ascii="Gill Sans MT" w:hAnsi="Gill Sans MT" w:cs="Calibri"/>
          <w:sz w:val="20"/>
          <w:szCs w:val="20"/>
          <w:lang w:val="en-US"/>
        </w:rPr>
      </w:pPr>
    </w:p>
    <w:p w14:paraId="1DA83744" w14:textId="55C17861" w:rsidR="00A07A29" w:rsidRPr="0077708D" w:rsidRDefault="00A07A29" w:rsidP="004446E2">
      <w:pPr>
        <w:spacing w:line="240" w:lineRule="auto"/>
        <w:contextualSpacing/>
        <w:jc w:val="both"/>
        <w:rPr>
          <w:rFonts w:ascii="Gill Sans MT" w:hAnsi="Gill Sans MT" w:cs="Calibri"/>
          <w:sz w:val="20"/>
          <w:szCs w:val="20"/>
          <w:lang w:val="en-US"/>
        </w:rPr>
      </w:pPr>
      <w:r w:rsidRPr="0077708D">
        <w:rPr>
          <w:rFonts w:ascii="Gill Sans MT" w:hAnsi="Gill Sans MT" w:cs="Calibri"/>
          <w:sz w:val="20"/>
          <w:szCs w:val="20"/>
          <w:lang w:val="en-US"/>
        </w:rPr>
        <w:t xml:space="preserve">Save the Children Zambia have </w:t>
      </w:r>
      <w:r w:rsidR="00C80705">
        <w:rPr>
          <w:rFonts w:ascii="Gill Sans MT" w:hAnsi="Gill Sans MT" w:cs="Calibri"/>
          <w:sz w:val="20"/>
          <w:szCs w:val="20"/>
          <w:lang w:val="en-US"/>
        </w:rPr>
        <w:t xml:space="preserve">been </w:t>
      </w:r>
      <w:r w:rsidRPr="0077708D">
        <w:rPr>
          <w:rFonts w:ascii="Gill Sans MT" w:hAnsi="Gill Sans MT" w:cs="Calibri"/>
          <w:sz w:val="20"/>
          <w:szCs w:val="20"/>
          <w:lang w:val="en-US"/>
        </w:rPr>
        <w:t>engaging with the government for the enactment and amendment of legal frameworks and polic</w:t>
      </w:r>
      <w:r w:rsidR="003A1901">
        <w:rPr>
          <w:rFonts w:ascii="Gill Sans MT" w:hAnsi="Gill Sans MT" w:cs="Calibri"/>
          <w:sz w:val="20"/>
          <w:szCs w:val="20"/>
          <w:lang w:val="en-US"/>
        </w:rPr>
        <w:t>i</w:t>
      </w:r>
      <w:r w:rsidRPr="0077708D">
        <w:rPr>
          <w:rFonts w:ascii="Gill Sans MT" w:hAnsi="Gill Sans MT" w:cs="Calibri"/>
          <w:sz w:val="20"/>
          <w:szCs w:val="20"/>
          <w:lang w:val="en-US"/>
        </w:rPr>
        <w:t xml:space="preserve">es that strengthen the protection of children to ensure that children are safeguarded and provided with basic needs to survive and develop and ensuring that the best interest of the children is </w:t>
      </w:r>
      <w:r w:rsidR="00900CE7" w:rsidRPr="0077708D">
        <w:rPr>
          <w:rFonts w:ascii="Gill Sans MT" w:hAnsi="Gill Sans MT" w:cs="Calibri"/>
          <w:sz w:val="20"/>
          <w:szCs w:val="20"/>
          <w:lang w:val="en-US"/>
        </w:rPr>
        <w:t>prioritized</w:t>
      </w:r>
      <w:r w:rsidRPr="0077708D">
        <w:rPr>
          <w:rFonts w:ascii="Gill Sans MT" w:hAnsi="Gill Sans MT" w:cs="Calibri"/>
          <w:sz w:val="20"/>
          <w:szCs w:val="20"/>
          <w:lang w:val="en-US"/>
        </w:rPr>
        <w:t xml:space="preserve"> across government </w:t>
      </w:r>
      <w:proofErr w:type="spellStart"/>
      <w:r w:rsidRPr="0077708D">
        <w:rPr>
          <w:rFonts w:ascii="Gill Sans MT" w:hAnsi="Gill Sans MT" w:cs="Calibri"/>
          <w:sz w:val="20"/>
          <w:szCs w:val="20"/>
          <w:lang w:val="en-US"/>
        </w:rPr>
        <w:t>programmes</w:t>
      </w:r>
      <w:proofErr w:type="spellEnd"/>
      <w:r w:rsidRPr="0077708D">
        <w:rPr>
          <w:rFonts w:ascii="Gill Sans MT" w:hAnsi="Gill Sans MT" w:cs="Calibri"/>
          <w:sz w:val="20"/>
          <w:szCs w:val="20"/>
          <w:lang w:val="en-US"/>
        </w:rPr>
        <w:t xml:space="preserve"> and agendas to enhance the fight against CEFM. </w:t>
      </w:r>
      <w:r w:rsidR="004446E2" w:rsidRPr="0077708D">
        <w:rPr>
          <w:rFonts w:ascii="Gill Sans MT" w:hAnsi="Gill Sans MT" w:cs="Calibri"/>
          <w:sz w:val="20"/>
          <w:szCs w:val="20"/>
          <w:lang w:val="en-US"/>
        </w:rPr>
        <w:t xml:space="preserve">Save the Children have supported the </w:t>
      </w:r>
      <w:r w:rsidRPr="0077708D">
        <w:rPr>
          <w:rFonts w:ascii="Gill Sans MT" w:hAnsi="Gill Sans MT" w:cs="Calibri"/>
          <w:sz w:val="20"/>
          <w:szCs w:val="20"/>
          <w:lang w:val="en-US"/>
        </w:rPr>
        <w:t xml:space="preserve">National Child Rights Forum, </w:t>
      </w:r>
      <w:r w:rsidR="004446E2" w:rsidRPr="0077708D">
        <w:rPr>
          <w:rFonts w:ascii="Gill Sans MT" w:hAnsi="Gill Sans MT" w:cs="Calibri"/>
          <w:sz w:val="20"/>
          <w:szCs w:val="20"/>
          <w:lang w:val="en-US"/>
        </w:rPr>
        <w:t xml:space="preserve">and </w:t>
      </w:r>
      <w:r w:rsidRPr="0077708D">
        <w:rPr>
          <w:rFonts w:ascii="Gill Sans MT" w:hAnsi="Gill Sans MT" w:cs="Calibri"/>
          <w:sz w:val="20"/>
          <w:szCs w:val="20"/>
          <w:lang w:val="en-US"/>
        </w:rPr>
        <w:t xml:space="preserve">Caritas </w:t>
      </w:r>
      <w:r w:rsidR="004446E2" w:rsidRPr="0077708D">
        <w:rPr>
          <w:rFonts w:ascii="Gill Sans MT" w:hAnsi="Gill Sans MT" w:cs="Calibri"/>
          <w:sz w:val="20"/>
          <w:szCs w:val="20"/>
          <w:lang w:val="en-US"/>
        </w:rPr>
        <w:t>to</w:t>
      </w:r>
      <w:r w:rsidRPr="0077708D">
        <w:rPr>
          <w:rFonts w:ascii="Gill Sans MT" w:hAnsi="Gill Sans MT" w:cs="Calibri"/>
          <w:sz w:val="20"/>
          <w:szCs w:val="20"/>
          <w:lang w:val="en-US"/>
        </w:rPr>
        <w:t xml:space="preserve"> </w:t>
      </w:r>
      <w:r w:rsidR="004446E2" w:rsidRPr="0077708D">
        <w:rPr>
          <w:rFonts w:ascii="Gill Sans MT" w:hAnsi="Gill Sans MT" w:cs="Calibri"/>
          <w:sz w:val="20"/>
          <w:szCs w:val="20"/>
          <w:lang w:val="en-US"/>
        </w:rPr>
        <w:t xml:space="preserve">contribute to </w:t>
      </w:r>
      <w:r w:rsidR="000758BE" w:rsidRPr="0077708D">
        <w:rPr>
          <w:rFonts w:ascii="Gill Sans MT" w:hAnsi="Gill Sans MT" w:cs="Calibri"/>
          <w:sz w:val="20"/>
          <w:szCs w:val="20"/>
          <w:lang w:val="en-US"/>
        </w:rPr>
        <w:t>the</w:t>
      </w:r>
      <w:r w:rsidRPr="0077708D">
        <w:rPr>
          <w:rFonts w:ascii="Gill Sans MT" w:hAnsi="Gill Sans MT" w:cs="Calibri"/>
          <w:sz w:val="20"/>
          <w:szCs w:val="20"/>
          <w:lang w:val="en-US"/>
        </w:rPr>
        <w:t xml:space="preserve"> 2021 UNCRC shadow report for the state part</w:t>
      </w:r>
      <w:r w:rsidR="000758BE" w:rsidRPr="0077708D">
        <w:rPr>
          <w:rFonts w:ascii="Gill Sans MT" w:hAnsi="Gill Sans MT" w:cs="Calibri"/>
          <w:sz w:val="20"/>
          <w:szCs w:val="20"/>
          <w:lang w:val="en-US"/>
        </w:rPr>
        <w:t>y</w:t>
      </w:r>
      <w:r w:rsidRPr="0077708D">
        <w:rPr>
          <w:rFonts w:ascii="Gill Sans MT" w:hAnsi="Gill Sans MT" w:cs="Calibri"/>
          <w:sz w:val="20"/>
          <w:szCs w:val="20"/>
          <w:lang w:val="en-US"/>
        </w:rPr>
        <w:t xml:space="preserve"> reporting </w:t>
      </w:r>
      <w:r w:rsidR="000758BE" w:rsidRPr="0077708D">
        <w:rPr>
          <w:rFonts w:ascii="Gill Sans MT" w:hAnsi="Gill Sans MT" w:cs="Calibri"/>
          <w:sz w:val="20"/>
          <w:szCs w:val="20"/>
          <w:lang w:val="en-US"/>
        </w:rPr>
        <w:t>which included</w:t>
      </w:r>
      <w:r w:rsidRPr="0077708D">
        <w:rPr>
          <w:rFonts w:ascii="Gill Sans MT" w:hAnsi="Gill Sans MT" w:cs="Calibri"/>
          <w:sz w:val="20"/>
          <w:szCs w:val="20"/>
          <w:lang w:val="en-US"/>
        </w:rPr>
        <w:t xml:space="preserve"> CEFM and general issues around violence against </w:t>
      </w:r>
      <w:r w:rsidR="000758BE" w:rsidRPr="0077708D">
        <w:rPr>
          <w:rFonts w:ascii="Gill Sans MT" w:hAnsi="Gill Sans MT" w:cs="Calibri"/>
          <w:sz w:val="20"/>
          <w:szCs w:val="20"/>
          <w:lang w:val="en-US"/>
        </w:rPr>
        <w:t>children.</w:t>
      </w:r>
    </w:p>
    <w:p w14:paraId="36804B17" w14:textId="72CD8E7D" w:rsidR="000758BE" w:rsidRPr="0077708D" w:rsidRDefault="000758BE" w:rsidP="004446E2">
      <w:pPr>
        <w:spacing w:line="240" w:lineRule="auto"/>
        <w:contextualSpacing/>
        <w:jc w:val="both"/>
        <w:rPr>
          <w:rFonts w:ascii="Gill Sans MT" w:hAnsi="Gill Sans MT" w:cs="Calibri"/>
          <w:sz w:val="20"/>
          <w:szCs w:val="20"/>
          <w:lang w:val="en-US"/>
        </w:rPr>
      </w:pPr>
    </w:p>
    <w:p w14:paraId="02261597" w14:textId="09B5887F" w:rsidR="006A14C7" w:rsidRPr="0077708D" w:rsidRDefault="000758BE" w:rsidP="006A14C7">
      <w:pPr>
        <w:spacing w:line="240" w:lineRule="auto"/>
        <w:contextualSpacing/>
        <w:jc w:val="both"/>
        <w:rPr>
          <w:rFonts w:ascii="Gill Sans MT" w:hAnsi="Gill Sans MT" w:cs="Calibri"/>
          <w:sz w:val="20"/>
          <w:szCs w:val="20"/>
          <w:lang w:val="en-US"/>
        </w:rPr>
      </w:pPr>
      <w:r w:rsidRPr="0077708D">
        <w:rPr>
          <w:rFonts w:ascii="Gill Sans MT" w:hAnsi="Gill Sans MT" w:cs="Calibri"/>
          <w:sz w:val="20"/>
          <w:szCs w:val="20"/>
          <w:lang w:val="en-US"/>
        </w:rPr>
        <w:t xml:space="preserve">In Nepal, civil society actors </w:t>
      </w:r>
      <w:r w:rsidR="00D6480C" w:rsidRPr="0077708D">
        <w:rPr>
          <w:rFonts w:ascii="Gill Sans MT" w:hAnsi="Gill Sans MT" w:cs="Calibri"/>
          <w:sz w:val="20"/>
          <w:szCs w:val="20"/>
          <w:lang w:val="en-US"/>
        </w:rPr>
        <w:t xml:space="preserve">have remained vibrant and proactive to influence the government for fulfilling its national and international obligations. Save the Children along with CSOs have been </w:t>
      </w:r>
      <w:r w:rsidR="00C50BBC">
        <w:rPr>
          <w:rFonts w:ascii="Gill Sans MT" w:hAnsi="Gill Sans MT" w:cs="Calibri"/>
          <w:sz w:val="20"/>
          <w:szCs w:val="20"/>
          <w:lang w:val="en-US"/>
        </w:rPr>
        <w:t>involved</w:t>
      </w:r>
      <w:r w:rsidR="00D6480C" w:rsidRPr="0077708D">
        <w:rPr>
          <w:rFonts w:ascii="Gill Sans MT" w:hAnsi="Gill Sans MT" w:cs="Calibri"/>
          <w:sz w:val="20"/>
          <w:szCs w:val="20"/>
          <w:lang w:val="en-US"/>
        </w:rPr>
        <w:t xml:space="preserve"> in the reporting processes of Universal Periodic Review (UPR) from the first cycle in 2010. Save the Children and CSOs have raised issues of CEFM in the Stakeholders Report for the first, second, and third cycle. States have recommended the </w:t>
      </w:r>
      <w:proofErr w:type="spellStart"/>
      <w:r w:rsidR="00D6480C" w:rsidRPr="0077708D">
        <w:rPr>
          <w:rFonts w:ascii="Gill Sans MT" w:hAnsi="Gill Sans MT" w:cs="Calibri"/>
          <w:sz w:val="20"/>
          <w:szCs w:val="20"/>
          <w:lang w:val="en-US"/>
        </w:rPr>
        <w:t>GoN</w:t>
      </w:r>
      <w:proofErr w:type="spellEnd"/>
      <w:r w:rsidR="00D6480C" w:rsidRPr="0077708D">
        <w:rPr>
          <w:rFonts w:ascii="Gill Sans MT" w:hAnsi="Gill Sans MT" w:cs="Calibri"/>
          <w:sz w:val="20"/>
          <w:szCs w:val="20"/>
          <w:lang w:val="en-US"/>
        </w:rPr>
        <w:t xml:space="preserve"> to take concrete actions towards elimination of </w:t>
      </w:r>
      <w:r w:rsidR="00C50BBC">
        <w:rPr>
          <w:rFonts w:ascii="Gill Sans MT" w:hAnsi="Gill Sans MT" w:cs="Calibri"/>
          <w:sz w:val="20"/>
          <w:szCs w:val="20"/>
          <w:lang w:val="en-US"/>
        </w:rPr>
        <w:t>CEFM</w:t>
      </w:r>
      <w:r w:rsidR="00D6480C" w:rsidRPr="0077708D">
        <w:rPr>
          <w:rFonts w:ascii="Gill Sans MT" w:hAnsi="Gill Sans MT" w:cs="Calibri"/>
          <w:sz w:val="20"/>
          <w:szCs w:val="20"/>
          <w:lang w:val="en-US"/>
        </w:rPr>
        <w:t xml:space="preserve">. Save the Children and Children as Zone of Peace (CZOP) have been working closely with National Human Rights Commission (NHRC) and prepared the monitoring framework for the implementation of the UPR recommendations. In November 2021, NHRC has issued a directive recommendation to the </w:t>
      </w:r>
      <w:proofErr w:type="spellStart"/>
      <w:r w:rsidR="00D6480C" w:rsidRPr="0077708D">
        <w:rPr>
          <w:rFonts w:ascii="Gill Sans MT" w:hAnsi="Gill Sans MT" w:cs="Calibri"/>
          <w:sz w:val="20"/>
          <w:szCs w:val="20"/>
          <w:lang w:val="en-US"/>
        </w:rPr>
        <w:t>GoN</w:t>
      </w:r>
      <w:proofErr w:type="spellEnd"/>
      <w:r w:rsidR="00D6480C" w:rsidRPr="0077708D">
        <w:rPr>
          <w:rFonts w:ascii="Gill Sans MT" w:hAnsi="Gill Sans MT" w:cs="Calibri"/>
          <w:sz w:val="20"/>
          <w:szCs w:val="20"/>
          <w:lang w:val="en-US"/>
        </w:rPr>
        <w:t xml:space="preserve"> to develop and implement costed action plan to eliminate child marriage. </w:t>
      </w:r>
    </w:p>
    <w:p w14:paraId="40B38824" w14:textId="77777777" w:rsidR="006A14C7" w:rsidRPr="0077708D" w:rsidRDefault="006A14C7" w:rsidP="006A14C7">
      <w:pPr>
        <w:spacing w:line="240" w:lineRule="auto"/>
        <w:contextualSpacing/>
        <w:jc w:val="both"/>
        <w:rPr>
          <w:rFonts w:ascii="Gill Sans MT" w:hAnsi="Gill Sans MT" w:cs="Calibri"/>
          <w:sz w:val="20"/>
          <w:szCs w:val="20"/>
          <w:lang w:val="en-US"/>
        </w:rPr>
      </w:pPr>
    </w:p>
    <w:p w14:paraId="05EEAFD1" w14:textId="6C9F9211" w:rsidR="00A00DC5" w:rsidRPr="0077708D" w:rsidRDefault="00AB59C9" w:rsidP="006A14C7">
      <w:pPr>
        <w:spacing w:line="240" w:lineRule="auto"/>
        <w:contextualSpacing/>
        <w:jc w:val="both"/>
        <w:rPr>
          <w:rFonts w:ascii="Gill Sans MT" w:hAnsi="Gill Sans MT" w:cs="Calibri"/>
          <w:sz w:val="20"/>
          <w:szCs w:val="20"/>
          <w:lang w:val="en-US"/>
        </w:rPr>
      </w:pPr>
      <w:r w:rsidRPr="0077708D">
        <w:rPr>
          <w:rFonts w:ascii="Gill Sans MT" w:hAnsi="Gill Sans MT"/>
          <w:b/>
          <w:bCs/>
          <w:sz w:val="20"/>
          <w:szCs w:val="20"/>
          <w:u w:val="single"/>
        </w:rPr>
        <w:t xml:space="preserve">Recommendations </w:t>
      </w:r>
      <w:r w:rsidR="000B36A6" w:rsidRPr="0077708D">
        <w:rPr>
          <w:rFonts w:ascii="Gill Sans MT" w:hAnsi="Gill Sans MT"/>
          <w:b/>
          <w:bCs/>
          <w:sz w:val="20"/>
          <w:szCs w:val="20"/>
          <w:u w:val="single"/>
        </w:rPr>
        <w:t xml:space="preserve"> </w:t>
      </w:r>
    </w:p>
    <w:p w14:paraId="60656036" w14:textId="1FA3F5EC" w:rsidR="00900CE7" w:rsidRPr="0077708D" w:rsidRDefault="00900CE7" w:rsidP="00900CE7">
      <w:pPr>
        <w:spacing w:before="240" w:line="240" w:lineRule="auto"/>
        <w:jc w:val="both"/>
        <w:rPr>
          <w:rFonts w:ascii="Gill Sans MT" w:hAnsi="Gill Sans MT" w:cs="Calibri"/>
          <w:sz w:val="20"/>
          <w:szCs w:val="20"/>
          <w:lang w:val="en-US"/>
        </w:rPr>
      </w:pPr>
      <w:r w:rsidRPr="0077708D">
        <w:rPr>
          <w:rFonts w:ascii="Gill Sans MT" w:hAnsi="Gill Sans MT" w:cs="Calibri"/>
          <w:sz w:val="20"/>
          <w:szCs w:val="20"/>
          <w:lang w:val="en-US"/>
        </w:rPr>
        <w:t>Save the Children makes the following recommendations to national governments</w:t>
      </w:r>
      <w:r w:rsidR="00AD57A3" w:rsidRPr="0077708D">
        <w:rPr>
          <w:rFonts w:ascii="Gill Sans MT" w:hAnsi="Gill Sans MT" w:cs="Calibri"/>
          <w:sz w:val="20"/>
          <w:szCs w:val="20"/>
          <w:lang w:val="en-US"/>
        </w:rPr>
        <w:t xml:space="preserve"> and </w:t>
      </w:r>
      <w:r w:rsidRPr="0077708D">
        <w:rPr>
          <w:rFonts w:ascii="Gill Sans MT" w:hAnsi="Gill Sans MT" w:cs="Calibri"/>
          <w:sz w:val="20"/>
          <w:szCs w:val="20"/>
          <w:lang w:val="en-US"/>
        </w:rPr>
        <w:t>UN actors:</w:t>
      </w:r>
    </w:p>
    <w:p w14:paraId="26F01754" w14:textId="09605645" w:rsidR="00C060FE" w:rsidRPr="0077708D" w:rsidRDefault="00C060FE" w:rsidP="00900CE7">
      <w:pPr>
        <w:spacing w:before="240" w:line="240" w:lineRule="auto"/>
        <w:jc w:val="both"/>
        <w:rPr>
          <w:rFonts w:ascii="Gill Sans MT" w:hAnsi="Gill Sans MT" w:cs="Calibri"/>
          <w:b/>
          <w:bCs/>
          <w:sz w:val="20"/>
          <w:szCs w:val="20"/>
          <w:lang w:val="en-US"/>
        </w:rPr>
      </w:pPr>
      <w:r w:rsidRPr="0077708D">
        <w:rPr>
          <w:rFonts w:ascii="Gill Sans MT" w:hAnsi="Gill Sans MT" w:cs="Calibri"/>
          <w:b/>
          <w:bCs/>
          <w:sz w:val="20"/>
          <w:szCs w:val="20"/>
          <w:lang w:val="en-US"/>
        </w:rPr>
        <w:t xml:space="preserve">National governments </w:t>
      </w:r>
    </w:p>
    <w:p w14:paraId="1E3A5170" w14:textId="0BBD1D8B" w:rsidR="000A37BD" w:rsidRPr="0077708D" w:rsidRDefault="000A37BD" w:rsidP="00696C47">
      <w:pPr>
        <w:pStyle w:val="ListParagraph"/>
        <w:numPr>
          <w:ilvl w:val="0"/>
          <w:numId w:val="17"/>
        </w:numPr>
        <w:jc w:val="both"/>
        <w:rPr>
          <w:rFonts w:ascii="Gill Sans MT" w:hAnsi="Gill Sans MT"/>
          <w:sz w:val="20"/>
          <w:szCs w:val="20"/>
        </w:rPr>
      </w:pPr>
      <w:r w:rsidRPr="007F39FB">
        <w:rPr>
          <w:rFonts w:ascii="Gill Sans MT" w:hAnsi="Gill Sans MT"/>
          <w:b/>
          <w:bCs/>
          <w:sz w:val="20"/>
          <w:szCs w:val="20"/>
        </w:rPr>
        <w:t>Institutionalize adolescent girls’ safe and meaningful participation in policy-making and accountability processes</w:t>
      </w:r>
      <w:r w:rsidRPr="0077708D">
        <w:rPr>
          <w:rFonts w:ascii="Gill Sans MT" w:hAnsi="Gill Sans MT"/>
          <w:sz w:val="20"/>
          <w:szCs w:val="20"/>
        </w:rPr>
        <w:t xml:space="preserve"> through the establishment, resourcing, and implementation of local- and national-level laws, policies, and guidelines recognizing adolescent girls’ agency and rights as key stakeholders in their own lives. </w:t>
      </w:r>
    </w:p>
    <w:p w14:paraId="01C8E3D5" w14:textId="77777777" w:rsidR="00E85319" w:rsidRPr="009A4FC5" w:rsidRDefault="00E85319" w:rsidP="00696C47">
      <w:pPr>
        <w:pStyle w:val="ListParagraph"/>
        <w:numPr>
          <w:ilvl w:val="0"/>
          <w:numId w:val="17"/>
        </w:numPr>
        <w:jc w:val="both"/>
        <w:rPr>
          <w:rFonts w:ascii="Gill Sans MT" w:hAnsi="Gill Sans MT"/>
          <w:b/>
          <w:bCs/>
          <w:sz w:val="20"/>
          <w:szCs w:val="20"/>
        </w:rPr>
      </w:pPr>
      <w:r w:rsidRPr="009A4FC5">
        <w:rPr>
          <w:rFonts w:ascii="Gill Sans MT" w:hAnsi="Gill Sans MT"/>
          <w:b/>
          <w:bCs/>
          <w:sz w:val="20"/>
          <w:szCs w:val="20"/>
        </w:rPr>
        <w:t xml:space="preserve">Address critical barriers to girls’ rights and gender equality, including preventing and responding to child marriage by: </w:t>
      </w:r>
    </w:p>
    <w:p w14:paraId="63F350B3" w14:textId="1BDDC687" w:rsidR="00E85319" w:rsidRPr="0077708D" w:rsidRDefault="00E85319" w:rsidP="00696C47">
      <w:pPr>
        <w:pStyle w:val="ListParagraph"/>
        <w:numPr>
          <w:ilvl w:val="0"/>
          <w:numId w:val="18"/>
        </w:numPr>
        <w:jc w:val="both"/>
        <w:rPr>
          <w:rFonts w:ascii="Gill Sans MT" w:hAnsi="Gill Sans MT"/>
          <w:sz w:val="20"/>
          <w:szCs w:val="20"/>
        </w:rPr>
      </w:pPr>
      <w:r w:rsidRPr="0077708D">
        <w:rPr>
          <w:rFonts w:ascii="Gill Sans MT" w:hAnsi="Gill Sans MT"/>
          <w:sz w:val="20"/>
          <w:szCs w:val="20"/>
        </w:rPr>
        <w:t>Developing and strengthening formal and informal protection systems through engagement of local women’s, girls’, and children’s rights groups; of religious, traditional, and community leaders;</w:t>
      </w:r>
    </w:p>
    <w:p w14:paraId="3C1E0089" w14:textId="77777777" w:rsidR="00E85319" w:rsidRPr="0077708D" w:rsidRDefault="00E85319" w:rsidP="00696C47">
      <w:pPr>
        <w:pStyle w:val="ListParagraph"/>
        <w:numPr>
          <w:ilvl w:val="0"/>
          <w:numId w:val="18"/>
        </w:numPr>
        <w:jc w:val="both"/>
        <w:rPr>
          <w:rFonts w:ascii="Gill Sans MT" w:hAnsi="Gill Sans MT"/>
          <w:sz w:val="20"/>
          <w:szCs w:val="20"/>
        </w:rPr>
      </w:pPr>
      <w:r w:rsidRPr="0077708D">
        <w:rPr>
          <w:rFonts w:ascii="Gill Sans MT" w:hAnsi="Gill Sans MT"/>
          <w:sz w:val="20"/>
          <w:szCs w:val="20"/>
        </w:rPr>
        <w:t xml:space="preserve">Working with communities, including girls, their parents and caregivers, their extended families, men and boys, and traditional and religious leaders to challenge harmful gender norms and build support to end child marriage and other forms of gender-based violence. </w:t>
      </w:r>
    </w:p>
    <w:p w14:paraId="68921132" w14:textId="1471AD49" w:rsidR="00E85319" w:rsidRDefault="00E85319" w:rsidP="00696C47">
      <w:pPr>
        <w:pStyle w:val="ListParagraph"/>
        <w:numPr>
          <w:ilvl w:val="0"/>
          <w:numId w:val="18"/>
        </w:numPr>
        <w:jc w:val="both"/>
        <w:rPr>
          <w:rFonts w:ascii="Gill Sans MT" w:hAnsi="Gill Sans MT"/>
          <w:sz w:val="20"/>
          <w:szCs w:val="20"/>
        </w:rPr>
      </w:pPr>
      <w:r w:rsidRPr="0077708D">
        <w:rPr>
          <w:rFonts w:ascii="Gill Sans MT" w:hAnsi="Gill Sans MT"/>
          <w:sz w:val="20"/>
          <w:szCs w:val="20"/>
        </w:rPr>
        <w:t>Ending child marriage and supporting already married girls to realize their rights by passing laws against gender-based violence, including harmful practices; setting the minimum age of marriage at 18 years without exception; and repealing laws and policies that create barriers to girls accessing their rights to education and sexual and reproductive health services and information. These measures should form part of fully funded and implemented multisectoral national action plans with accountability mechanisms.</w:t>
      </w:r>
    </w:p>
    <w:p w14:paraId="681184C9" w14:textId="032006DD" w:rsidR="000947F0" w:rsidRDefault="000947F0" w:rsidP="000947F0">
      <w:pPr>
        <w:pStyle w:val="ListParagraph"/>
        <w:ind w:left="1080"/>
        <w:jc w:val="both"/>
        <w:rPr>
          <w:rFonts w:ascii="Gill Sans MT" w:hAnsi="Gill Sans MT"/>
          <w:sz w:val="20"/>
          <w:szCs w:val="20"/>
        </w:rPr>
      </w:pPr>
    </w:p>
    <w:p w14:paraId="569B9666" w14:textId="77777777" w:rsidR="00B94591" w:rsidRPr="00AC7F5F" w:rsidRDefault="00C060FE" w:rsidP="00696C47">
      <w:pPr>
        <w:spacing w:line="240" w:lineRule="auto"/>
        <w:rPr>
          <w:rFonts w:ascii="Gill Sans MT" w:hAnsi="Gill Sans MT"/>
          <w:b/>
          <w:bCs/>
          <w:sz w:val="20"/>
          <w:szCs w:val="20"/>
          <w:lang w:val="en-US"/>
        </w:rPr>
      </w:pPr>
      <w:r w:rsidRPr="00AC7F5F">
        <w:rPr>
          <w:rFonts w:ascii="Gill Sans MT" w:hAnsi="Gill Sans MT"/>
          <w:b/>
          <w:bCs/>
          <w:sz w:val="20"/>
          <w:szCs w:val="20"/>
          <w:lang w:val="en-US"/>
        </w:rPr>
        <w:t>UN actors and UN agencies</w:t>
      </w:r>
    </w:p>
    <w:p w14:paraId="309A424C" w14:textId="77777777" w:rsidR="006C6613" w:rsidRPr="00AC7F5F" w:rsidRDefault="00B94591" w:rsidP="006C08D9">
      <w:pPr>
        <w:pStyle w:val="ListParagraph"/>
        <w:numPr>
          <w:ilvl w:val="0"/>
          <w:numId w:val="24"/>
        </w:numPr>
        <w:jc w:val="both"/>
        <w:rPr>
          <w:rFonts w:ascii="Gill Sans MT" w:hAnsi="Gill Sans MT"/>
          <w:b/>
          <w:bCs/>
          <w:sz w:val="20"/>
          <w:szCs w:val="20"/>
        </w:rPr>
      </w:pPr>
      <w:r w:rsidRPr="00AC7F5F">
        <w:rPr>
          <w:rFonts w:ascii="Gill Sans MT" w:hAnsi="Gill Sans MT"/>
          <w:b/>
          <w:bCs/>
          <w:sz w:val="20"/>
          <w:szCs w:val="20"/>
        </w:rPr>
        <w:t>Systematically include adolescent girls’ safe and meaningful participation in international policy making and accountability processes that affect them.</w:t>
      </w:r>
      <w:r w:rsidRPr="00AC7F5F">
        <w:rPr>
          <w:rFonts w:ascii="Gill Sans MT" w:hAnsi="Gill Sans MT"/>
          <w:sz w:val="20"/>
          <w:szCs w:val="20"/>
        </w:rPr>
        <w:t xml:space="preserve"> UN actors should ensure adolescent girl-friendly and girl-specific platforms are available for them to safely engage with decision-makers in a meaningful, ongoing fashion.</w:t>
      </w:r>
    </w:p>
    <w:p w14:paraId="63637579" w14:textId="72BE49F4" w:rsidR="007F39FB" w:rsidRPr="00AC7F5F" w:rsidRDefault="006C6613" w:rsidP="006C08D9">
      <w:pPr>
        <w:pStyle w:val="ListParagraph"/>
        <w:numPr>
          <w:ilvl w:val="0"/>
          <w:numId w:val="24"/>
        </w:numPr>
        <w:jc w:val="both"/>
        <w:rPr>
          <w:rFonts w:ascii="Gill Sans MT" w:hAnsi="Gill Sans MT"/>
          <w:sz w:val="20"/>
          <w:szCs w:val="20"/>
        </w:rPr>
      </w:pPr>
      <w:r w:rsidRPr="00AC7F5F">
        <w:rPr>
          <w:rFonts w:ascii="Gill Sans MT" w:hAnsi="Gill Sans MT"/>
          <w:b/>
          <w:bCs/>
          <w:sz w:val="20"/>
          <w:szCs w:val="20"/>
        </w:rPr>
        <w:t>Deliver technical expertise and financial assistance to support development of national policies</w:t>
      </w:r>
      <w:r w:rsidRPr="00AC7F5F">
        <w:rPr>
          <w:rFonts w:ascii="Gill Sans MT" w:hAnsi="Gill Sans MT"/>
          <w:sz w:val="20"/>
          <w:szCs w:val="20"/>
        </w:rPr>
        <w:t xml:space="preserve"> </w:t>
      </w:r>
      <w:r w:rsidRPr="00AC7F5F">
        <w:rPr>
          <w:rFonts w:ascii="Gill Sans MT" w:hAnsi="Gill Sans MT"/>
          <w:b/>
          <w:bCs/>
          <w:sz w:val="20"/>
          <w:szCs w:val="20"/>
        </w:rPr>
        <w:t>and</w:t>
      </w:r>
      <w:r w:rsidR="007F39FB" w:rsidRPr="00AC7F5F">
        <w:rPr>
          <w:rFonts w:ascii="Gill Sans MT" w:hAnsi="Gill Sans MT"/>
          <w:b/>
          <w:bCs/>
          <w:sz w:val="20"/>
          <w:szCs w:val="20"/>
        </w:rPr>
        <w:t xml:space="preserve"> </w:t>
      </w:r>
      <w:proofErr w:type="spellStart"/>
      <w:r w:rsidRPr="00AC7F5F">
        <w:rPr>
          <w:rFonts w:ascii="Gill Sans MT" w:hAnsi="Gill Sans MT"/>
          <w:b/>
          <w:bCs/>
          <w:sz w:val="20"/>
          <w:szCs w:val="20"/>
        </w:rPr>
        <w:t>programmes</w:t>
      </w:r>
      <w:proofErr w:type="spellEnd"/>
      <w:r w:rsidRPr="00AC7F5F">
        <w:rPr>
          <w:rFonts w:ascii="Gill Sans MT" w:hAnsi="Gill Sans MT"/>
          <w:b/>
          <w:bCs/>
          <w:sz w:val="20"/>
          <w:szCs w:val="20"/>
        </w:rPr>
        <w:t xml:space="preserve"> for girls</w:t>
      </w:r>
      <w:r w:rsidRPr="00AC7F5F">
        <w:rPr>
          <w:rFonts w:ascii="Gill Sans MT" w:hAnsi="Gill Sans MT"/>
          <w:sz w:val="20"/>
          <w:szCs w:val="20"/>
        </w:rPr>
        <w:t>, including girls’ participation, accountability mechanisms, gender-and child-responsive budgeting, and safe and ethical data collection, analysis, and use in all settings.</w:t>
      </w:r>
    </w:p>
    <w:p w14:paraId="0927F960" w14:textId="389421DE" w:rsidR="006C08D9" w:rsidRPr="00AC7F5F" w:rsidRDefault="006C08D9" w:rsidP="000947F0">
      <w:pPr>
        <w:pStyle w:val="ListParagraph"/>
        <w:numPr>
          <w:ilvl w:val="0"/>
          <w:numId w:val="24"/>
        </w:numPr>
        <w:spacing w:before="240"/>
        <w:jc w:val="both"/>
        <w:rPr>
          <w:rFonts w:ascii="Gill Sans MT" w:eastAsiaTheme="minorEastAsia" w:hAnsi="Gill Sans MT"/>
          <w:b/>
          <w:i/>
          <w:sz w:val="20"/>
          <w:szCs w:val="20"/>
        </w:rPr>
      </w:pPr>
      <w:r w:rsidRPr="00AC7F5F">
        <w:rPr>
          <w:rFonts w:ascii="Gill Sans MT" w:hAnsi="Gill Sans MT"/>
          <w:b/>
          <w:sz w:val="20"/>
          <w:szCs w:val="20"/>
        </w:rPr>
        <w:lastRenderedPageBreak/>
        <w:t>Comprehensively collect, analyze, and use data disaggregated by sex, age, and disability.</w:t>
      </w:r>
      <w:r w:rsidRPr="00AC7F5F">
        <w:rPr>
          <w:rFonts w:ascii="Gill Sans MT" w:hAnsi="Gill Sans MT"/>
          <w:sz w:val="20"/>
          <w:szCs w:val="20"/>
        </w:rPr>
        <w:t xml:space="preserve"> </w:t>
      </w:r>
      <w:r w:rsidRPr="00AC7F5F">
        <w:rPr>
          <w:rFonts w:ascii="Gill Sans MT" w:hAnsi="Gill Sans MT" w:cs="Gill Sans Infant Std"/>
          <w:bCs/>
          <w:sz w:val="20"/>
          <w:szCs w:val="20"/>
        </w:rPr>
        <w:t xml:space="preserve">Those undertaking identification, documentation, investigation and/or verification of rights violations must ensure ethical, safe and responsible practices. </w:t>
      </w:r>
      <w:r w:rsidRPr="00AC7F5F">
        <w:rPr>
          <w:rFonts w:ascii="Gill Sans MT" w:hAnsi="Gill Sans MT"/>
          <w:sz w:val="20"/>
          <w:szCs w:val="20"/>
        </w:rPr>
        <w:t xml:space="preserve">All data collection must safeguard children’s safety and protection, and adhere to established data collection safety and ethics standards. Policies and practices must be child-friendly, gender-sensitive and inclusive. Security and safety considerations, as well as the psychological well-being of </w:t>
      </w:r>
      <w:r w:rsidR="00DD0B30">
        <w:rPr>
          <w:rFonts w:ascii="Gill Sans MT" w:hAnsi="Gill Sans MT"/>
          <w:sz w:val="20"/>
          <w:szCs w:val="20"/>
        </w:rPr>
        <w:t xml:space="preserve">CEFM </w:t>
      </w:r>
      <w:r w:rsidRPr="00AC7F5F">
        <w:rPr>
          <w:rFonts w:ascii="Gill Sans MT" w:hAnsi="Gill Sans MT"/>
          <w:sz w:val="20"/>
          <w:szCs w:val="20"/>
        </w:rPr>
        <w:t xml:space="preserve">survivors and others, must outweigh any attempt to establish prevalence or incidence data. </w:t>
      </w:r>
    </w:p>
    <w:p w14:paraId="7E5A6B97" w14:textId="0DE7EA86" w:rsidR="006C08D9" w:rsidRPr="00AC7F5F" w:rsidRDefault="006C08D9" w:rsidP="000947F0">
      <w:pPr>
        <w:spacing w:before="240"/>
        <w:ind w:left="360"/>
        <w:jc w:val="both"/>
        <w:rPr>
          <w:rFonts w:ascii="Gill Sans MT" w:hAnsi="Gill Sans MT"/>
          <w:sz w:val="20"/>
          <w:szCs w:val="20"/>
          <w:u w:val="single"/>
          <w:lang w:val="en-US"/>
        </w:rPr>
      </w:pPr>
      <w:r w:rsidRPr="00AC7F5F">
        <w:rPr>
          <w:rFonts w:ascii="Gill Sans MT" w:hAnsi="Gill Sans MT"/>
          <w:sz w:val="20"/>
          <w:szCs w:val="20"/>
          <w:u w:val="single"/>
          <w:lang w:val="en-US"/>
        </w:rPr>
        <w:t xml:space="preserve">Human Rights Council </w:t>
      </w:r>
    </w:p>
    <w:p w14:paraId="270B3581" w14:textId="259225BB" w:rsidR="006C08D9" w:rsidRPr="00AC7F5F" w:rsidRDefault="006C08D9" w:rsidP="006C08D9">
      <w:pPr>
        <w:pStyle w:val="ListParagraph"/>
        <w:numPr>
          <w:ilvl w:val="0"/>
          <w:numId w:val="23"/>
        </w:numPr>
        <w:jc w:val="both"/>
        <w:rPr>
          <w:rFonts w:ascii="Gill Sans MT" w:eastAsiaTheme="minorEastAsia" w:hAnsi="Gill Sans MT"/>
          <w:sz w:val="20"/>
          <w:szCs w:val="20"/>
        </w:rPr>
      </w:pPr>
      <w:r w:rsidRPr="00AC7F5F">
        <w:rPr>
          <w:rFonts w:ascii="Gill Sans MT" w:eastAsiaTheme="minorEastAsia" w:hAnsi="Gill Sans MT"/>
          <w:b/>
          <w:bCs/>
          <w:sz w:val="20"/>
          <w:szCs w:val="20"/>
        </w:rPr>
        <w:t>Ensure that legal and policy frameworks and all accountability mechanisms recognize and incorporate an age and gender lens</w:t>
      </w:r>
      <w:r w:rsidRPr="00AC7F5F">
        <w:rPr>
          <w:rFonts w:ascii="Gill Sans MT" w:eastAsiaTheme="minorEastAsia" w:hAnsi="Gill Sans MT"/>
          <w:bCs/>
          <w:sz w:val="20"/>
          <w:szCs w:val="20"/>
        </w:rPr>
        <w:t>. This includes within the:</w:t>
      </w:r>
    </w:p>
    <w:p w14:paraId="741054BA" w14:textId="77777777" w:rsidR="006C08D9" w:rsidRPr="00AC7F5F" w:rsidRDefault="006C08D9" w:rsidP="006C08D9">
      <w:pPr>
        <w:pStyle w:val="ListParagraph"/>
        <w:jc w:val="both"/>
        <w:rPr>
          <w:rFonts w:ascii="Gill Sans MT" w:eastAsiaTheme="minorEastAsia" w:hAnsi="Gill Sans MT"/>
          <w:sz w:val="20"/>
          <w:szCs w:val="20"/>
        </w:rPr>
      </w:pPr>
    </w:p>
    <w:p w14:paraId="617B3CB6" w14:textId="77777777" w:rsidR="006C08D9" w:rsidRPr="00AC7F5F" w:rsidRDefault="006C08D9" w:rsidP="006C08D9">
      <w:pPr>
        <w:pStyle w:val="ListParagraph"/>
        <w:numPr>
          <w:ilvl w:val="1"/>
          <w:numId w:val="23"/>
        </w:numPr>
        <w:jc w:val="both"/>
        <w:rPr>
          <w:rFonts w:ascii="Gill Sans MT" w:eastAsiaTheme="minorEastAsia" w:hAnsi="Gill Sans MT"/>
          <w:sz w:val="20"/>
          <w:szCs w:val="20"/>
        </w:rPr>
      </w:pPr>
      <w:r w:rsidRPr="00AC7F5F">
        <w:rPr>
          <w:rFonts w:ascii="Gill Sans MT" w:eastAsiaTheme="minorEastAsia" w:hAnsi="Gill Sans MT"/>
          <w:sz w:val="20"/>
          <w:szCs w:val="20"/>
        </w:rPr>
        <w:t xml:space="preserve">Human Rights Council Resolutions; </w:t>
      </w:r>
    </w:p>
    <w:p w14:paraId="4FD500DC" w14:textId="77777777" w:rsidR="006C08D9" w:rsidRPr="00AC7F5F" w:rsidRDefault="006C08D9" w:rsidP="006C08D9">
      <w:pPr>
        <w:pStyle w:val="ListParagraph"/>
        <w:numPr>
          <w:ilvl w:val="1"/>
          <w:numId w:val="23"/>
        </w:numPr>
        <w:jc w:val="both"/>
        <w:rPr>
          <w:rFonts w:ascii="Gill Sans MT" w:eastAsiaTheme="minorEastAsia" w:hAnsi="Gill Sans MT"/>
          <w:sz w:val="20"/>
          <w:szCs w:val="20"/>
        </w:rPr>
      </w:pPr>
      <w:r w:rsidRPr="00AC7F5F">
        <w:rPr>
          <w:rFonts w:ascii="Gill Sans MT" w:eastAsiaTheme="minorEastAsia" w:hAnsi="Gill Sans MT"/>
          <w:sz w:val="20"/>
          <w:szCs w:val="20"/>
        </w:rPr>
        <w:t>Reports and briefings by UN Special Mandate Holders; and,</w:t>
      </w:r>
    </w:p>
    <w:p w14:paraId="398EE398" w14:textId="77777777" w:rsidR="006C08D9" w:rsidRPr="00AC7F5F" w:rsidRDefault="006C08D9" w:rsidP="006C08D9">
      <w:pPr>
        <w:pStyle w:val="ListParagraph"/>
        <w:numPr>
          <w:ilvl w:val="1"/>
          <w:numId w:val="23"/>
        </w:numPr>
        <w:jc w:val="both"/>
        <w:rPr>
          <w:rFonts w:ascii="Gill Sans MT" w:eastAsiaTheme="minorEastAsia" w:hAnsi="Gill Sans MT"/>
          <w:sz w:val="20"/>
          <w:szCs w:val="20"/>
        </w:rPr>
      </w:pPr>
      <w:r w:rsidRPr="00AC7F5F">
        <w:rPr>
          <w:rFonts w:ascii="Gill Sans MT" w:eastAsiaTheme="minorEastAsia" w:hAnsi="Gill Sans MT"/>
          <w:sz w:val="20"/>
          <w:szCs w:val="20"/>
        </w:rPr>
        <w:t>Recommendations to UN Member States under the Universal Periodic Review.</w:t>
      </w:r>
    </w:p>
    <w:p w14:paraId="39BE18BC" w14:textId="77777777" w:rsidR="006C08D9" w:rsidRPr="00494074" w:rsidRDefault="006C08D9" w:rsidP="006C08D9">
      <w:pPr>
        <w:pStyle w:val="ListParagraph"/>
        <w:ind w:left="1440"/>
        <w:jc w:val="both"/>
        <w:rPr>
          <w:rFonts w:ascii="Gill Sans Infant Std" w:eastAsiaTheme="minorEastAsia" w:hAnsi="Gill Sans Infant Std"/>
        </w:rPr>
      </w:pPr>
    </w:p>
    <w:p w14:paraId="6CE5A6D2" w14:textId="77777777" w:rsidR="006C08D9" w:rsidRPr="006C08D9" w:rsidRDefault="006C08D9">
      <w:pPr>
        <w:ind w:left="360"/>
        <w:jc w:val="both"/>
        <w:rPr>
          <w:rFonts w:ascii="Gill Sans Infant Std" w:eastAsiaTheme="minorEastAsia" w:hAnsi="Gill Sans Infant Std"/>
          <w:b/>
          <w:i/>
        </w:rPr>
      </w:pPr>
    </w:p>
    <w:sectPr w:rsidR="006C08D9" w:rsidRPr="006C08D9" w:rsidSect="00A035E2">
      <w:headerReference w:type="default" r:id="rId8"/>
      <w:footerReference w:type="default" r:id="rId9"/>
      <w:pgSz w:w="11906" w:h="16838"/>
      <w:pgMar w:top="993" w:right="1133" w:bottom="1440" w:left="1134" w:header="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9B1E" w14:textId="77777777" w:rsidR="005641EB" w:rsidRDefault="005641EB" w:rsidP="00D10D35">
      <w:pPr>
        <w:spacing w:after="0" w:line="240" w:lineRule="auto"/>
      </w:pPr>
      <w:r>
        <w:separator/>
      </w:r>
    </w:p>
  </w:endnote>
  <w:endnote w:type="continuationSeparator" w:id="0">
    <w:p w14:paraId="2F158D10" w14:textId="77777777" w:rsidR="005641EB" w:rsidRDefault="005641EB" w:rsidP="00D1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785713"/>
      <w:docPartObj>
        <w:docPartGallery w:val="Page Numbers (Bottom of Page)"/>
        <w:docPartUnique/>
      </w:docPartObj>
    </w:sdtPr>
    <w:sdtEndPr>
      <w:rPr>
        <w:noProof/>
      </w:rPr>
    </w:sdtEndPr>
    <w:sdtContent>
      <w:p w14:paraId="20E6E03F" w14:textId="23D8F8D2" w:rsidR="003E3F97" w:rsidRDefault="003E3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592C5" w14:textId="77777777" w:rsidR="003E3F97" w:rsidRDefault="003E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44F5" w14:textId="77777777" w:rsidR="005641EB" w:rsidRDefault="005641EB" w:rsidP="00D10D35">
      <w:pPr>
        <w:spacing w:after="0" w:line="240" w:lineRule="auto"/>
      </w:pPr>
      <w:r>
        <w:separator/>
      </w:r>
    </w:p>
  </w:footnote>
  <w:footnote w:type="continuationSeparator" w:id="0">
    <w:p w14:paraId="7E870859" w14:textId="77777777" w:rsidR="005641EB" w:rsidRDefault="005641EB" w:rsidP="00D10D35">
      <w:pPr>
        <w:spacing w:after="0" w:line="240" w:lineRule="auto"/>
      </w:pPr>
      <w:r>
        <w:continuationSeparator/>
      </w:r>
    </w:p>
  </w:footnote>
  <w:footnote w:id="1">
    <w:p w14:paraId="20CB76D0" w14:textId="000AF226" w:rsidR="00D10D35" w:rsidRPr="001A2CD4" w:rsidRDefault="00D10D35" w:rsidP="004639BF">
      <w:pPr>
        <w:spacing w:after="0"/>
        <w:jc w:val="both"/>
        <w:rPr>
          <w:rFonts w:ascii="Gill Sans MT" w:hAnsi="Gill Sans MT" w:cs="Calibri"/>
          <w:sz w:val="16"/>
          <w:szCs w:val="16"/>
          <w:lang w:val="en-US"/>
        </w:rPr>
      </w:pPr>
      <w:r w:rsidRPr="001A2CD4">
        <w:rPr>
          <w:rStyle w:val="FootnoteReference"/>
          <w:rFonts w:ascii="Gill Sans MT" w:hAnsi="Gill Sans MT" w:cs="Calibri"/>
          <w:sz w:val="16"/>
          <w:szCs w:val="16"/>
        </w:rPr>
        <w:footnoteRef/>
      </w:r>
      <w:r w:rsidR="00887686" w:rsidRPr="001A2CD4">
        <w:rPr>
          <w:rFonts w:ascii="Gill Sans MT" w:hAnsi="Gill Sans MT" w:cs="Calibri"/>
          <w:sz w:val="16"/>
          <w:szCs w:val="16"/>
          <w:lang w:val="en-US"/>
        </w:rPr>
        <w:t xml:space="preserve"> </w:t>
      </w:r>
      <w:r w:rsidR="00887686" w:rsidRPr="001A2CD4">
        <w:rPr>
          <w:rStyle w:val="markedcontent"/>
          <w:rFonts w:ascii="Gill Sans MT" w:hAnsi="Gill Sans MT" w:cs="Calibri"/>
          <w:sz w:val="16"/>
          <w:szCs w:val="16"/>
          <w:lang w:val="en-US"/>
        </w:rPr>
        <w:t xml:space="preserve">Addressing Data Gaps on Child, Early and Forced Marriage in Humanitarian Settings: </w:t>
      </w:r>
      <w:hyperlink r:id="rId1" w:history="1">
        <w:r w:rsidR="00887686" w:rsidRPr="001A2CD4">
          <w:rPr>
            <w:rStyle w:val="Hyperlink"/>
            <w:rFonts w:ascii="Gill Sans MT" w:hAnsi="Gill Sans MT" w:cs="Calibri"/>
            <w:sz w:val="16"/>
            <w:szCs w:val="16"/>
          </w:rPr>
          <w:t>https://www.savethechildren.org/content/dam/usa/reports/ed-cp/cefm-in-humanitarian-settings.pdf</w:t>
        </w:r>
      </w:hyperlink>
      <w:r w:rsidRPr="001A2CD4">
        <w:rPr>
          <w:rFonts w:ascii="Gill Sans MT" w:hAnsi="Gill Sans MT" w:cs="Calibri"/>
          <w:sz w:val="16"/>
          <w:szCs w:val="16"/>
        </w:rPr>
        <w:t xml:space="preserve"> </w:t>
      </w:r>
    </w:p>
  </w:footnote>
  <w:footnote w:id="2">
    <w:p w14:paraId="3899CEB9" w14:textId="77777777" w:rsidR="00D10D35" w:rsidRPr="001A2CD4" w:rsidRDefault="00D10D35" w:rsidP="004639BF">
      <w:pPr>
        <w:pStyle w:val="FootnoteText"/>
        <w:jc w:val="both"/>
        <w:rPr>
          <w:rFonts w:ascii="Gill Sans MT" w:hAnsi="Gill Sans MT" w:cs="Calibri"/>
          <w:sz w:val="16"/>
          <w:szCs w:val="16"/>
          <w:lang w:val="en-US"/>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w:t>
      </w:r>
      <w:r w:rsidRPr="001A2CD4">
        <w:rPr>
          <w:rFonts w:ascii="Gill Sans MT" w:hAnsi="Gill Sans MT" w:cs="Calibri"/>
          <w:sz w:val="16"/>
          <w:szCs w:val="16"/>
          <w:lang w:val="en-US"/>
        </w:rPr>
        <w:t>Ibid.</w:t>
      </w:r>
    </w:p>
  </w:footnote>
  <w:footnote w:id="3">
    <w:p w14:paraId="2C79F9EC" w14:textId="2224C61A" w:rsidR="00D10D35" w:rsidRPr="001A2CD4" w:rsidRDefault="00D10D35" w:rsidP="004639BF">
      <w:pPr>
        <w:pStyle w:val="FootnoteText"/>
        <w:jc w:val="both"/>
        <w:rPr>
          <w:rFonts w:ascii="Gill Sans MT" w:hAnsi="Gill Sans MT" w:cs="Calibri"/>
          <w:sz w:val="16"/>
          <w:szCs w:val="16"/>
          <w:lang w:val="en-US"/>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w:t>
      </w:r>
      <w:r w:rsidR="00887686" w:rsidRPr="001A2CD4">
        <w:rPr>
          <w:rFonts w:ascii="Gill Sans MT" w:hAnsi="Gill Sans MT" w:cs="Calibri"/>
          <w:sz w:val="16"/>
          <w:szCs w:val="16"/>
          <w:lang w:val="en-US"/>
        </w:rPr>
        <w:t xml:space="preserve">Global Girlhood Report 2021: </w:t>
      </w:r>
      <w:hyperlink r:id="rId2" w:history="1">
        <w:r w:rsidRPr="001A2CD4">
          <w:rPr>
            <w:rStyle w:val="Hyperlink"/>
            <w:rFonts w:ascii="Gill Sans MT" w:hAnsi="Gill Sans MT" w:cs="Calibri"/>
            <w:sz w:val="16"/>
            <w:szCs w:val="16"/>
          </w:rPr>
          <w:t>Global Girlhood Report 2021 | Save the Children’s Resource Centre</w:t>
        </w:r>
      </w:hyperlink>
      <w:r w:rsidRPr="001A2CD4">
        <w:rPr>
          <w:rFonts w:ascii="Gill Sans MT" w:hAnsi="Gill Sans MT" w:cs="Calibri"/>
          <w:sz w:val="16"/>
          <w:szCs w:val="16"/>
          <w:lang w:val="en-US"/>
        </w:rPr>
        <w:t xml:space="preserve"> </w:t>
      </w:r>
    </w:p>
  </w:footnote>
  <w:footnote w:id="4">
    <w:p w14:paraId="5E75ACB9" w14:textId="26EECC5B" w:rsidR="00D10D35" w:rsidRPr="001A2CD4" w:rsidRDefault="00D10D35" w:rsidP="004639BF">
      <w:pPr>
        <w:pStyle w:val="FootnoteText"/>
        <w:jc w:val="both"/>
        <w:rPr>
          <w:rFonts w:ascii="Gill Sans MT" w:hAnsi="Gill Sans MT" w:cs="Calibri"/>
          <w:sz w:val="16"/>
          <w:szCs w:val="16"/>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International Energy Agency (2020) </w:t>
      </w:r>
      <w:hyperlink r:id="rId3" w:history="1">
        <w:r w:rsidRPr="001A2CD4">
          <w:rPr>
            <w:rStyle w:val="Hyperlink"/>
            <w:rFonts w:ascii="Gill Sans MT" w:hAnsi="Gill Sans MT" w:cs="Calibri"/>
            <w:sz w:val="16"/>
            <w:szCs w:val="16"/>
          </w:rPr>
          <w:t>Global Energy Review 2020: The impacts of</w:t>
        </w:r>
        <w:r w:rsidRPr="001A2CD4">
          <w:rPr>
            <w:rStyle w:val="Hyperlink"/>
            <w:rFonts w:ascii="Gill Sans MT" w:hAnsi="Gill Sans MT" w:cs="Calibri"/>
            <w:sz w:val="16"/>
            <w:szCs w:val="16"/>
            <w:lang w:val="en-US"/>
          </w:rPr>
          <w:t xml:space="preserve"> </w:t>
        </w:r>
        <w:r w:rsidRPr="001A2CD4">
          <w:rPr>
            <w:rStyle w:val="Hyperlink"/>
            <w:rFonts w:ascii="Gill Sans MT" w:hAnsi="Gill Sans MT" w:cs="Calibri"/>
            <w:sz w:val="16"/>
            <w:szCs w:val="16"/>
          </w:rPr>
          <w:t>the COVID-19 crisis on global energy demand and CO2 emissions</w:t>
        </w:r>
      </w:hyperlink>
      <w:r w:rsidRPr="001A2CD4">
        <w:rPr>
          <w:rFonts w:ascii="Gill Sans MT" w:hAnsi="Gill Sans MT" w:cs="Calibri"/>
          <w:sz w:val="16"/>
          <w:szCs w:val="16"/>
        </w:rPr>
        <w:t>;</w:t>
      </w:r>
      <w:r w:rsidRPr="001A2CD4">
        <w:rPr>
          <w:rFonts w:ascii="Gill Sans MT" w:hAnsi="Gill Sans MT" w:cs="Calibri"/>
          <w:sz w:val="16"/>
          <w:szCs w:val="16"/>
          <w:lang w:val="en-US"/>
        </w:rPr>
        <w:t xml:space="preserve"> </w:t>
      </w:r>
      <w:r w:rsidRPr="001A2CD4">
        <w:rPr>
          <w:rFonts w:ascii="Gill Sans MT" w:hAnsi="Gill Sans MT" w:cs="Calibri"/>
          <w:sz w:val="16"/>
          <w:szCs w:val="16"/>
        </w:rPr>
        <w:t>World Health</w:t>
      </w:r>
      <w:r w:rsidRPr="001A2CD4">
        <w:rPr>
          <w:rFonts w:ascii="Gill Sans MT" w:hAnsi="Gill Sans MT" w:cs="Calibri"/>
          <w:sz w:val="16"/>
          <w:szCs w:val="16"/>
          <w:lang w:val="en-US"/>
        </w:rPr>
        <w:t xml:space="preserve"> </w:t>
      </w:r>
      <w:r w:rsidRPr="001A2CD4">
        <w:rPr>
          <w:rFonts w:ascii="Gill Sans MT" w:hAnsi="Gill Sans MT" w:cs="Calibri"/>
          <w:sz w:val="16"/>
          <w:szCs w:val="16"/>
        </w:rPr>
        <w:t xml:space="preserve">Organization (2021) WHO Coronavirus (COVID-19) Dashboard </w:t>
      </w:r>
      <w:r w:rsidR="006E77A7" w:rsidRPr="001A2CD4">
        <w:rPr>
          <w:rFonts w:ascii="Gill Sans MT" w:hAnsi="Gill Sans MT" w:cs="Calibri"/>
          <w:sz w:val="16"/>
          <w:szCs w:val="16"/>
          <w:lang w:val="en-US"/>
        </w:rPr>
        <w:t>w</w:t>
      </w:r>
      <w:proofErr w:type="spellStart"/>
      <w:r w:rsidRPr="001A2CD4">
        <w:rPr>
          <w:rFonts w:ascii="Gill Sans MT" w:hAnsi="Gill Sans MT" w:cs="Calibri"/>
          <w:sz w:val="16"/>
          <w:szCs w:val="16"/>
        </w:rPr>
        <w:t>ith</w:t>
      </w:r>
      <w:proofErr w:type="spellEnd"/>
      <w:r w:rsidRPr="001A2CD4">
        <w:rPr>
          <w:rFonts w:ascii="Gill Sans MT" w:hAnsi="Gill Sans MT" w:cs="Calibri"/>
          <w:sz w:val="16"/>
          <w:szCs w:val="16"/>
        </w:rPr>
        <w:t xml:space="preserve"> Vaccination</w:t>
      </w:r>
      <w:r w:rsidRPr="001A2CD4">
        <w:rPr>
          <w:rFonts w:ascii="Gill Sans MT" w:hAnsi="Gill Sans MT" w:cs="Calibri"/>
          <w:sz w:val="16"/>
          <w:szCs w:val="16"/>
          <w:lang w:val="en-US"/>
        </w:rPr>
        <w:t xml:space="preserve"> </w:t>
      </w:r>
      <w:r w:rsidRPr="001A2CD4">
        <w:rPr>
          <w:rFonts w:ascii="Gill Sans MT" w:hAnsi="Gill Sans MT" w:cs="Calibri"/>
          <w:sz w:val="16"/>
          <w:szCs w:val="16"/>
        </w:rPr>
        <w:t>Data.</w:t>
      </w:r>
    </w:p>
  </w:footnote>
  <w:footnote w:id="5">
    <w:p w14:paraId="2BC257DB" w14:textId="311CA904" w:rsidR="00E74621" w:rsidRPr="001A2CD4" w:rsidRDefault="00E74621" w:rsidP="004639BF">
      <w:pPr>
        <w:pStyle w:val="FootnoteText"/>
        <w:jc w:val="both"/>
        <w:rPr>
          <w:rFonts w:ascii="Gill Sans MT" w:hAnsi="Gill Sans MT"/>
          <w:sz w:val="16"/>
          <w:szCs w:val="16"/>
        </w:rPr>
      </w:pPr>
      <w:r w:rsidRPr="001A2CD4">
        <w:rPr>
          <w:rStyle w:val="FootnoteReference"/>
          <w:rFonts w:ascii="Gill Sans MT" w:hAnsi="Gill Sans MT"/>
          <w:sz w:val="16"/>
          <w:szCs w:val="16"/>
        </w:rPr>
        <w:footnoteRef/>
      </w:r>
      <w:r w:rsidRPr="001A2CD4">
        <w:rPr>
          <w:rFonts w:ascii="Gill Sans MT" w:hAnsi="Gill Sans MT"/>
          <w:sz w:val="16"/>
          <w:szCs w:val="16"/>
          <w:lang w:val="en-US"/>
        </w:rPr>
        <w:t xml:space="preserve"> Save the Children – Child Marriage</w:t>
      </w:r>
      <w:r w:rsidRPr="001A2CD4">
        <w:rPr>
          <w:rFonts w:ascii="Gill Sans MT" w:hAnsi="Gill Sans MT"/>
          <w:sz w:val="16"/>
          <w:szCs w:val="16"/>
        </w:rPr>
        <w:t xml:space="preserve"> </w:t>
      </w:r>
      <w:hyperlink r:id="rId4" w:history="1">
        <w:r w:rsidRPr="001A2CD4">
          <w:rPr>
            <w:rStyle w:val="Hyperlink"/>
            <w:rFonts w:ascii="Gill Sans MT" w:hAnsi="Gill Sans MT"/>
            <w:sz w:val="16"/>
            <w:szCs w:val="16"/>
          </w:rPr>
          <w:t>https://www.savethechildren.org/us/charity-stories/child-marriage-a-violation-of-child-rights</w:t>
        </w:r>
      </w:hyperlink>
      <w:r w:rsidRPr="001A2CD4">
        <w:rPr>
          <w:rFonts w:ascii="Gill Sans MT" w:hAnsi="Gill Sans MT"/>
          <w:sz w:val="16"/>
          <w:szCs w:val="16"/>
        </w:rPr>
        <w:t xml:space="preserve"> </w:t>
      </w:r>
    </w:p>
  </w:footnote>
  <w:footnote w:id="6">
    <w:p w14:paraId="174A580C" w14:textId="60187D48" w:rsidR="009F5CBF" w:rsidRPr="001A2CD4" w:rsidRDefault="009F5CBF" w:rsidP="004639BF">
      <w:pPr>
        <w:pStyle w:val="FootnoteText"/>
        <w:jc w:val="both"/>
        <w:rPr>
          <w:rFonts w:ascii="Gill Sans MT" w:hAnsi="Gill Sans MT" w:cs="Calibri"/>
          <w:sz w:val="16"/>
          <w:szCs w:val="16"/>
        </w:rPr>
      </w:pPr>
      <w:r w:rsidRPr="001A2CD4">
        <w:rPr>
          <w:rStyle w:val="FootnoteReference"/>
          <w:rFonts w:ascii="Gill Sans MT" w:hAnsi="Gill Sans MT" w:cs="Calibri"/>
          <w:sz w:val="16"/>
          <w:szCs w:val="16"/>
        </w:rPr>
        <w:footnoteRef/>
      </w:r>
      <w:r w:rsidR="00887686" w:rsidRPr="001A2CD4">
        <w:rPr>
          <w:rFonts w:ascii="Gill Sans MT" w:hAnsi="Gill Sans MT" w:cs="Calibri"/>
          <w:sz w:val="16"/>
          <w:szCs w:val="16"/>
          <w:lang w:val="en-US"/>
        </w:rPr>
        <w:t xml:space="preserve"> Network to end child marriage:</w:t>
      </w:r>
      <w:r w:rsidRPr="001A2CD4">
        <w:rPr>
          <w:rFonts w:ascii="Gill Sans MT" w:hAnsi="Gill Sans MT" w:cs="Calibri"/>
          <w:sz w:val="16"/>
          <w:szCs w:val="16"/>
        </w:rPr>
        <w:t xml:space="preserve"> </w:t>
      </w:r>
      <w:hyperlink r:id="rId5" w:history="1">
        <w:r w:rsidRPr="001A2CD4">
          <w:rPr>
            <w:rStyle w:val="Hyperlink"/>
            <w:rFonts w:ascii="Gill Sans MT" w:hAnsi="Gill Sans MT" w:cs="Calibri"/>
            <w:sz w:val="16"/>
            <w:szCs w:val="16"/>
          </w:rPr>
          <w:t>https://www.facebook.com/necmz/</w:t>
        </w:r>
      </w:hyperlink>
      <w:r w:rsidRPr="001A2CD4">
        <w:rPr>
          <w:rFonts w:ascii="Gill Sans MT" w:hAnsi="Gill Sans MT" w:cs="Calibri"/>
          <w:sz w:val="16"/>
          <w:szCs w:val="16"/>
        </w:rPr>
        <w:t xml:space="preserve">   </w:t>
      </w:r>
    </w:p>
  </w:footnote>
  <w:footnote w:id="7">
    <w:p w14:paraId="5BF5C364" w14:textId="13464B78" w:rsidR="0002008B" w:rsidRPr="001A2CD4" w:rsidRDefault="0002008B" w:rsidP="004639BF">
      <w:pPr>
        <w:pStyle w:val="FootnoteText"/>
        <w:jc w:val="both"/>
        <w:rPr>
          <w:rFonts w:ascii="Gill Sans MT" w:hAnsi="Gill Sans MT" w:cs="Calibri"/>
          <w:sz w:val="16"/>
          <w:szCs w:val="16"/>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w:t>
      </w:r>
      <w:r w:rsidR="00887686" w:rsidRPr="001A2CD4">
        <w:rPr>
          <w:rFonts w:ascii="Gill Sans MT" w:hAnsi="Gill Sans MT" w:cs="Calibri"/>
          <w:sz w:val="16"/>
          <w:szCs w:val="16"/>
        </w:rPr>
        <w:t>Chil</w:t>
      </w:r>
      <w:r w:rsidR="00887686" w:rsidRPr="001A2CD4">
        <w:rPr>
          <w:rFonts w:ascii="Gill Sans MT" w:hAnsi="Gill Sans MT" w:cs="Calibri"/>
          <w:sz w:val="16"/>
          <w:szCs w:val="16"/>
          <w:lang w:val="en-US"/>
        </w:rPr>
        <w:t>d Law Resources:</w:t>
      </w:r>
      <w:hyperlink r:id="rId6" w:history="1">
        <w:r w:rsidR="00887686" w:rsidRPr="001A2CD4">
          <w:rPr>
            <w:rStyle w:val="Hyperlink"/>
            <w:rFonts w:ascii="Gill Sans MT" w:hAnsi="Gill Sans MT" w:cs="Calibri"/>
            <w:sz w:val="16"/>
            <w:szCs w:val="16"/>
          </w:rPr>
          <w:t>http://www.africanchildforum.org/clr/Pages_EN/Zambia.html</w:t>
        </w:r>
      </w:hyperlink>
      <w:r w:rsidRPr="001A2CD4">
        <w:rPr>
          <w:rFonts w:ascii="Gill Sans MT" w:hAnsi="Gill Sans MT" w:cs="Calibri"/>
          <w:sz w:val="16"/>
          <w:szCs w:val="16"/>
        </w:rPr>
        <w:t xml:space="preserve"> </w:t>
      </w:r>
    </w:p>
  </w:footnote>
  <w:footnote w:id="8">
    <w:p w14:paraId="221400C7" w14:textId="3FF45039" w:rsidR="0002008B" w:rsidRPr="001A2CD4" w:rsidRDefault="0002008B" w:rsidP="004639BF">
      <w:pPr>
        <w:pStyle w:val="FootnoteText"/>
        <w:jc w:val="both"/>
        <w:rPr>
          <w:rFonts w:ascii="Calibri" w:hAnsi="Calibri" w:cs="Calibri"/>
          <w:sz w:val="16"/>
          <w:szCs w:val="16"/>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w:t>
      </w:r>
      <w:r w:rsidR="00887686" w:rsidRPr="001A2CD4">
        <w:rPr>
          <w:rFonts w:ascii="Gill Sans MT" w:hAnsi="Gill Sans MT" w:cs="Calibri"/>
          <w:sz w:val="16"/>
          <w:szCs w:val="16"/>
        </w:rPr>
        <w:t>Chi</w:t>
      </w:r>
      <w:proofErr w:type="spellStart"/>
      <w:r w:rsidR="00887686" w:rsidRPr="001A2CD4">
        <w:rPr>
          <w:rFonts w:ascii="Gill Sans MT" w:hAnsi="Gill Sans MT" w:cs="Calibri"/>
          <w:sz w:val="16"/>
          <w:szCs w:val="16"/>
          <w:lang w:val="en-US"/>
        </w:rPr>
        <w:t>ld</w:t>
      </w:r>
      <w:proofErr w:type="spellEnd"/>
      <w:r w:rsidR="00887686" w:rsidRPr="001A2CD4">
        <w:rPr>
          <w:rFonts w:ascii="Gill Sans MT" w:hAnsi="Gill Sans MT" w:cs="Calibri"/>
          <w:sz w:val="16"/>
          <w:szCs w:val="16"/>
          <w:lang w:val="en-US"/>
        </w:rPr>
        <w:t xml:space="preserve"> Marriage Act:</w:t>
      </w:r>
      <w:hyperlink r:id="rId7" w:history="1">
        <w:r w:rsidR="00887686" w:rsidRPr="001A2CD4">
          <w:rPr>
            <w:rStyle w:val="Hyperlink"/>
            <w:rFonts w:ascii="Gill Sans MT" w:hAnsi="Gill Sans MT" w:cs="Calibri"/>
            <w:sz w:val="16"/>
            <w:szCs w:val="16"/>
          </w:rPr>
          <w:t>https://www.parliament.gov.zm/sites/default/files/documents/acts/Marriage%20Act.pdf</w:t>
        </w:r>
      </w:hyperlink>
      <w:r w:rsidRPr="001A2CD4">
        <w:rPr>
          <w:rFonts w:ascii="Calibri" w:hAnsi="Calibri" w:cs="Calibri"/>
          <w:sz w:val="16"/>
          <w:szCs w:val="16"/>
        </w:rPr>
        <w:t xml:space="preserve"> </w:t>
      </w:r>
    </w:p>
  </w:footnote>
  <w:footnote w:id="9">
    <w:p w14:paraId="187DCED3" w14:textId="34716CCF" w:rsidR="00474976" w:rsidRPr="00D94625" w:rsidRDefault="00474976" w:rsidP="00887686">
      <w:pPr>
        <w:pStyle w:val="FootnoteText"/>
        <w:rPr>
          <w:rFonts w:ascii="Gill Sans MT" w:hAnsi="Gill Sans MT"/>
          <w:sz w:val="16"/>
          <w:szCs w:val="16"/>
        </w:rPr>
      </w:pPr>
      <w:r w:rsidRPr="001A2CD4">
        <w:rPr>
          <w:rStyle w:val="FootnoteReference"/>
          <w:rFonts w:ascii="Gill Sans MT" w:hAnsi="Gill Sans MT" w:cs="Calibri"/>
          <w:sz w:val="16"/>
          <w:szCs w:val="16"/>
        </w:rPr>
        <w:footnoteRef/>
      </w:r>
      <w:r w:rsidRPr="001A2CD4">
        <w:rPr>
          <w:rFonts w:ascii="Gill Sans MT" w:hAnsi="Gill Sans MT" w:cs="Calibri"/>
          <w:sz w:val="16"/>
          <w:szCs w:val="16"/>
        </w:rPr>
        <w:t xml:space="preserve"> </w:t>
      </w:r>
      <w:hyperlink r:id="rId8" w:history="1">
        <w:r w:rsidRPr="001A2CD4">
          <w:rPr>
            <w:rStyle w:val="Hyperlink"/>
            <w:rFonts w:ascii="Gill Sans MT" w:hAnsi="Gill Sans MT" w:cs="Calibri"/>
            <w:sz w:val="16"/>
            <w:szCs w:val="16"/>
          </w:rPr>
          <w:t>https://www.end-violence.org/impact/countries/zambia</w:t>
        </w:r>
      </w:hyperlink>
      <w:r w:rsidRPr="00D94625">
        <w:rPr>
          <w:rFonts w:ascii="Gill Sans MT" w:hAnsi="Gill Sans MT"/>
          <w:sz w:val="16"/>
          <w:szCs w:val="16"/>
        </w:rPr>
        <w:t xml:space="preserve"> </w:t>
      </w:r>
    </w:p>
  </w:footnote>
  <w:footnote w:id="10">
    <w:p w14:paraId="769B713B" w14:textId="3017DB0D" w:rsidR="001C3408" w:rsidRPr="00E32AB5" w:rsidRDefault="001C3408">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100079">
        <w:rPr>
          <w:rFonts w:ascii="Gill Sans MT" w:hAnsi="Gill Sans MT"/>
          <w:sz w:val="16"/>
          <w:szCs w:val="16"/>
          <w:lang w:val="en-US"/>
        </w:rPr>
        <w:t xml:space="preserve">Save the Children. </w:t>
      </w:r>
      <w:r w:rsidR="00E32AB5">
        <w:rPr>
          <w:rFonts w:ascii="Gill Sans MT" w:hAnsi="Gill Sans MT"/>
          <w:sz w:val="16"/>
          <w:szCs w:val="16"/>
          <w:lang w:val="en-US"/>
        </w:rPr>
        <w:t xml:space="preserve">Guidance for engaging with traditional leaders: </w:t>
      </w:r>
      <w:hyperlink r:id="rId9" w:history="1">
        <w:r w:rsidR="00E32AB5" w:rsidRPr="004B3589">
          <w:rPr>
            <w:rStyle w:val="Hyperlink"/>
            <w:rFonts w:ascii="Gill Sans MT" w:hAnsi="Gill Sans MT"/>
            <w:sz w:val="16"/>
            <w:szCs w:val="16"/>
          </w:rPr>
          <w:t>https://resourcecentre.savethechildren.net/pdf/guidance_for_engaging_traditional_leaders_-_child_marriage_design10.pdf/</w:t>
        </w:r>
      </w:hyperlink>
      <w:r w:rsidRPr="00E32AB5">
        <w:rPr>
          <w:rFonts w:ascii="Gill Sans MT" w:hAnsi="Gill Sans MT"/>
          <w:sz w:val="16"/>
          <w:szCs w:val="16"/>
        </w:rPr>
        <w:t xml:space="preserve"> </w:t>
      </w:r>
    </w:p>
  </w:footnote>
  <w:footnote w:id="11">
    <w:p w14:paraId="3ABA6796" w14:textId="6EA4D82F" w:rsidR="001C3408" w:rsidRPr="00E32AB5" w:rsidRDefault="001C3408">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E32AB5" w:rsidRPr="00E32AB5">
        <w:rPr>
          <w:rFonts w:ascii="Gill Sans MT" w:hAnsi="Gill Sans MT"/>
          <w:sz w:val="16"/>
          <w:szCs w:val="16"/>
        </w:rPr>
        <w:t>Tow</w:t>
      </w:r>
      <w:r w:rsidR="00E32AB5">
        <w:rPr>
          <w:rFonts w:ascii="Gill Sans MT" w:hAnsi="Gill Sans MT"/>
          <w:sz w:val="16"/>
          <w:szCs w:val="16"/>
          <w:lang w:val="en-US"/>
        </w:rPr>
        <w:t xml:space="preserve">n chiefs in Malawi: </w:t>
      </w:r>
      <w:hyperlink r:id="rId10" w:history="1">
        <w:r w:rsidR="00E32AB5" w:rsidRPr="004B3589">
          <w:rPr>
            <w:rStyle w:val="Hyperlink"/>
            <w:rFonts w:ascii="Gill Sans MT" w:hAnsi="Gill Sans MT"/>
            <w:sz w:val="16"/>
            <w:szCs w:val="16"/>
          </w:rPr>
          <w:t>https://odi.org/en/publications/town-chiefs-inmalawi/</w:t>
        </w:r>
      </w:hyperlink>
      <w:r w:rsidRPr="00E32AB5">
        <w:rPr>
          <w:rFonts w:ascii="Gill Sans MT" w:hAnsi="Gill Sans MT"/>
          <w:sz w:val="16"/>
          <w:szCs w:val="16"/>
        </w:rPr>
        <w:t xml:space="preserve"> </w:t>
      </w:r>
    </w:p>
  </w:footnote>
  <w:footnote w:id="12">
    <w:p w14:paraId="424F3076" w14:textId="475DA1A9" w:rsidR="00477D6B" w:rsidRPr="00E32AB5" w:rsidRDefault="00477D6B">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7D52E3">
        <w:rPr>
          <w:rFonts w:ascii="Gill Sans MT" w:hAnsi="Gill Sans MT"/>
          <w:sz w:val="16"/>
          <w:szCs w:val="16"/>
          <w:lang w:val="en-US"/>
        </w:rPr>
        <w:t xml:space="preserve">Save the Children, </w:t>
      </w:r>
      <w:r w:rsidR="00E32AB5" w:rsidRPr="00E32AB5">
        <w:rPr>
          <w:rFonts w:ascii="Gill Sans MT" w:hAnsi="Gill Sans MT"/>
          <w:sz w:val="16"/>
          <w:szCs w:val="16"/>
        </w:rPr>
        <w:t>Maki</w:t>
      </w:r>
      <w:r w:rsidR="00E32AB5">
        <w:rPr>
          <w:rFonts w:ascii="Gill Sans MT" w:hAnsi="Gill Sans MT"/>
          <w:sz w:val="16"/>
          <w:szCs w:val="16"/>
          <w:lang w:val="en-US"/>
        </w:rPr>
        <w:t xml:space="preserve">ng the law working for girls: </w:t>
      </w:r>
      <w:hyperlink r:id="rId11" w:history="1">
        <w:r w:rsidR="00E32AB5" w:rsidRPr="004B3589">
          <w:rPr>
            <w:rStyle w:val="Hyperlink"/>
            <w:rFonts w:ascii="Gill Sans MT" w:hAnsi="Gill Sans MT"/>
            <w:sz w:val="16"/>
            <w:szCs w:val="16"/>
          </w:rPr>
          <w:t>https://resourcecentre.savethechildren.net/document/making-law-work-girls-how-children-governments-communities-and-religious-leaders-are-working/</w:t>
        </w:r>
      </w:hyperlink>
      <w:r w:rsidR="0018464B" w:rsidRPr="00E32AB5">
        <w:rPr>
          <w:rFonts w:ascii="Gill Sans MT" w:hAnsi="Gill Sans MT"/>
          <w:sz w:val="16"/>
          <w:szCs w:val="16"/>
        </w:rPr>
        <w:t xml:space="preserve"> </w:t>
      </w:r>
    </w:p>
  </w:footnote>
  <w:footnote w:id="13">
    <w:p w14:paraId="215F6049" w14:textId="25F943BB" w:rsidR="001C1F0E" w:rsidRPr="00E32AB5" w:rsidRDefault="001C1F0E" w:rsidP="00671ED2">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887686" w:rsidRPr="00E32AB5">
        <w:rPr>
          <w:rFonts w:ascii="Gill Sans MT" w:hAnsi="Gill Sans MT"/>
          <w:sz w:val="16"/>
          <w:szCs w:val="16"/>
        </w:rPr>
        <w:t>Chi</w:t>
      </w:r>
      <w:proofErr w:type="spellStart"/>
      <w:r w:rsidR="00887686" w:rsidRPr="00E32AB5">
        <w:rPr>
          <w:rFonts w:ascii="Gill Sans MT" w:hAnsi="Gill Sans MT"/>
          <w:sz w:val="16"/>
          <w:szCs w:val="16"/>
          <w:lang w:val="en-US"/>
        </w:rPr>
        <w:t>ld</w:t>
      </w:r>
      <w:proofErr w:type="spellEnd"/>
      <w:r w:rsidR="00887686" w:rsidRPr="00E32AB5">
        <w:rPr>
          <w:rFonts w:ascii="Gill Sans MT" w:hAnsi="Gill Sans MT"/>
          <w:sz w:val="16"/>
          <w:szCs w:val="16"/>
          <w:lang w:val="en-US"/>
        </w:rPr>
        <w:t xml:space="preserve"> participation in Local Governance:</w:t>
      </w:r>
      <w:hyperlink r:id="rId12" w:history="1">
        <w:r w:rsidR="00887686" w:rsidRPr="00E32AB5">
          <w:rPr>
            <w:rStyle w:val="Hyperlink"/>
            <w:rFonts w:ascii="Gill Sans MT" w:hAnsi="Gill Sans MT"/>
            <w:sz w:val="16"/>
            <w:szCs w:val="16"/>
          </w:rPr>
          <w:t>https://www.unicef.org/sites/default/files/2019-12/Child-Participation-in-Local-Governance-UNICEF-Country-Office-Case-Studies.pdf</w:t>
        </w:r>
      </w:hyperlink>
      <w:r w:rsidRPr="00E32AB5">
        <w:rPr>
          <w:rFonts w:ascii="Gill Sans MT" w:hAnsi="Gill Sans MT"/>
          <w:sz w:val="16"/>
          <w:szCs w:val="16"/>
        </w:rPr>
        <w:t xml:space="preserve"> </w:t>
      </w:r>
    </w:p>
  </w:footnote>
  <w:footnote w:id="14">
    <w:p w14:paraId="0451549F" w14:textId="7201CCFC" w:rsidR="001745BE" w:rsidRPr="00E32AB5" w:rsidRDefault="001745BE" w:rsidP="00671ED2">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887686" w:rsidRPr="00E32AB5">
        <w:rPr>
          <w:rStyle w:val="markedcontent"/>
          <w:rFonts w:ascii="Gill Sans MT" w:hAnsi="Gill Sans MT" w:cs="Calibri"/>
          <w:sz w:val="16"/>
          <w:szCs w:val="16"/>
          <w:lang w:val="en-US"/>
        </w:rPr>
        <w:t>Save girl child, educate girl child</w:t>
      </w:r>
      <w:r w:rsidR="00887686" w:rsidRPr="00E32AB5">
        <w:rPr>
          <w:rFonts w:ascii="Gill Sans MT" w:hAnsi="Gill Sans MT"/>
          <w:sz w:val="16"/>
          <w:szCs w:val="16"/>
        </w:rPr>
        <w:t xml:space="preserve"> </w:t>
      </w:r>
      <w:r w:rsidR="00887686" w:rsidRPr="00E32AB5">
        <w:rPr>
          <w:rFonts w:ascii="Gill Sans MT" w:hAnsi="Gill Sans MT"/>
          <w:sz w:val="16"/>
          <w:szCs w:val="16"/>
          <w:lang w:val="en-US"/>
        </w:rPr>
        <w:t xml:space="preserve">: </w:t>
      </w:r>
      <w:hyperlink r:id="rId13" w:history="1">
        <w:r w:rsidR="00887686" w:rsidRPr="00E32AB5">
          <w:rPr>
            <w:rStyle w:val="Hyperlink"/>
            <w:rFonts w:ascii="Gill Sans MT" w:hAnsi="Gill Sans MT"/>
            <w:sz w:val="16"/>
            <w:szCs w:val="16"/>
          </w:rPr>
          <w:t>https://bit.ly/34sFbbr</w:t>
        </w:r>
      </w:hyperlink>
      <w:r w:rsidRPr="00E32AB5">
        <w:rPr>
          <w:rFonts w:ascii="Gill Sans MT" w:hAnsi="Gill Sans MT"/>
          <w:sz w:val="16"/>
          <w:szCs w:val="16"/>
        </w:rPr>
        <w:t xml:space="preserve"> </w:t>
      </w:r>
    </w:p>
  </w:footnote>
  <w:footnote w:id="15">
    <w:p w14:paraId="47E6385A" w14:textId="54746FDD" w:rsidR="00484902" w:rsidRPr="00E32AB5" w:rsidRDefault="00484902">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hyperlink r:id="rId14" w:history="1">
        <w:r w:rsidRPr="00E32AB5">
          <w:rPr>
            <w:rStyle w:val="Hyperlink"/>
            <w:rFonts w:ascii="Gill Sans MT" w:hAnsi="Gill Sans MT"/>
            <w:sz w:val="16"/>
            <w:szCs w:val="16"/>
          </w:rPr>
          <w:t>https://www.lawcommission.gov.np/en/wp-content/uploads/2019/07/The-Act-Relating-to-Children-2075-2018.pdf</w:t>
        </w:r>
      </w:hyperlink>
      <w:r w:rsidRPr="00E32AB5">
        <w:rPr>
          <w:rFonts w:ascii="Gill Sans MT" w:hAnsi="Gill Sans MT"/>
          <w:sz w:val="16"/>
          <w:szCs w:val="16"/>
        </w:rPr>
        <w:t xml:space="preserve"> </w:t>
      </w:r>
    </w:p>
  </w:footnote>
  <w:footnote w:id="16">
    <w:p w14:paraId="3B1E5D88" w14:textId="6CD603EC" w:rsidR="00FC65CF" w:rsidRPr="00E32AB5" w:rsidRDefault="00FC65CF" w:rsidP="00671ED2">
      <w:pPr>
        <w:spacing w:after="0" w:line="240" w:lineRule="auto"/>
        <w:rPr>
          <w:rFonts w:ascii="Gill Sans MT" w:eastAsia="Times New Roman" w:hAnsi="Gill Sans MT" w:cs="Calibri"/>
          <w:sz w:val="16"/>
          <w:szCs w:val="16"/>
          <w:lang w:eastAsia="en-CH"/>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887686" w:rsidRPr="00E32AB5">
        <w:rPr>
          <w:rFonts w:ascii="Gill Sans MT" w:hAnsi="Gill Sans MT"/>
          <w:sz w:val="16"/>
          <w:szCs w:val="16"/>
        </w:rPr>
        <w:t>Child</w:t>
      </w:r>
      <w:r w:rsidR="00887686" w:rsidRPr="00E32AB5">
        <w:rPr>
          <w:rFonts w:ascii="Gill Sans MT" w:hAnsi="Gill Sans MT"/>
          <w:sz w:val="16"/>
          <w:szCs w:val="16"/>
          <w:lang w:val="en-US"/>
        </w:rPr>
        <w:t xml:space="preserve"> Marriage Laws and their limitations: </w:t>
      </w:r>
      <w:hyperlink r:id="rId15" w:history="1">
        <w:r w:rsidR="00887686" w:rsidRPr="00E32AB5">
          <w:rPr>
            <w:rStyle w:val="Hyperlink"/>
            <w:rFonts w:ascii="Gill Sans MT" w:eastAsia="Times New Roman" w:hAnsi="Gill Sans MT" w:cs="Calibri"/>
            <w:sz w:val="16"/>
            <w:szCs w:val="16"/>
            <w:lang w:eastAsia="en-CH"/>
          </w:rPr>
          <w:t>https://resourcecentre.savethechildren.net/document/ending-child-marriage-child-marriage-laws-and-their-limitations/</w:t>
        </w:r>
      </w:hyperlink>
      <w:r w:rsidRPr="00E32AB5">
        <w:rPr>
          <w:rFonts w:ascii="Gill Sans MT" w:eastAsia="Times New Roman" w:hAnsi="Gill Sans MT" w:cs="Calibri"/>
          <w:sz w:val="16"/>
          <w:szCs w:val="16"/>
          <w:lang w:eastAsia="en-CH"/>
        </w:rPr>
        <w:t xml:space="preserve"> </w:t>
      </w:r>
    </w:p>
  </w:footnote>
  <w:footnote w:id="17">
    <w:p w14:paraId="118E1C30" w14:textId="5C476890" w:rsidR="00A53484" w:rsidRPr="00E32AB5" w:rsidRDefault="00A53484">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hyperlink r:id="rId16" w:history="1">
        <w:r w:rsidRPr="00E32AB5">
          <w:rPr>
            <w:rStyle w:val="Hyperlink"/>
            <w:rFonts w:ascii="Gill Sans MT" w:hAnsi="Gill Sans MT"/>
            <w:sz w:val="16"/>
            <w:szCs w:val="16"/>
          </w:rPr>
          <w:t>https://www.savethechildren.org/content/dam/usa/reports/ed-cp/cefm-in-humanitarian-settings.pdf</w:t>
        </w:r>
      </w:hyperlink>
      <w:r w:rsidRPr="00E32AB5">
        <w:rPr>
          <w:rFonts w:ascii="Gill Sans MT" w:hAnsi="Gill Sans MT"/>
          <w:sz w:val="16"/>
          <w:szCs w:val="16"/>
        </w:rPr>
        <w:t xml:space="preserve"> </w:t>
      </w:r>
    </w:p>
  </w:footnote>
  <w:footnote w:id="18">
    <w:p w14:paraId="3F8E3716" w14:textId="0037DA64" w:rsidR="00AE424C" w:rsidRPr="00E32AB5" w:rsidRDefault="00AE424C" w:rsidP="00671ED2">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7D52E3">
        <w:rPr>
          <w:rFonts w:ascii="Gill Sans MT" w:hAnsi="Gill Sans MT"/>
          <w:sz w:val="16"/>
          <w:szCs w:val="16"/>
          <w:lang w:val="en-US"/>
        </w:rPr>
        <w:t>UNICEF -</w:t>
      </w:r>
      <w:r w:rsidR="00887686" w:rsidRPr="00E32AB5">
        <w:rPr>
          <w:rFonts w:ascii="Gill Sans MT" w:hAnsi="Gill Sans MT"/>
          <w:sz w:val="16"/>
          <w:szCs w:val="16"/>
        </w:rPr>
        <w:t>Child</w:t>
      </w:r>
      <w:r w:rsidR="00887686" w:rsidRPr="00E32AB5">
        <w:rPr>
          <w:rFonts w:ascii="Gill Sans MT" w:hAnsi="Gill Sans MT"/>
          <w:sz w:val="16"/>
          <w:szCs w:val="16"/>
          <w:lang w:val="en-US"/>
        </w:rPr>
        <w:t xml:space="preserve"> Marriage – South Asia: </w:t>
      </w:r>
      <w:hyperlink r:id="rId17" w:history="1">
        <w:r w:rsidR="00887686" w:rsidRPr="00E32AB5">
          <w:rPr>
            <w:rStyle w:val="Hyperlink"/>
            <w:rFonts w:ascii="Gill Sans MT" w:hAnsi="Gill Sans MT"/>
            <w:sz w:val="16"/>
            <w:szCs w:val="16"/>
          </w:rPr>
          <w:t>https://www.unicef.org/rosa/what-we-do/child-protection/child-marriage</w:t>
        </w:r>
      </w:hyperlink>
      <w:r w:rsidRPr="00E32AB5">
        <w:rPr>
          <w:rFonts w:ascii="Gill Sans MT" w:hAnsi="Gill Sans MT"/>
          <w:sz w:val="16"/>
          <w:szCs w:val="16"/>
        </w:rPr>
        <w:t xml:space="preserve"> </w:t>
      </w:r>
    </w:p>
  </w:footnote>
  <w:footnote w:id="19">
    <w:p w14:paraId="47D4AFB5" w14:textId="24A719A5" w:rsidR="00AE424C" w:rsidRPr="00E32AB5" w:rsidRDefault="00AE424C" w:rsidP="00671ED2">
      <w:pPr>
        <w:pStyle w:val="FootnoteText"/>
        <w:rPr>
          <w:rFonts w:ascii="Gill Sans MT" w:hAnsi="Gill Sans MT"/>
          <w:sz w:val="16"/>
          <w:szCs w:val="16"/>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007D52E3">
        <w:rPr>
          <w:rFonts w:ascii="Gill Sans MT" w:hAnsi="Gill Sans MT"/>
          <w:sz w:val="16"/>
          <w:szCs w:val="16"/>
          <w:lang w:val="en-US"/>
        </w:rPr>
        <w:t xml:space="preserve">UNICEF - </w:t>
      </w:r>
      <w:r w:rsidR="00887686" w:rsidRPr="00E32AB5">
        <w:rPr>
          <w:rFonts w:ascii="Gill Sans MT" w:hAnsi="Gill Sans MT"/>
          <w:sz w:val="16"/>
          <w:szCs w:val="16"/>
        </w:rPr>
        <w:t>Chil</w:t>
      </w:r>
      <w:r w:rsidR="00887686" w:rsidRPr="00E32AB5">
        <w:rPr>
          <w:rFonts w:ascii="Gill Sans MT" w:hAnsi="Gill Sans MT"/>
          <w:sz w:val="16"/>
          <w:szCs w:val="16"/>
          <w:lang w:val="en-US"/>
        </w:rPr>
        <w:t xml:space="preserve">d Marriage – Zambia </w:t>
      </w:r>
      <w:hyperlink r:id="rId18" w:history="1">
        <w:r w:rsidR="00887686" w:rsidRPr="00E32AB5">
          <w:rPr>
            <w:rStyle w:val="Hyperlink"/>
            <w:rFonts w:ascii="Gill Sans MT" w:hAnsi="Gill Sans MT"/>
            <w:sz w:val="16"/>
            <w:szCs w:val="16"/>
          </w:rPr>
          <w:t>https://www.unicef.org/esa/media/8941/file/Zambia-Case-Study-Child-Marriage-2021.pdf</w:t>
        </w:r>
      </w:hyperlink>
      <w:r w:rsidRPr="00E32AB5">
        <w:rPr>
          <w:rFonts w:ascii="Gill Sans MT" w:hAnsi="Gill Sans MT"/>
          <w:sz w:val="16"/>
          <w:szCs w:val="16"/>
        </w:rPr>
        <w:t xml:space="preserve"> </w:t>
      </w:r>
    </w:p>
  </w:footnote>
  <w:footnote w:id="20">
    <w:p w14:paraId="59874A31" w14:textId="04541833" w:rsidR="00AE424C" w:rsidRPr="00E32AB5" w:rsidRDefault="00AE424C" w:rsidP="00671ED2">
      <w:pPr>
        <w:pStyle w:val="FootnoteText"/>
        <w:rPr>
          <w:rFonts w:ascii="Gill Sans MT" w:hAnsi="Gill Sans MT"/>
          <w:sz w:val="16"/>
          <w:szCs w:val="16"/>
          <w:lang w:val="es-ES"/>
        </w:rPr>
      </w:pPr>
      <w:r w:rsidRPr="00E32AB5">
        <w:rPr>
          <w:rStyle w:val="FootnoteReference"/>
          <w:rFonts w:ascii="Gill Sans MT" w:hAnsi="Gill Sans MT"/>
          <w:sz w:val="16"/>
          <w:szCs w:val="16"/>
        </w:rPr>
        <w:footnoteRef/>
      </w:r>
      <w:r w:rsidRPr="00E32AB5">
        <w:rPr>
          <w:rFonts w:ascii="Gill Sans MT" w:hAnsi="Gill Sans MT"/>
          <w:sz w:val="16"/>
          <w:szCs w:val="16"/>
        </w:rPr>
        <w:t xml:space="preserve"> </w:t>
      </w:r>
      <w:r w:rsidRPr="00E32AB5">
        <w:rPr>
          <w:rFonts w:ascii="Gill Sans MT" w:hAnsi="Gill Sans MT"/>
          <w:sz w:val="16"/>
          <w:szCs w:val="16"/>
          <w:lang w:val="es-ES"/>
        </w:rPr>
        <w:t>Ibid.</w:t>
      </w:r>
    </w:p>
  </w:footnote>
  <w:footnote w:id="21">
    <w:p w14:paraId="3317954C" w14:textId="013D1D06" w:rsidR="00A035E2" w:rsidRPr="007D52E3" w:rsidRDefault="00A035E2" w:rsidP="00671ED2">
      <w:pPr>
        <w:pStyle w:val="FootnoteText"/>
        <w:rPr>
          <w:rFonts w:ascii="Gill Sans MT" w:hAnsi="Gill Sans MT"/>
          <w:sz w:val="16"/>
          <w:szCs w:val="16"/>
          <w:lang w:val="es-ES"/>
        </w:rPr>
      </w:pPr>
      <w:r w:rsidRPr="007D52E3">
        <w:rPr>
          <w:rStyle w:val="FootnoteReference"/>
          <w:rFonts w:ascii="Gill Sans MT" w:hAnsi="Gill Sans MT"/>
          <w:sz w:val="16"/>
          <w:szCs w:val="16"/>
        </w:rPr>
        <w:footnoteRef/>
      </w:r>
      <w:r w:rsidRPr="007D52E3">
        <w:rPr>
          <w:rFonts w:ascii="Gill Sans MT" w:hAnsi="Gill Sans MT"/>
          <w:sz w:val="16"/>
          <w:szCs w:val="16"/>
        </w:rPr>
        <w:t xml:space="preserve"> </w:t>
      </w:r>
      <w:r w:rsidR="00887686" w:rsidRPr="007D52E3">
        <w:rPr>
          <w:rFonts w:ascii="Gill Sans MT" w:hAnsi="Gill Sans MT"/>
          <w:sz w:val="16"/>
          <w:szCs w:val="16"/>
          <w:lang w:val="es-ES"/>
        </w:rPr>
        <w:t xml:space="preserve">Zambia – Penal </w:t>
      </w:r>
      <w:proofErr w:type="spellStart"/>
      <w:r w:rsidR="00887686" w:rsidRPr="007D52E3">
        <w:rPr>
          <w:rFonts w:ascii="Gill Sans MT" w:hAnsi="Gill Sans MT"/>
          <w:sz w:val="16"/>
          <w:szCs w:val="16"/>
          <w:lang w:val="es-ES"/>
        </w:rPr>
        <w:t>Code</w:t>
      </w:r>
      <w:proofErr w:type="spellEnd"/>
      <w:r w:rsidR="00887686" w:rsidRPr="007D52E3">
        <w:rPr>
          <w:rFonts w:ascii="Gill Sans MT" w:hAnsi="Gill Sans MT"/>
          <w:sz w:val="16"/>
          <w:szCs w:val="16"/>
          <w:lang w:val="es-ES"/>
        </w:rPr>
        <w:t xml:space="preserve"> </w:t>
      </w:r>
      <w:proofErr w:type="spellStart"/>
      <w:r w:rsidR="00887686" w:rsidRPr="007D52E3">
        <w:rPr>
          <w:rFonts w:ascii="Gill Sans MT" w:hAnsi="Gill Sans MT"/>
          <w:sz w:val="16"/>
          <w:szCs w:val="16"/>
          <w:lang w:val="es-ES"/>
        </w:rPr>
        <w:t>Act</w:t>
      </w:r>
      <w:proofErr w:type="spellEnd"/>
      <w:r w:rsidR="00887686" w:rsidRPr="007D52E3">
        <w:rPr>
          <w:rFonts w:ascii="Gill Sans MT" w:hAnsi="Gill Sans MT"/>
          <w:sz w:val="16"/>
          <w:szCs w:val="16"/>
          <w:lang w:val="es-ES"/>
        </w:rPr>
        <w:t>:</w:t>
      </w:r>
      <w:hyperlink r:id="rId19" w:history="1">
        <w:r w:rsidR="0012537E" w:rsidRPr="007D52E3">
          <w:rPr>
            <w:rStyle w:val="Hyperlink"/>
            <w:rFonts w:ascii="Gill Sans MT" w:hAnsi="Gill Sans MT"/>
            <w:sz w:val="16"/>
            <w:szCs w:val="16"/>
          </w:rPr>
          <w:t>https://www.parliament.gov.zm/sites/default/files/documents/acts/Penal%20Code%20Act.pdf</w:t>
        </w:r>
      </w:hyperlink>
      <w:r w:rsidRPr="007D52E3">
        <w:rPr>
          <w:rFonts w:ascii="Gill Sans MT" w:hAnsi="Gill Sans MT"/>
          <w:sz w:val="16"/>
          <w:szCs w:val="16"/>
          <w:lang w:val="es-ES"/>
        </w:rPr>
        <w:t xml:space="preserve"> </w:t>
      </w:r>
    </w:p>
  </w:footnote>
  <w:footnote w:id="22">
    <w:p w14:paraId="46A96ECA" w14:textId="2635D614" w:rsidR="00FA6336" w:rsidRPr="007D52E3" w:rsidRDefault="00FA6336">
      <w:pPr>
        <w:pStyle w:val="FootnoteText"/>
        <w:rPr>
          <w:rFonts w:ascii="Gill Sans MT" w:hAnsi="Gill Sans MT"/>
          <w:sz w:val="16"/>
          <w:szCs w:val="16"/>
          <w:lang w:val="en-US"/>
        </w:rPr>
      </w:pPr>
      <w:r w:rsidRPr="007D52E3">
        <w:rPr>
          <w:rStyle w:val="FootnoteReference"/>
          <w:rFonts w:ascii="Gill Sans MT" w:hAnsi="Gill Sans MT"/>
          <w:sz w:val="16"/>
          <w:szCs w:val="16"/>
        </w:rPr>
        <w:footnoteRef/>
      </w:r>
      <w:r w:rsidRPr="007D52E3">
        <w:rPr>
          <w:rFonts w:ascii="Gill Sans MT" w:hAnsi="Gill Sans MT"/>
          <w:sz w:val="16"/>
          <w:szCs w:val="16"/>
        </w:rPr>
        <w:t xml:space="preserve"> </w:t>
      </w:r>
      <w:r w:rsidR="007D52E3" w:rsidRPr="007D52E3">
        <w:rPr>
          <w:rFonts w:ascii="Gill Sans MT" w:hAnsi="Gill Sans MT"/>
          <w:sz w:val="16"/>
          <w:szCs w:val="16"/>
          <w:lang w:val="en-US"/>
        </w:rPr>
        <w:t xml:space="preserve">Zambia – Marriage Act </w:t>
      </w:r>
      <w:hyperlink r:id="rId20" w:history="1">
        <w:r w:rsidR="007D52E3" w:rsidRPr="004B3589">
          <w:rPr>
            <w:rStyle w:val="Hyperlink"/>
            <w:rFonts w:ascii="Gill Sans MT" w:hAnsi="Gill Sans MT"/>
            <w:sz w:val="16"/>
            <w:szCs w:val="16"/>
          </w:rPr>
          <w:t>https://www.parliament.gov.zm/sites/default/files/documents/acts/Marriage%20Act.pdf</w:t>
        </w:r>
      </w:hyperlink>
      <w:r w:rsidRPr="007D52E3">
        <w:rPr>
          <w:rFonts w:ascii="Gill Sans MT" w:hAnsi="Gill Sans MT"/>
          <w:sz w:val="16"/>
          <w:szCs w:val="16"/>
          <w:lang w:val="en-US"/>
        </w:rPr>
        <w:t xml:space="preserve"> </w:t>
      </w:r>
    </w:p>
  </w:footnote>
  <w:footnote w:id="23">
    <w:p w14:paraId="2992DF12" w14:textId="5D60945E" w:rsidR="00C75B86" w:rsidRPr="007D52E3" w:rsidRDefault="00C75B86">
      <w:pPr>
        <w:pStyle w:val="FootnoteText"/>
        <w:rPr>
          <w:rFonts w:ascii="Gill Sans MT" w:hAnsi="Gill Sans MT" w:cstheme="minorHAnsi"/>
          <w:sz w:val="16"/>
          <w:szCs w:val="16"/>
        </w:rPr>
      </w:pPr>
      <w:r w:rsidRPr="007D52E3">
        <w:rPr>
          <w:rStyle w:val="FootnoteReference"/>
          <w:rFonts w:ascii="Gill Sans MT" w:hAnsi="Gill Sans MT"/>
          <w:sz w:val="16"/>
          <w:szCs w:val="16"/>
        </w:rPr>
        <w:footnoteRef/>
      </w:r>
      <w:r w:rsidRPr="007D52E3">
        <w:rPr>
          <w:rFonts w:ascii="Gill Sans MT" w:hAnsi="Gill Sans MT"/>
          <w:sz w:val="16"/>
          <w:szCs w:val="16"/>
        </w:rPr>
        <w:t xml:space="preserve"> </w:t>
      </w:r>
      <w:r w:rsidRPr="007D52E3">
        <w:rPr>
          <w:rFonts w:ascii="Gill Sans MT" w:hAnsi="Gill Sans MT" w:cstheme="minorHAnsi"/>
          <w:sz w:val="16"/>
          <w:szCs w:val="16"/>
        </w:rPr>
        <w:t xml:space="preserve"> The National Penal (Code) Act, 2017 </w:t>
      </w:r>
      <w:hyperlink r:id="rId21" w:history="1">
        <w:r w:rsidRPr="007D52E3">
          <w:rPr>
            <w:rStyle w:val="Hyperlink"/>
            <w:rFonts w:ascii="Gill Sans MT" w:hAnsi="Gill Sans MT" w:cstheme="minorHAnsi"/>
            <w:sz w:val="16"/>
            <w:szCs w:val="16"/>
          </w:rPr>
          <w:t>http://www.moljpa.gov.np/en/wp-content/uploads/2018/12/Penal-Code-English-Revised-1.pdf</w:t>
        </w:r>
      </w:hyperlink>
      <w:r w:rsidRPr="007D52E3">
        <w:rPr>
          <w:rFonts w:ascii="Gill Sans MT" w:hAnsi="Gill Sans MT" w:cstheme="minorHAnsi"/>
          <w:sz w:val="16"/>
          <w:szCs w:val="16"/>
        </w:rPr>
        <w:t xml:space="preserve"> </w:t>
      </w:r>
      <w:r w:rsidRPr="007D52E3">
        <w:rPr>
          <w:rFonts w:ascii="Gill Sans MT" w:hAnsi="Gill Sans MT"/>
          <w:sz w:val="16"/>
          <w:szCs w:val="16"/>
          <w:lang w:val="en-US"/>
        </w:rPr>
        <w:t xml:space="preserve"> </w:t>
      </w:r>
    </w:p>
  </w:footnote>
  <w:footnote w:id="24">
    <w:p w14:paraId="3EA6DE21" w14:textId="77777777" w:rsidR="00A6139F" w:rsidRPr="007D52E3" w:rsidRDefault="00A6139F" w:rsidP="00A6139F">
      <w:pPr>
        <w:pStyle w:val="FootnoteText"/>
        <w:rPr>
          <w:rFonts w:ascii="Gill Sans MT" w:hAnsi="Gill Sans MT" w:cstheme="minorHAnsi"/>
          <w:sz w:val="16"/>
          <w:szCs w:val="16"/>
        </w:rPr>
      </w:pPr>
      <w:r w:rsidRPr="007D52E3">
        <w:rPr>
          <w:rStyle w:val="FootnoteReference"/>
          <w:rFonts w:ascii="Gill Sans MT" w:hAnsi="Gill Sans MT" w:cstheme="minorHAnsi"/>
          <w:sz w:val="16"/>
          <w:szCs w:val="16"/>
        </w:rPr>
        <w:footnoteRef/>
      </w:r>
      <w:r w:rsidRPr="007D52E3">
        <w:rPr>
          <w:rFonts w:ascii="Gill Sans MT" w:hAnsi="Gill Sans MT" w:cstheme="minorHAnsi"/>
          <w:sz w:val="16"/>
          <w:szCs w:val="16"/>
        </w:rPr>
        <w:t xml:space="preserve"> The National Penal (Code) Act, 2017</w:t>
      </w:r>
      <w:r w:rsidRPr="007D52E3">
        <w:rPr>
          <w:rFonts w:ascii="Gill Sans MT" w:hAnsi="Gill Sans MT" w:cstheme="minorHAnsi"/>
          <w:sz w:val="16"/>
          <w:szCs w:val="16"/>
          <w:lang w:val="en-US"/>
        </w:rPr>
        <w:t xml:space="preserve"> </w:t>
      </w:r>
      <w:hyperlink r:id="rId22" w:history="1">
        <w:r w:rsidRPr="007D52E3">
          <w:rPr>
            <w:rStyle w:val="Hyperlink"/>
            <w:rFonts w:ascii="Gill Sans MT" w:hAnsi="Gill Sans MT" w:cstheme="minorHAnsi"/>
            <w:sz w:val="16"/>
            <w:szCs w:val="16"/>
          </w:rPr>
          <w:t>https://www.lawcommission.gov.np/en/wp-content/uploads/2019/07/The-Act-Relating-to-Children-2075-2018.pdf</w:t>
        </w:r>
      </w:hyperlink>
      <w:r w:rsidRPr="007D52E3">
        <w:rPr>
          <w:rFonts w:ascii="Gill Sans MT" w:hAnsi="Gill Sans MT" w:cstheme="minorHAnsi"/>
          <w:sz w:val="16"/>
          <w:szCs w:val="16"/>
        </w:rPr>
        <w:t xml:space="preserve"> </w:t>
      </w:r>
    </w:p>
  </w:footnote>
  <w:footnote w:id="25">
    <w:p w14:paraId="3853E78C" w14:textId="77777777" w:rsidR="00837726" w:rsidRPr="000758BE" w:rsidRDefault="00837726" w:rsidP="00837726">
      <w:pPr>
        <w:pStyle w:val="FootnoteText"/>
        <w:rPr>
          <w:sz w:val="16"/>
          <w:szCs w:val="16"/>
          <w:lang w:val="en-US"/>
        </w:rPr>
      </w:pPr>
      <w:r w:rsidRPr="007D52E3">
        <w:rPr>
          <w:rStyle w:val="FootnoteReference"/>
          <w:rFonts w:ascii="Gill Sans MT" w:hAnsi="Gill Sans MT"/>
          <w:sz w:val="16"/>
          <w:szCs w:val="16"/>
        </w:rPr>
        <w:footnoteRef/>
      </w:r>
      <w:r w:rsidRPr="007D52E3">
        <w:rPr>
          <w:rFonts w:ascii="Gill Sans MT" w:hAnsi="Gill Sans MT"/>
          <w:sz w:val="16"/>
          <w:szCs w:val="16"/>
        </w:rPr>
        <w:t xml:space="preserve"> </w:t>
      </w:r>
      <w:r w:rsidRPr="007D52E3">
        <w:rPr>
          <w:rFonts w:ascii="Gill Sans MT" w:hAnsi="Gill Sans MT" w:cs="Calibri"/>
          <w:sz w:val="16"/>
          <w:szCs w:val="16"/>
        </w:rPr>
        <w:t>Juvenile Bench in District Courts</w:t>
      </w:r>
      <w:r w:rsidRPr="007D52E3">
        <w:rPr>
          <w:rFonts w:ascii="Gill Sans MT" w:hAnsi="Gill Sans MT"/>
          <w:sz w:val="16"/>
          <w:szCs w:val="16"/>
        </w:rPr>
        <w:t xml:space="preserve"> </w:t>
      </w:r>
      <w:r w:rsidRPr="007D52E3">
        <w:rPr>
          <w:rFonts w:ascii="Gill Sans MT" w:hAnsi="Gill Sans MT"/>
          <w:sz w:val="16"/>
          <w:szCs w:val="16"/>
          <w:lang w:val="en-US"/>
        </w:rPr>
        <w:t xml:space="preserve"> </w:t>
      </w:r>
      <w:hyperlink r:id="rId23" w:history="1">
        <w:r w:rsidRPr="007D52E3">
          <w:rPr>
            <w:rStyle w:val="Hyperlink"/>
            <w:rFonts w:ascii="Gill Sans MT" w:hAnsi="Gill Sans MT"/>
            <w:sz w:val="16"/>
            <w:szCs w:val="16"/>
          </w:rPr>
          <w:t>https://www.lawcommission.gov.np/en/wp-content/uploads/2018/09/juvenile-justice-procedural-rules-2063-2006.pdf</w:t>
        </w:r>
      </w:hyperlink>
      <w:r w:rsidRPr="000758BE">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4692" w14:textId="04DC1EDD" w:rsidR="003E3F97" w:rsidRDefault="003E3F97" w:rsidP="003E3F97">
    <w:pPr>
      <w:pStyle w:val="Header"/>
      <w:jc w:val="right"/>
    </w:pPr>
    <w:r w:rsidRPr="003E3F97">
      <w:rPr>
        <w:noProof/>
      </w:rPr>
      <w:drawing>
        <wp:inline distT="0" distB="0" distL="0" distR="0" wp14:anchorId="2077A66B" wp14:editId="03F686E2">
          <wp:extent cx="1587898" cy="7242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570" cy="738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2F1"/>
    <w:multiLevelType w:val="multilevel"/>
    <w:tmpl w:val="A3FA596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B3F2F"/>
    <w:multiLevelType w:val="hybridMultilevel"/>
    <w:tmpl w:val="57EEACE2"/>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65E3FD9"/>
    <w:multiLevelType w:val="hybridMultilevel"/>
    <w:tmpl w:val="49942D8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0236B5"/>
    <w:multiLevelType w:val="hybridMultilevel"/>
    <w:tmpl w:val="F488C2E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D43876"/>
    <w:multiLevelType w:val="hybridMultilevel"/>
    <w:tmpl w:val="8B105A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DD82659"/>
    <w:multiLevelType w:val="multilevel"/>
    <w:tmpl w:val="9BF0B6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25CE7"/>
    <w:multiLevelType w:val="hybridMultilevel"/>
    <w:tmpl w:val="612C49B4"/>
    <w:lvl w:ilvl="0" w:tplc="11647FB0">
      <w:start w:val="1"/>
      <w:numFmt w:val="decimal"/>
      <w:lvlText w:val="%1."/>
      <w:lvlJc w:val="left"/>
      <w:pPr>
        <w:ind w:left="720" w:hanging="360"/>
      </w:pPr>
      <w:rPr>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E2E09CE"/>
    <w:multiLevelType w:val="hybridMultilevel"/>
    <w:tmpl w:val="94A8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F10D6"/>
    <w:multiLevelType w:val="hybridMultilevel"/>
    <w:tmpl w:val="3A183282"/>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8377C2"/>
    <w:multiLevelType w:val="hybridMultilevel"/>
    <w:tmpl w:val="1A488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B7B8B"/>
    <w:multiLevelType w:val="multilevel"/>
    <w:tmpl w:val="94E6C4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E2A2D"/>
    <w:multiLevelType w:val="hybridMultilevel"/>
    <w:tmpl w:val="93BAF1C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D870864"/>
    <w:multiLevelType w:val="hybridMultilevel"/>
    <w:tmpl w:val="4E3E2AA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139489A"/>
    <w:multiLevelType w:val="multilevel"/>
    <w:tmpl w:val="F260DF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12FEB"/>
    <w:multiLevelType w:val="multilevel"/>
    <w:tmpl w:val="33129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91102"/>
    <w:multiLevelType w:val="hybridMultilevel"/>
    <w:tmpl w:val="37D07C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00D0E32"/>
    <w:multiLevelType w:val="hybridMultilevel"/>
    <w:tmpl w:val="3BBACD3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DB17E92"/>
    <w:multiLevelType w:val="hybridMultilevel"/>
    <w:tmpl w:val="0CC40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70575"/>
    <w:multiLevelType w:val="hybridMultilevel"/>
    <w:tmpl w:val="62F856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A847630"/>
    <w:multiLevelType w:val="multilevel"/>
    <w:tmpl w:val="E49836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F2047"/>
    <w:multiLevelType w:val="hybridMultilevel"/>
    <w:tmpl w:val="1D6A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15684"/>
    <w:multiLevelType w:val="hybridMultilevel"/>
    <w:tmpl w:val="B0AE9BC2"/>
    <w:lvl w:ilvl="0" w:tplc="2CF05470">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num>
  <w:num w:numId="4">
    <w:abstractNumId w:val="9"/>
  </w:num>
  <w:num w:numId="5">
    <w:abstractNumId w:val="16"/>
  </w:num>
  <w:num w:numId="6">
    <w:abstractNumId w:val="0"/>
  </w:num>
  <w:num w:numId="7">
    <w:abstractNumId w:val="13"/>
  </w:num>
  <w:num w:numId="8">
    <w:abstractNumId w:val="10"/>
  </w:num>
  <w:num w:numId="9">
    <w:abstractNumId w:val="5"/>
  </w:num>
  <w:num w:numId="10">
    <w:abstractNumId w:val="19"/>
  </w:num>
  <w:num w:numId="11">
    <w:abstractNumId w:val="3"/>
  </w:num>
  <w:num w:numId="12">
    <w:abstractNumId w:val="6"/>
  </w:num>
  <w:num w:numId="13">
    <w:abstractNumId w:val="12"/>
  </w:num>
  <w:num w:numId="14">
    <w:abstractNumId w:val="4"/>
  </w:num>
  <w:num w:numId="15">
    <w:abstractNumId w:val="2"/>
  </w:num>
  <w:num w:numId="16">
    <w:abstractNumId w:val="21"/>
  </w:num>
  <w:num w:numId="17">
    <w:abstractNumId w:val="8"/>
  </w:num>
  <w:num w:numId="18">
    <w:abstractNumId w:val="11"/>
  </w:num>
  <w:num w:numId="19">
    <w:abstractNumId w:val="1"/>
  </w:num>
  <w:num w:numId="20">
    <w:abstractNumId w:val="20"/>
  </w:num>
  <w:num w:numId="21">
    <w:abstractNumId w:val="7"/>
  </w:num>
  <w:num w:numId="22">
    <w:abstractNumId w:val="18"/>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35"/>
    <w:rsid w:val="0002008B"/>
    <w:rsid w:val="00062E90"/>
    <w:rsid w:val="000758BE"/>
    <w:rsid w:val="000769EE"/>
    <w:rsid w:val="00091240"/>
    <w:rsid w:val="000943F0"/>
    <w:rsid w:val="000947F0"/>
    <w:rsid w:val="000A37BD"/>
    <w:rsid w:val="000B36A6"/>
    <w:rsid w:val="00100079"/>
    <w:rsid w:val="0012537E"/>
    <w:rsid w:val="0017151E"/>
    <w:rsid w:val="001745BE"/>
    <w:rsid w:val="0017490B"/>
    <w:rsid w:val="0018464B"/>
    <w:rsid w:val="001A2CD4"/>
    <w:rsid w:val="001C1F0E"/>
    <w:rsid w:val="001C3408"/>
    <w:rsid w:val="001D0D08"/>
    <w:rsid w:val="002108D5"/>
    <w:rsid w:val="002112F3"/>
    <w:rsid w:val="00237F52"/>
    <w:rsid w:val="0025584B"/>
    <w:rsid w:val="002C0143"/>
    <w:rsid w:val="002C42AC"/>
    <w:rsid w:val="002E0171"/>
    <w:rsid w:val="00301DA3"/>
    <w:rsid w:val="0033279C"/>
    <w:rsid w:val="00384493"/>
    <w:rsid w:val="00390DC1"/>
    <w:rsid w:val="003A1901"/>
    <w:rsid w:val="003E3F97"/>
    <w:rsid w:val="003F7DA0"/>
    <w:rsid w:val="004446E2"/>
    <w:rsid w:val="004639BF"/>
    <w:rsid w:val="00474976"/>
    <w:rsid w:val="00474F3C"/>
    <w:rsid w:val="00477D6B"/>
    <w:rsid w:val="00484902"/>
    <w:rsid w:val="004B04AE"/>
    <w:rsid w:val="005225FE"/>
    <w:rsid w:val="00525A99"/>
    <w:rsid w:val="00531F1B"/>
    <w:rsid w:val="005641EB"/>
    <w:rsid w:val="005850C0"/>
    <w:rsid w:val="0059100D"/>
    <w:rsid w:val="005A6D2D"/>
    <w:rsid w:val="005F24E3"/>
    <w:rsid w:val="00600A4E"/>
    <w:rsid w:val="0062678C"/>
    <w:rsid w:val="0066220C"/>
    <w:rsid w:val="00671ED2"/>
    <w:rsid w:val="00677D7C"/>
    <w:rsid w:val="00685A14"/>
    <w:rsid w:val="00696C47"/>
    <w:rsid w:val="006A14C7"/>
    <w:rsid w:val="006B3E2B"/>
    <w:rsid w:val="006C08D9"/>
    <w:rsid w:val="006C0CC0"/>
    <w:rsid w:val="006C6613"/>
    <w:rsid w:val="006D13CB"/>
    <w:rsid w:val="006E77A7"/>
    <w:rsid w:val="006F687E"/>
    <w:rsid w:val="00713EF1"/>
    <w:rsid w:val="0072063B"/>
    <w:rsid w:val="00730837"/>
    <w:rsid w:val="007308BE"/>
    <w:rsid w:val="007532E9"/>
    <w:rsid w:val="00770BEF"/>
    <w:rsid w:val="0077708D"/>
    <w:rsid w:val="007B7082"/>
    <w:rsid w:val="007D52E3"/>
    <w:rsid w:val="007E4164"/>
    <w:rsid w:val="007E616A"/>
    <w:rsid w:val="007F39FB"/>
    <w:rsid w:val="00803EF5"/>
    <w:rsid w:val="0080628B"/>
    <w:rsid w:val="008161B1"/>
    <w:rsid w:val="00837726"/>
    <w:rsid w:val="008677A8"/>
    <w:rsid w:val="00887686"/>
    <w:rsid w:val="008B2066"/>
    <w:rsid w:val="008C4635"/>
    <w:rsid w:val="00900CE7"/>
    <w:rsid w:val="00926209"/>
    <w:rsid w:val="009273D5"/>
    <w:rsid w:val="00940C54"/>
    <w:rsid w:val="00951C4B"/>
    <w:rsid w:val="009524F8"/>
    <w:rsid w:val="00986BF2"/>
    <w:rsid w:val="009A4FC5"/>
    <w:rsid w:val="009C242A"/>
    <w:rsid w:val="009D0A24"/>
    <w:rsid w:val="009F5CBF"/>
    <w:rsid w:val="00A00DC5"/>
    <w:rsid w:val="00A035E2"/>
    <w:rsid w:val="00A07A29"/>
    <w:rsid w:val="00A40D82"/>
    <w:rsid w:val="00A42937"/>
    <w:rsid w:val="00A44E3C"/>
    <w:rsid w:val="00A45434"/>
    <w:rsid w:val="00A46AEB"/>
    <w:rsid w:val="00A5288F"/>
    <w:rsid w:val="00A53484"/>
    <w:rsid w:val="00A54B06"/>
    <w:rsid w:val="00A6139F"/>
    <w:rsid w:val="00A85D6C"/>
    <w:rsid w:val="00AA53C2"/>
    <w:rsid w:val="00AB59C9"/>
    <w:rsid w:val="00AC7F5F"/>
    <w:rsid w:val="00AD57A3"/>
    <w:rsid w:val="00AD67C9"/>
    <w:rsid w:val="00AE424C"/>
    <w:rsid w:val="00AE59AC"/>
    <w:rsid w:val="00AE7148"/>
    <w:rsid w:val="00B33DE1"/>
    <w:rsid w:val="00B42731"/>
    <w:rsid w:val="00B4389E"/>
    <w:rsid w:val="00B626C9"/>
    <w:rsid w:val="00B65029"/>
    <w:rsid w:val="00B90373"/>
    <w:rsid w:val="00B93837"/>
    <w:rsid w:val="00B94591"/>
    <w:rsid w:val="00BA67AA"/>
    <w:rsid w:val="00BC0FF8"/>
    <w:rsid w:val="00BC5F71"/>
    <w:rsid w:val="00BD67BE"/>
    <w:rsid w:val="00C060FE"/>
    <w:rsid w:val="00C172CE"/>
    <w:rsid w:val="00C50BBC"/>
    <w:rsid w:val="00C55540"/>
    <w:rsid w:val="00C67F58"/>
    <w:rsid w:val="00C75B86"/>
    <w:rsid w:val="00C76C8B"/>
    <w:rsid w:val="00C80705"/>
    <w:rsid w:val="00CF73C4"/>
    <w:rsid w:val="00D0039C"/>
    <w:rsid w:val="00D0475D"/>
    <w:rsid w:val="00D10D35"/>
    <w:rsid w:val="00D16226"/>
    <w:rsid w:val="00D206AF"/>
    <w:rsid w:val="00D21735"/>
    <w:rsid w:val="00D445CC"/>
    <w:rsid w:val="00D55F78"/>
    <w:rsid w:val="00D61050"/>
    <w:rsid w:val="00D6480C"/>
    <w:rsid w:val="00D87DF3"/>
    <w:rsid w:val="00D94625"/>
    <w:rsid w:val="00DA3FF9"/>
    <w:rsid w:val="00DA66BA"/>
    <w:rsid w:val="00DD0B30"/>
    <w:rsid w:val="00E32AB5"/>
    <w:rsid w:val="00E37339"/>
    <w:rsid w:val="00E52306"/>
    <w:rsid w:val="00E7109B"/>
    <w:rsid w:val="00E74621"/>
    <w:rsid w:val="00E85319"/>
    <w:rsid w:val="00EC12AD"/>
    <w:rsid w:val="00EC190E"/>
    <w:rsid w:val="00EE36FC"/>
    <w:rsid w:val="00EF77AF"/>
    <w:rsid w:val="00F40F11"/>
    <w:rsid w:val="00F50DC3"/>
    <w:rsid w:val="00F60677"/>
    <w:rsid w:val="00F62A9D"/>
    <w:rsid w:val="00F66E95"/>
    <w:rsid w:val="00F7242A"/>
    <w:rsid w:val="00F73971"/>
    <w:rsid w:val="00F82C88"/>
    <w:rsid w:val="00FA6336"/>
    <w:rsid w:val="00FA794C"/>
    <w:rsid w:val="00FC1EB8"/>
    <w:rsid w:val="00FC65C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41B2"/>
  <w15:chartTrackingRefBased/>
  <w15:docId w15:val="{04037CEF-D9CE-4B99-991F-2E874CD5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4C"/>
  </w:style>
  <w:style w:type="paragraph" w:styleId="Heading2">
    <w:name w:val="heading 2"/>
    <w:basedOn w:val="Normal"/>
    <w:link w:val="Heading2Char"/>
    <w:uiPriority w:val="9"/>
    <w:qFormat/>
    <w:rsid w:val="00A07A29"/>
    <w:pPr>
      <w:spacing w:before="100" w:beforeAutospacing="1" w:after="100" w:afterAutospacing="1" w:line="240" w:lineRule="auto"/>
      <w:outlineLvl w:val="1"/>
    </w:pPr>
    <w:rPr>
      <w:rFonts w:ascii="Times New Roman" w:eastAsia="Times New Roman" w:hAnsi="Times New Roman" w:cs="Times New Roman"/>
      <w:b/>
      <w:bCs/>
      <w:sz w:val="36"/>
      <w:szCs w:val="36"/>
      <w:lang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List Tables,Bullet List,FooterText,Colorful List Accent 1,LP,L"/>
    <w:basedOn w:val="Normal"/>
    <w:link w:val="ListParagraphChar"/>
    <w:uiPriority w:val="34"/>
    <w:qFormat/>
    <w:rsid w:val="00D10D35"/>
    <w:pPr>
      <w:spacing w:after="0" w:line="240" w:lineRule="auto"/>
      <w:ind w:left="720"/>
    </w:pPr>
    <w:rPr>
      <w:rFonts w:ascii="Calibri" w:hAnsi="Calibri" w:cs="Calibri"/>
      <w:lang w:val="en-US"/>
    </w:rPr>
  </w:style>
  <w:style w:type="character" w:styleId="FootnoteReference">
    <w:name w:val="footnote reference"/>
    <w:aliases w:val="Ref,de nota al pie,16 Point,Superscript 6 Point,Appel note de bas de page,ftref,BVI fnr,Footnote Reference Number,Car Car Char Car Char Car Car Char Car Char Char,Heading 3 Char Char Char,Heading 3 Char Char Char Char,FO,footnote ref"/>
    <w:basedOn w:val="DefaultParagraphFont"/>
    <w:link w:val="4GCharCharChar"/>
    <w:uiPriority w:val="99"/>
    <w:unhideWhenUsed/>
    <w:qFormat/>
    <w:rsid w:val="00D10D35"/>
    <w:rPr>
      <w:vertAlign w:val="superscript"/>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n Char,ft Char"/>
    <w:basedOn w:val="DefaultParagraphFont"/>
    <w:link w:val="FootnoteText"/>
    <w:uiPriority w:val="99"/>
    <w:semiHidden/>
    <w:rsid w:val="00D10D35"/>
    <w:rPr>
      <w:sz w:val="20"/>
      <w:szCs w:val="20"/>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n,ft"/>
    <w:basedOn w:val="Normal"/>
    <w:link w:val="FootnoteTextChar"/>
    <w:uiPriority w:val="99"/>
    <w:semiHidden/>
    <w:unhideWhenUsed/>
    <w:qFormat/>
    <w:rsid w:val="00D10D35"/>
    <w:pPr>
      <w:spacing w:after="0" w:line="240" w:lineRule="auto"/>
    </w:pPr>
    <w:rPr>
      <w:sz w:val="20"/>
      <w:szCs w:val="20"/>
    </w:rPr>
  </w:style>
  <w:style w:type="character" w:customStyle="1" w:styleId="FootnoteTextChar1">
    <w:name w:val="Footnote Text Char1"/>
    <w:basedOn w:val="DefaultParagraphFont"/>
    <w:uiPriority w:val="99"/>
    <w:semiHidden/>
    <w:rsid w:val="00D10D35"/>
    <w:rPr>
      <w:sz w:val="20"/>
      <w:szCs w:val="20"/>
      <w:lang w:val="en-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10D35"/>
    <w:pPr>
      <w:spacing w:line="240" w:lineRule="exact"/>
      <w:jc w:val="both"/>
    </w:pPr>
    <w:rPr>
      <w:vertAlign w:val="superscript"/>
    </w:rPr>
  </w:style>
  <w:style w:type="character" w:styleId="Hyperlink">
    <w:name w:val="Hyperlink"/>
    <w:basedOn w:val="DefaultParagraphFont"/>
    <w:uiPriority w:val="99"/>
    <w:unhideWhenUsed/>
    <w:rsid w:val="00D10D35"/>
    <w:rPr>
      <w:color w:val="0563C1"/>
      <w:u w:val="single"/>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34"/>
    <w:qFormat/>
    <w:locked/>
    <w:rsid w:val="00D10D35"/>
    <w:rPr>
      <w:rFonts w:ascii="Calibri" w:hAnsi="Calibri" w:cs="Calibri"/>
      <w:lang w:val="en-US"/>
    </w:rPr>
  </w:style>
  <w:style w:type="character" w:styleId="CommentReference">
    <w:name w:val="annotation reference"/>
    <w:basedOn w:val="DefaultParagraphFont"/>
    <w:uiPriority w:val="99"/>
    <w:semiHidden/>
    <w:unhideWhenUsed/>
    <w:rsid w:val="00D10D35"/>
    <w:rPr>
      <w:sz w:val="16"/>
      <w:szCs w:val="16"/>
    </w:rPr>
  </w:style>
  <w:style w:type="paragraph" w:styleId="CommentText">
    <w:name w:val="annotation text"/>
    <w:basedOn w:val="Normal"/>
    <w:link w:val="CommentTextChar"/>
    <w:uiPriority w:val="99"/>
    <w:semiHidden/>
    <w:unhideWhenUsed/>
    <w:rsid w:val="00D10D35"/>
    <w:pPr>
      <w:spacing w:line="240" w:lineRule="auto"/>
    </w:pPr>
    <w:rPr>
      <w:sz w:val="20"/>
      <w:szCs w:val="20"/>
    </w:rPr>
  </w:style>
  <w:style w:type="character" w:customStyle="1" w:styleId="CommentTextChar">
    <w:name w:val="Comment Text Char"/>
    <w:basedOn w:val="DefaultParagraphFont"/>
    <w:link w:val="CommentText"/>
    <w:uiPriority w:val="99"/>
    <w:semiHidden/>
    <w:rsid w:val="00D10D35"/>
    <w:rPr>
      <w:sz w:val="20"/>
      <w:szCs w:val="20"/>
      <w:lang w:val="en-CH"/>
    </w:rPr>
  </w:style>
  <w:style w:type="character" w:customStyle="1" w:styleId="markedcontent">
    <w:name w:val="markedcontent"/>
    <w:basedOn w:val="DefaultParagraphFont"/>
    <w:rsid w:val="00D10D35"/>
  </w:style>
  <w:style w:type="paragraph" w:styleId="NormalWeb">
    <w:name w:val="Normal (Web)"/>
    <w:basedOn w:val="Normal"/>
    <w:uiPriority w:val="99"/>
    <w:semiHidden/>
    <w:unhideWhenUsed/>
    <w:rsid w:val="009524F8"/>
    <w:pPr>
      <w:spacing w:before="100" w:beforeAutospacing="1" w:after="100" w:afterAutospacing="1" w:line="240" w:lineRule="auto"/>
    </w:pPr>
    <w:rPr>
      <w:rFonts w:ascii="Times New Roman" w:eastAsia="Times New Roman" w:hAnsi="Times New Roman" w:cs="Times New Roman"/>
      <w:sz w:val="24"/>
      <w:szCs w:val="24"/>
      <w:lang w:eastAsia="en-CH"/>
    </w:rPr>
  </w:style>
  <w:style w:type="paragraph" w:styleId="Header">
    <w:name w:val="header"/>
    <w:basedOn w:val="Normal"/>
    <w:link w:val="HeaderChar"/>
    <w:uiPriority w:val="99"/>
    <w:unhideWhenUsed/>
    <w:rsid w:val="003E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F97"/>
    <w:rPr>
      <w:lang w:val="en-CH"/>
    </w:rPr>
  </w:style>
  <w:style w:type="paragraph" w:styleId="Footer">
    <w:name w:val="footer"/>
    <w:basedOn w:val="Normal"/>
    <w:link w:val="FooterChar"/>
    <w:uiPriority w:val="99"/>
    <w:unhideWhenUsed/>
    <w:rsid w:val="003E3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F97"/>
    <w:rPr>
      <w:lang w:val="en-CH"/>
    </w:rPr>
  </w:style>
  <w:style w:type="character" w:styleId="UnresolvedMention">
    <w:name w:val="Unresolved Mention"/>
    <w:basedOn w:val="DefaultParagraphFont"/>
    <w:uiPriority w:val="99"/>
    <w:semiHidden/>
    <w:unhideWhenUsed/>
    <w:rsid w:val="00B65029"/>
    <w:rPr>
      <w:color w:val="605E5C"/>
      <w:shd w:val="clear" w:color="auto" w:fill="E1DFDD"/>
    </w:rPr>
  </w:style>
  <w:style w:type="paragraph" w:customStyle="1" w:styleId="paragraph-module--small--amjgt">
    <w:name w:val="paragraph-module--small--amjgt"/>
    <w:basedOn w:val="Normal"/>
    <w:rsid w:val="002C42AC"/>
    <w:pPr>
      <w:spacing w:before="100" w:beforeAutospacing="1" w:after="100" w:afterAutospacing="1" w:line="240" w:lineRule="auto"/>
    </w:pPr>
    <w:rPr>
      <w:rFonts w:ascii="Times New Roman" w:eastAsia="Times New Roman" w:hAnsi="Times New Roman" w:cs="Times New Roman"/>
      <w:sz w:val="24"/>
      <w:szCs w:val="24"/>
      <w:lang w:eastAsia="en-CH"/>
    </w:rPr>
  </w:style>
  <w:style w:type="character" w:customStyle="1" w:styleId="Heading2Char">
    <w:name w:val="Heading 2 Char"/>
    <w:basedOn w:val="DefaultParagraphFont"/>
    <w:link w:val="Heading2"/>
    <w:uiPriority w:val="9"/>
    <w:rsid w:val="00A07A29"/>
    <w:rPr>
      <w:rFonts w:ascii="Times New Roman" w:eastAsia="Times New Roman" w:hAnsi="Times New Roman" w:cs="Times New Roman"/>
      <w:b/>
      <w:bCs/>
      <w:sz w:val="36"/>
      <w:szCs w:val="36"/>
      <w:lang w:val="en-CH" w:eastAsia="en-CH"/>
    </w:rPr>
  </w:style>
  <w:style w:type="character" w:customStyle="1" w:styleId="d2edcug0">
    <w:name w:val="d2edcug0"/>
    <w:basedOn w:val="DefaultParagraphFont"/>
    <w:rsid w:val="00474976"/>
  </w:style>
  <w:style w:type="character" w:styleId="FollowedHyperlink">
    <w:name w:val="FollowedHyperlink"/>
    <w:basedOn w:val="DefaultParagraphFont"/>
    <w:uiPriority w:val="99"/>
    <w:semiHidden/>
    <w:unhideWhenUsed/>
    <w:rsid w:val="0088768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06AF"/>
    <w:rPr>
      <w:b/>
      <w:bCs/>
    </w:rPr>
  </w:style>
  <w:style w:type="character" w:customStyle="1" w:styleId="CommentSubjectChar">
    <w:name w:val="Comment Subject Char"/>
    <w:basedOn w:val="CommentTextChar"/>
    <w:link w:val="CommentSubject"/>
    <w:uiPriority w:val="99"/>
    <w:semiHidden/>
    <w:rsid w:val="00D206AF"/>
    <w:rPr>
      <w:b/>
      <w:bCs/>
      <w:sz w:val="20"/>
      <w:szCs w:val="20"/>
      <w:lang w:val="en-CH"/>
    </w:rPr>
  </w:style>
  <w:style w:type="character" w:customStyle="1" w:styleId="highlight">
    <w:name w:val="highlight"/>
    <w:basedOn w:val="DefaultParagraphFont"/>
    <w:rsid w:val="00A53484"/>
  </w:style>
  <w:style w:type="character" w:customStyle="1" w:styleId="normaltextrun">
    <w:name w:val="normaltextrun"/>
    <w:basedOn w:val="DefaultParagraphFont"/>
    <w:rsid w:val="007F39FB"/>
  </w:style>
  <w:style w:type="paragraph" w:styleId="Revision">
    <w:name w:val="Revision"/>
    <w:hidden/>
    <w:uiPriority w:val="99"/>
    <w:semiHidden/>
    <w:rsid w:val="005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0048">
      <w:bodyDiv w:val="1"/>
      <w:marLeft w:val="0"/>
      <w:marRight w:val="0"/>
      <w:marTop w:val="0"/>
      <w:marBottom w:val="0"/>
      <w:divBdr>
        <w:top w:val="none" w:sz="0" w:space="0" w:color="auto"/>
        <w:left w:val="none" w:sz="0" w:space="0" w:color="auto"/>
        <w:bottom w:val="none" w:sz="0" w:space="0" w:color="auto"/>
        <w:right w:val="none" w:sz="0" w:space="0" w:color="auto"/>
      </w:divBdr>
    </w:div>
    <w:div w:id="570698273">
      <w:bodyDiv w:val="1"/>
      <w:marLeft w:val="0"/>
      <w:marRight w:val="0"/>
      <w:marTop w:val="0"/>
      <w:marBottom w:val="0"/>
      <w:divBdr>
        <w:top w:val="none" w:sz="0" w:space="0" w:color="auto"/>
        <w:left w:val="none" w:sz="0" w:space="0" w:color="auto"/>
        <w:bottom w:val="none" w:sz="0" w:space="0" w:color="auto"/>
        <w:right w:val="none" w:sz="0" w:space="0" w:color="auto"/>
      </w:divBdr>
    </w:div>
    <w:div w:id="617375088">
      <w:bodyDiv w:val="1"/>
      <w:marLeft w:val="0"/>
      <w:marRight w:val="0"/>
      <w:marTop w:val="0"/>
      <w:marBottom w:val="0"/>
      <w:divBdr>
        <w:top w:val="none" w:sz="0" w:space="0" w:color="auto"/>
        <w:left w:val="none" w:sz="0" w:space="0" w:color="auto"/>
        <w:bottom w:val="none" w:sz="0" w:space="0" w:color="auto"/>
        <w:right w:val="none" w:sz="0" w:space="0" w:color="auto"/>
      </w:divBdr>
    </w:div>
    <w:div w:id="783158201">
      <w:bodyDiv w:val="1"/>
      <w:marLeft w:val="0"/>
      <w:marRight w:val="0"/>
      <w:marTop w:val="0"/>
      <w:marBottom w:val="0"/>
      <w:divBdr>
        <w:top w:val="none" w:sz="0" w:space="0" w:color="auto"/>
        <w:left w:val="none" w:sz="0" w:space="0" w:color="auto"/>
        <w:bottom w:val="none" w:sz="0" w:space="0" w:color="auto"/>
        <w:right w:val="none" w:sz="0" w:space="0" w:color="auto"/>
      </w:divBdr>
    </w:div>
    <w:div w:id="942104213">
      <w:bodyDiv w:val="1"/>
      <w:marLeft w:val="0"/>
      <w:marRight w:val="0"/>
      <w:marTop w:val="0"/>
      <w:marBottom w:val="0"/>
      <w:divBdr>
        <w:top w:val="none" w:sz="0" w:space="0" w:color="auto"/>
        <w:left w:val="none" w:sz="0" w:space="0" w:color="auto"/>
        <w:bottom w:val="none" w:sz="0" w:space="0" w:color="auto"/>
        <w:right w:val="none" w:sz="0" w:space="0" w:color="auto"/>
      </w:divBdr>
    </w:div>
    <w:div w:id="983780334">
      <w:bodyDiv w:val="1"/>
      <w:marLeft w:val="0"/>
      <w:marRight w:val="0"/>
      <w:marTop w:val="0"/>
      <w:marBottom w:val="0"/>
      <w:divBdr>
        <w:top w:val="none" w:sz="0" w:space="0" w:color="auto"/>
        <w:left w:val="none" w:sz="0" w:space="0" w:color="auto"/>
        <w:bottom w:val="none" w:sz="0" w:space="0" w:color="auto"/>
        <w:right w:val="none" w:sz="0" w:space="0" w:color="auto"/>
      </w:divBdr>
    </w:div>
    <w:div w:id="1333414074">
      <w:bodyDiv w:val="1"/>
      <w:marLeft w:val="0"/>
      <w:marRight w:val="0"/>
      <w:marTop w:val="0"/>
      <w:marBottom w:val="0"/>
      <w:divBdr>
        <w:top w:val="none" w:sz="0" w:space="0" w:color="auto"/>
        <w:left w:val="none" w:sz="0" w:space="0" w:color="auto"/>
        <w:bottom w:val="none" w:sz="0" w:space="0" w:color="auto"/>
        <w:right w:val="none" w:sz="0" w:space="0" w:color="auto"/>
      </w:divBdr>
      <w:divsChild>
        <w:div w:id="1028604274">
          <w:marLeft w:val="0"/>
          <w:marRight w:val="0"/>
          <w:marTop w:val="0"/>
          <w:marBottom w:val="0"/>
          <w:divBdr>
            <w:top w:val="none" w:sz="0" w:space="0" w:color="auto"/>
            <w:left w:val="none" w:sz="0" w:space="0" w:color="auto"/>
            <w:bottom w:val="none" w:sz="0" w:space="0" w:color="auto"/>
            <w:right w:val="none" w:sz="0" w:space="0" w:color="auto"/>
          </w:divBdr>
        </w:div>
      </w:divsChild>
    </w:div>
    <w:div w:id="1584948984">
      <w:bodyDiv w:val="1"/>
      <w:marLeft w:val="0"/>
      <w:marRight w:val="0"/>
      <w:marTop w:val="0"/>
      <w:marBottom w:val="0"/>
      <w:divBdr>
        <w:top w:val="none" w:sz="0" w:space="0" w:color="auto"/>
        <w:left w:val="none" w:sz="0" w:space="0" w:color="auto"/>
        <w:bottom w:val="none" w:sz="0" w:space="0" w:color="auto"/>
        <w:right w:val="none" w:sz="0" w:space="0" w:color="auto"/>
      </w:divBdr>
      <w:divsChild>
        <w:div w:id="44913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nd-violence.org/impact/countries/zambia" TargetMode="External"/><Relationship Id="rId13" Type="http://schemas.openxmlformats.org/officeDocument/2006/relationships/hyperlink" Target="https://bit.ly/34sFbbr" TargetMode="External"/><Relationship Id="rId18" Type="http://schemas.openxmlformats.org/officeDocument/2006/relationships/hyperlink" Target="https://www.unicef.org/esa/media/8941/file/Zambia-Case-Study-Child-Marriage-2021.pdf" TargetMode="External"/><Relationship Id="rId3" Type="http://schemas.openxmlformats.org/officeDocument/2006/relationships/hyperlink" Target="https://www.iea.org/reports/global-energy-review-2020" TargetMode="External"/><Relationship Id="rId21" Type="http://schemas.openxmlformats.org/officeDocument/2006/relationships/hyperlink" Target="http://www.moljpa.gov.np/en/wp-content/uploads/2018/12/Penal-Code-English-Revised-1.pdf" TargetMode="External"/><Relationship Id="rId7" Type="http://schemas.openxmlformats.org/officeDocument/2006/relationships/hyperlink" Target="https://www.parliament.gov.zm/sites/default/files/documents/acts/Marriage%20Act.pdf" TargetMode="External"/><Relationship Id="rId12" Type="http://schemas.openxmlformats.org/officeDocument/2006/relationships/hyperlink" Target="https://www.unicef.org/sites/default/files/2019-12/Child-Participation-in-Local-Governance-UNICEF-Country-Office-Case-Studies.pdf" TargetMode="External"/><Relationship Id="rId17" Type="http://schemas.openxmlformats.org/officeDocument/2006/relationships/hyperlink" Target="https://www.unicef.org/rosa/what-we-do/child-protection/child-marriage" TargetMode="External"/><Relationship Id="rId2" Type="http://schemas.openxmlformats.org/officeDocument/2006/relationships/hyperlink" Target="https://resourcecentre.savethechildren.net/pdf/sc_globalgirlhoodreport2021-1.pdf/" TargetMode="External"/><Relationship Id="rId16" Type="http://schemas.openxmlformats.org/officeDocument/2006/relationships/hyperlink" Target="https://www.savethechildren.org/content/dam/usa/reports/ed-cp/cefm-in-humanitarian-settings.pdf" TargetMode="External"/><Relationship Id="rId20" Type="http://schemas.openxmlformats.org/officeDocument/2006/relationships/hyperlink" Target="https://www.parliament.gov.zm/sites/default/files/documents/acts/Marriage%20Act.pdf" TargetMode="External"/><Relationship Id="rId1" Type="http://schemas.openxmlformats.org/officeDocument/2006/relationships/hyperlink" Target="https://www.savethechildren.org/content/dam/usa/reports/ed-cp/cefm-in-humanitarian-settings.pdf" TargetMode="External"/><Relationship Id="rId6" Type="http://schemas.openxmlformats.org/officeDocument/2006/relationships/hyperlink" Target="http://www.africanchildforum.org/clr/Pages_EN/Zambia.html" TargetMode="External"/><Relationship Id="rId11" Type="http://schemas.openxmlformats.org/officeDocument/2006/relationships/hyperlink" Target="https://resourcecentre.savethechildren.net/document/making-law-work-girls-how-children-governments-communities-and-religious-leaders-are-working/" TargetMode="External"/><Relationship Id="rId5" Type="http://schemas.openxmlformats.org/officeDocument/2006/relationships/hyperlink" Target="https://www.facebook.com/necmz/" TargetMode="External"/><Relationship Id="rId15" Type="http://schemas.openxmlformats.org/officeDocument/2006/relationships/hyperlink" Target="https://resourcecentre.savethechildren.net/document/ending-child-marriage-child-marriage-laws-and-their-limitations/" TargetMode="External"/><Relationship Id="rId23" Type="http://schemas.openxmlformats.org/officeDocument/2006/relationships/hyperlink" Target="https://www.lawcommission.gov.np/en/wp-content/uploads/2018/09/juvenile-justice-procedural-rules-2063-2006.pdf" TargetMode="External"/><Relationship Id="rId10" Type="http://schemas.openxmlformats.org/officeDocument/2006/relationships/hyperlink" Target="https://odi.org/en/publications/town-chiefs-inmalawi/" TargetMode="External"/><Relationship Id="rId19" Type="http://schemas.openxmlformats.org/officeDocument/2006/relationships/hyperlink" Target="https://www.parliament.gov.zm/sites/default/files/documents/acts/Penal%20Code%20Act.pdf" TargetMode="External"/><Relationship Id="rId4" Type="http://schemas.openxmlformats.org/officeDocument/2006/relationships/hyperlink" Target="https://www.savethechildren.org/us/charity-stories/child-marriage-a-violation-of-child-rights" TargetMode="External"/><Relationship Id="rId9" Type="http://schemas.openxmlformats.org/officeDocument/2006/relationships/hyperlink" Target="https://resourcecentre.savethechildren.net/pdf/guidance_for_engaging_traditional_leaders_-_child_marriage_design10.pdf/" TargetMode="External"/><Relationship Id="rId14" Type="http://schemas.openxmlformats.org/officeDocument/2006/relationships/hyperlink" Target="https://www.lawcommission.gov.np/en/wp-content/uploads/2019/07/The-Act-Relating-to-Children-2075-2018.pdf" TargetMode="External"/><Relationship Id="rId22" Type="http://schemas.openxmlformats.org/officeDocument/2006/relationships/hyperlink" Target="https://www.lawcommission.gov.np/en/wp-content/uploads/2019/07/The-Act-Relating-to-Children-2075-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1FBD-683E-4B97-9104-91254D3C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3017</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De Gross, Tania</dc:creator>
  <cp:keywords/>
  <dc:description/>
  <cp:lastModifiedBy>Tania Garcia De Gross</cp:lastModifiedBy>
  <cp:revision>3</cp:revision>
  <dcterms:created xsi:type="dcterms:W3CDTF">2022-02-15T16:30:00Z</dcterms:created>
  <dcterms:modified xsi:type="dcterms:W3CDTF">2022-02-15T16:34:00Z</dcterms:modified>
</cp:coreProperties>
</file>