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51" w:rsidRDefault="00867751" w:rsidP="00867751">
      <w:pPr>
        <w:bidi/>
        <w:spacing w:after="0" w:line="240" w:lineRule="auto"/>
        <w:jc w:val="lowKashida"/>
        <w:rPr>
          <w:rFonts w:ascii="Traditional Arabic" w:hAnsi="Traditional Arabic" w:cs="Traditional Arabic"/>
          <w:b/>
          <w:bCs/>
          <w:sz w:val="28"/>
          <w:szCs w:val="28"/>
          <w:rtl/>
        </w:rPr>
      </w:pPr>
      <w:bookmarkStart w:id="0" w:name="_Hlk136859623"/>
      <w:r w:rsidRPr="0099356A">
        <w:rPr>
          <w:rFonts w:ascii="Traditional Arabic" w:hAnsi="Traditional Arabic" w:cs="Traditional Arabic" w:hint="cs"/>
          <w:b/>
          <w:bCs/>
          <w:sz w:val="28"/>
          <w:szCs w:val="28"/>
          <w:rtl/>
        </w:rPr>
        <w:t>التاريخ:</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lang w:bidi="ar-KW"/>
        </w:rPr>
        <w:t>6 يونيو 2023</w:t>
      </w:r>
    </w:p>
    <w:p w:rsidR="00867751" w:rsidRPr="00202B1B" w:rsidRDefault="00867751" w:rsidP="00867751">
      <w:pPr>
        <w:bidi/>
        <w:spacing w:after="0" w:line="240" w:lineRule="auto"/>
        <w:jc w:val="lowKashida"/>
        <w:rPr>
          <w:rFonts w:ascii="Traditional Arabic" w:hAnsi="Traditional Arabic" w:cs="Traditional Arabic"/>
          <w:b/>
          <w:bCs/>
          <w:sz w:val="16"/>
          <w:szCs w:val="16"/>
        </w:rPr>
      </w:pPr>
    </w:p>
    <w:p w:rsidR="00867751" w:rsidRPr="0096602F" w:rsidRDefault="00867751" w:rsidP="00867751">
      <w:pPr>
        <w:bidi/>
        <w:spacing w:after="0" w:line="240" w:lineRule="auto"/>
        <w:ind w:firstLine="720"/>
        <w:jc w:val="both"/>
        <w:rPr>
          <w:rFonts w:ascii="Traditional Arabic" w:hAnsi="Traditional Arabic" w:cs="Traditional Arabic"/>
          <w:b/>
          <w:bCs/>
          <w:sz w:val="36"/>
          <w:szCs w:val="36"/>
          <w:rtl/>
          <w:lang w:bidi="ar-KW"/>
        </w:rPr>
      </w:pPr>
      <w:r w:rsidRPr="0096602F">
        <w:rPr>
          <w:rFonts w:ascii="Traditional Arabic" w:hAnsi="Traditional Arabic" w:cs="Traditional Arabic" w:hint="cs"/>
          <w:b/>
          <w:bCs/>
          <w:sz w:val="36"/>
          <w:szCs w:val="36"/>
          <w:rtl/>
        </w:rPr>
        <w:t xml:space="preserve">يهدي الوفد الدائم لدولة الكويت لدى الأمم المتحدة في جنيف أطيب تحياته إلى مكتب المفوضية السامية لحقوق الانسان. </w:t>
      </w:r>
    </w:p>
    <w:p w:rsidR="00867751" w:rsidRPr="0096602F" w:rsidRDefault="00867751" w:rsidP="00867751">
      <w:pPr>
        <w:bidi/>
        <w:spacing w:after="0" w:line="240" w:lineRule="auto"/>
        <w:ind w:firstLine="720"/>
        <w:jc w:val="both"/>
        <w:rPr>
          <w:rFonts w:ascii="Traditional Arabic" w:hAnsi="Traditional Arabic" w:cs="Traditional Arabic"/>
          <w:b/>
          <w:bCs/>
          <w:sz w:val="16"/>
          <w:szCs w:val="16"/>
          <w:rtl/>
          <w:lang w:bidi="ar-KW"/>
        </w:rPr>
      </w:pPr>
    </w:p>
    <w:p w:rsidR="00867751" w:rsidRPr="00CD4148" w:rsidRDefault="00867751" w:rsidP="00867751">
      <w:pPr>
        <w:bidi/>
        <w:spacing w:after="0" w:line="240" w:lineRule="auto"/>
        <w:ind w:firstLine="720"/>
        <w:jc w:val="both"/>
        <w:rPr>
          <w:rFonts w:ascii="Traditional Arabic" w:hAnsi="Traditional Arabic" w:cs="Traditional Arabic"/>
          <w:b/>
          <w:bCs/>
          <w:color w:val="FF0000"/>
          <w:sz w:val="36"/>
          <w:szCs w:val="36"/>
          <w:rtl/>
          <w:lang w:bidi="ar-KW"/>
        </w:rPr>
      </w:pPr>
      <w:r w:rsidRPr="00645A76">
        <w:rPr>
          <w:rFonts w:ascii="Traditional Arabic" w:hAnsi="Traditional Arabic" w:cs="Traditional Arabic" w:hint="cs"/>
          <w:b/>
          <w:bCs/>
          <w:sz w:val="36"/>
          <w:szCs w:val="36"/>
          <w:rtl/>
          <w:lang w:bidi="ar-KW"/>
        </w:rPr>
        <w:t xml:space="preserve">بالإشـــارة إلى رسالة المقرر الخاص المعني بحق الإنسان في الحصول على مياه الشرب المأمونة وخدمات الصرف الصحي بتاريخ 28 </w:t>
      </w:r>
      <w:r>
        <w:rPr>
          <w:rFonts w:ascii="Traditional Arabic" w:hAnsi="Traditional Arabic" w:cs="Traditional Arabic" w:hint="cs"/>
          <w:b/>
          <w:bCs/>
          <w:sz w:val="36"/>
          <w:szCs w:val="36"/>
          <w:rtl/>
          <w:lang w:bidi="ar-KW"/>
        </w:rPr>
        <w:t>أبريل</w:t>
      </w:r>
      <w:r w:rsidRPr="00645A76">
        <w:rPr>
          <w:rFonts w:ascii="Traditional Arabic" w:hAnsi="Traditional Arabic" w:cs="Traditional Arabic" w:hint="cs"/>
          <w:b/>
          <w:bCs/>
          <w:sz w:val="36"/>
          <w:szCs w:val="36"/>
          <w:rtl/>
          <w:lang w:bidi="ar-KW"/>
        </w:rPr>
        <w:t xml:space="preserve"> 2023 بشأن طلب الرد على مجموعة من المسائل أو جزء منها تتعلق بالحق في المياه والصرف الصحي كأداة للسلام والوقاية والتعاون، نرفق لكم رد وزارة الكهرباء والماء والطاقة المتجددة كما يلي:</w:t>
      </w:r>
    </w:p>
    <w:p w:rsidR="00867751" w:rsidRDefault="00867751" w:rsidP="00867751">
      <w:pPr>
        <w:bidi/>
        <w:spacing w:after="0" w:line="240" w:lineRule="auto"/>
        <w:jc w:val="both"/>
        <w:rPr>
          <w:rFonts w:ascii="Traditional Arabic" w:hAnsi="Traditional Arabic" w:cs="Traditional Arabic"/>
          <w:b/>
          <w:bCs/>
          <w:sz w:val="16"/>
          <w:szCs w:val="16"/>
          <w:lang w:bidi="ar-KW"/>
        </w:rPr>
      </w:pPr>
    </w:p>
    <w:p w:rsidR="00867751" w:rsidRDefault="00867751" w:rsidP="00867751">
      <w:pPr>
        <w:bidi/>
        <w:spacing w:after="0" w:line="240" w:lineRule="auto"/>
        <w:jc w:val="both"/>
        <w:rPr>
          <w:rFonts w:ascii="Traditional Arabic" w:hAnsi="Traditional Arabic" w:cs="Traditional Arabic"/>
          <w:b/>
          <w:bCs/>
          <w:sz w:val="36"/>
          <w:szCs w:val="36"/>
          <w:rtl/>
          <w:lang w:bidi="ar-KW"/>
        </w:rPr>
      </w:pPr>
      <w:r>
        <w:rPr>
          <w:rFonts w:ascii="Traditional Arabic" w:hAnsi="Traditional Arabic" w:cs="Traditional Arabic"/>
          <w:b/>
          <w:bCs/>
          <w:sz w:val="36"/>
          <w:szCs w:val="36"/>
        </w:rPr>
        <w:tab/>
      </w:r>
      <w:r>
        <w:rPr>
          <w:rFonts w:ascii="Traditional Arabic" w:hAnsi="Traditional Arabic" w:cs="Traditional Arabic" w:hint="cs"/>
          <w:b/>
          <w:bCs/>
          <w:sz w:val="36"/>
          <w:szCs w:val="36"/>
          <w:rtl/>
          <w:lang w:bidi="ar-KW"/>
        </w:rPr>
        <w:t xml:space="preserve">نود الإفادة بأن المياه هي شريان الحياة الأساسي ومقوماً رئيسياً من مقومات التنمية المعاصرة الشاملة بكل مكوناتها الاقتصادية والاجتماعية والبيئة، كما أن توفير المياه وتأمينها لكل فرد من أفراد المجتمع يعد حقاً من حقوقهم الأساسية الذي تكفله لهم دساتير الدول والشرائع السماوية وحقوق الإنسان. ويعتبر حق الإنسان في الماء هو حق لا يمكن الاستغناء عنه للعيش عيشة كريمة وهو شرط مسبق لإعمال حقوق الإنسان. </w:t>
      </w:r>
    </w:p>
    <w:p w:rsidR="00867751" w:rsidRDefault="00867751" w:rsidP="00867751">
      <w:pPr>
        <w:bidi/>
        <w:spacing w:after="0" w:line="240" w:lineRule="auto"/>
        <w:jc w:val="both"/>
        <w:rPr>
          <w:rFonts w:ascii="Traditional Arabic" w:hAnsi="Traditional Arabic" w:cs="Traditional Arabic"/>
          <w:b/>
          <w:bCs/>
          <w:sz w:val="36"/>
          <w:szCs w:val="36"/>
          <w:rtl/>
          <w:lang w:bidi="ar-KW"/>
        </w:rPr>
      </w:pPr>
      <w:r>
        <w:rPr>
          <w:rFonts w:ascii="Traditional Arabic" w:hAnsi="Traditional Arabic" w:cs="Traditional Arabic"/>
          <w:b/>
          <w:bCs/>
          <w:sz w:val="36"/>
          <w:szCs w:val="36"/>
          <w:rtl/>
          <w:lang w:bidi="ar-KW"/>
        </w:rPr>
        <w:tab/>
      </w:r>
      <w:r>
        <w:rPr>
          <w:rFonts w:ascii="Traditional Arabic" w:hAnsi="Traditional Arabic" w:cs="Traditional Arabic" w:hint="cs"/>
          <w:b/>
          <w:bCs/>
          <w:sz w:val="36"/>
          <w:szCs w:val="36"/>
          <w:rtl/>
          <w:lang w:bidi="ar-KW"/>
        </w:rPr>
        <w:t xml:space="preserve">ويوجد لدى دولة الكويت التزام خاص بتوفير ما هو ضروري من ماء ومرافق خاصة به ومنع أي تمييز يقوم على أسس محظورة في توفير الماء والخدمات المتصلة به من وسائل صرف وخلافه، حيث أن الحق في الماء ينطبق على الجميع، كما تضمن دولة الكويت التوزيع العادل لجميع مرافق وخدمات المياه المتاحة واعتماد وتنفيذ استراتيجية وخطة عمل للمياه تشمل جميع السكان بشفافية وعدالة بحيث أصبح في الإمكان الحصول على الماء الكافي والمأمون بنوعية مناسبة وبكمية كافية التزاما بضمان التمتع بالحق في الماء والمرافق الخاصة به دون تمييز. وتقوم دولة الكويت ممثلة في وزارة الكهرباء والماء والطاقة المتجددة والجهات المختصة بالتعاون مع المنظمات الدولية المعنية بالماء مثل منظمة الصحة العالمية، ومنظمة الأغذية والزراعة، ومنظمة الأمم المتحدة، وبرنامج الأمم المتحدة للبيئة، والصندوق الدولي للتنمية الزراعية وكذلك المنظمات الدولية المعنية بهذا المجال، كما تتعاون بصورة فعالة في تبادل الخبرات فيما يتعلق بإعمال الحق في الماء على المستوى الوطني في سياساتها واتفاقاتها وبرامجها الخاصة بالمشاريع الإنمائية لكي يتم تعزيز التمع بالحق في الماء.  </w:t>
      </w:r>
    </w:p>
    <w:p w:rsidR="00867751" w:rsidRDefault="00867751" w:rsidP="00867751">
      <w:pPr>
        <w:bidi/>
        <w:spacing w:after="0" w:line="240" w:lineRule="auto"/>
        <w:ind w:firstLine="72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lastRenderedPageBreak/>
        <w:t>وفيما يخص الممارسات الناجحة التي تقوم وزارة الكهرباء والماء والطاقة المتجددة في هذا المجال، نفيدكم علماً بما يلي:</w:t>
      </w:r>
    </w:p>
    <w:p w:rsidR="00867751" w:rsidRPr="00202B1B" w:rsidRDefault="00867751" w:rsidP="00867751">
      <w:pPr>
        <w:bidi/>
        <w:spacing w:after="0" w:line="240" w:lineRule="auto"/>
        <w:ind w:firstLine="720"/>
        <w:jc w:val="both"/>
        <w:rPr>
          <w:rFonts w:ascii="Traditional Arabic" w:hAnsi="Traditional Arabic" w:cs="Traditional Arabic"/>
          <w:b/>
          <w:bCs/>
          <w:sz w:val="16"/>
          <w:szCs w:val="16"/>
          <w:rtl/>
          <w:lang w:bidi="ar-KW"/>
        </w:rPr>
      </w:pPr>
    </w:p>
    <w:p w:rsidR="00867751" w:rsidRDefault="00867751" w:rsidP="00867751">
      <w:pPr>
        <w:bidi/>
        <w:spacing w:after="0" w:line="240" w:lineRule="auto"/>
        <w:jc w:val="both"/>
        <w:rPr>
          <w:rFonts w:ascii="Traditional Arabic" w:hAnsi="Traditional Arabic" w:cs="Traditional Arabic"/>
          <w:b/>
          <w:bCs/>
          <w:sz w:val="36"/>
          <w:szCs w:val="36"/>
          <w:u w:val="single"/>
          <w:rtl/>
          <w:lang w:bidi="ar-KW"/>
        </w:rPr>
      </w:pPr>
      <w:r w:rsidRPr="000D7FBC">
        <w:rPr>
          <w:rFonts w:ascii="Traditional Arabic" w:hAnsi="Traditional Arabic" w:cs="Traditional Arabic" w:hint="cs"/>
          <w:b/>
          <w:bCs/>
          <w:sz w:val="36"/>
          <w:szCs w:val="36"/>
          <w:u w:val="single"/>
          <w:rtl/>
          <w:lang w:bidi="ar-KW"/>
        </w:rPr>
        <w:t>أولا: التقنيات المستخدمة حاليا لتحلية مياه البحر في محطات القوى الكهربائية وتقطير المياه:</w:t>
      </w:r>
    </w:p>
    <w:p w:rsidR="00867751" w:rsidRPr="00202B1B" w:rsidRDefault="00867751" w:rsidP="00867751">
      <w:pPr>
        <w:bidi/>
        <w:spacing w:after="0" w:line="240" w:lineRule="auto"/>
        <w:jc w:val="both"/>
        <w:rPr>
          <w:rFonts w:ascii="Traditional Arabic" w:hAnsi="Traditional Arabic" w:cs="Traditional Arabic"/>
          <w:b/>
          <w:bCs/>
          <w:sz w:val="16"/>
          <w:szCs w:val="16"/>
          <w:u w:val="single"/>
          <w:rtl/>
          <w:lang w:bidi="ar-KW"/>
        </w:rPr>
      </w:pPr>
    </w:p>
    <w:p w:rsidR="00867751" w:rsidRDefault="00867751" w:rsidP="00867751">
      <w:pPr>
        <w:pStyle w:val="ListParagraph"/>
        <w:numPr>
          <w:ilvl w:val="0"/>
          <w:numId w:val="4"/>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استخدام تقنية التقطير </w:t>
      </w:r>
      <w:proofErr w:type="spellStart"/>
      <w:r>
        <w:rPr>
          <w:rFonts w:ascii="Traditional Arabic" w:hAnsi="Traditional Arabic" w:cs="Traditional Arabic" w:hint="cs"/>
          <w:b/>
          <w:bCs/>
          <w:sz w:val="36"/>
          <w:szCs w:val="36"/>
          <w:rtl/>
          <w:lang w:bidi="ar-KW"/>
        </w:rPr>
        <w:t>الوميضي</w:t>
      </w:r>
      <w:proofErr w:type="spellEnd"/>
      <w:r>
        <w:rPr>
          <w:rFonts w:ascii="Traditional Arabic" w:hAnsi="Traditional Arabic" w:cs="Traditional Arabic" w:hint="cs"/>
          <w:b/>
          <w:bCs/>
          <w:sz w:val="36"/>
          <w:szCs w:val="36"/>
          <w:rtl/>
          <w:lang w:bidi="ar-KW"/>
        </w:rPr>
        <w:t xml:space="preserve"> في محطات تقطير المياه المعتمدة على الاستخدام الأمثل للطاقة الحرارية من التشغيل المشترك للإنتاج الطاقة الكهربائية والمياه. </w:t>
      </w:r>
    </w:p>
    <w:p w:rsidR="00867751" w:rsidRDefault="00867751" w:rsidP="00867751">
      <w:pPr>
        <w:pStyle w:val="ListParagraph"/>
        <w:numPr>
          <w:ilvl w:val="0"/>
          <w:numId w:val="4"/>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تبني الأسلوب الأمثل لإنتاج المياه فنياً واقتصادياً من خلا استخدام تقنية التناضح العكسي (</w:t>
      </w:r>
      <w:r>
        <w:rPr>
          <w:rFonts w:ascii="Traditional Arabic" w:hAnsi="Traditional Arabic" w:cs="Traditional Arabic"/>
          <w:b/>
          <w:bCs/>
          <w:sz w:val="36"/>
          <w:szCs w:val="36"/>
          <w:lang w:bidi="ar-KW"/>
        </w:rPr>
        <w:t>RO</w:t>
      </w:r>
      <w:r>
        <w:rPr>
          <w:rFonts w:ascii="Traditional Arabic" w:hAnsi="Traditional Arabic" w:cs="Traditional Arabic" w:hint="cs"/>
          <w:b/>
          <w:bCs/>
          <w:sz w:val="36"/>
          <w:szCs w:val="36"/>
          <w:rtl/>
          <w:lang w:bidi="ar-KW"/>
        </w:rPr>
        <w:t xml:space="preserve">) وذلك بسبب عدم استهلاك الوقود لتشغيلها، حيث أنه تنخفض نسبة التكاليف التشغيلية تقريبا 54% عن تقنية التقطير </w:t>
      </w:r>
      <w:proofErr w:type="spellStart"/>
      <w:r>
        <w:rPr>
          <w:rFonts w:ascii="Traditional Arabic" w:hAnsi="Traditional Arabic" w:cs="Traditional Arabic" w:hint="cs"/>
          <w:b/>
          <w:bCs/>
          <w:sz w:val="36"/>
          <w:szCs w:val="36"/>
          <w:rtl/>
          <w:lang w:bidi="ar-KW"/>
        </w:rPr>
        <w:t>الوميضي</w:t>
      </w:r>
      <w:proofErr w:type="spellEnd"/>
      <w:r>
        <w:rPr>
          <w:rFonts w:ascii="Traditional Arabic" w:hAnsi="Traditional Arabic" w:cs="Traditional Arabic" w:hint="cs"/>
          <w:b/>
          <w:bCs/>
          <w:sz w:val="36"/>
          <w:szCs w:val="36"/>
          <w:rtl/>
          <w:lang w:bidi="ar-KW"/>
        </w:rPr>
        <w:t xml:space="preserve"> كذلك تدني المساحة التي يشغلها بالمقارنة بنظم التحلية الأخرى وقلة تكلفة مكونات النظام وتكلفتها الرأسمالية مقارنة بنظم التحلية الأخرى وانخفاض معدل حدوث الترسبات والتآكل بالنظام وتتواجد هذه التقنية في ثلاثة محطات بالكويت: </w:t>
      </w:r>
    </w:p>
    <w:p w:rsidR="00867751" w:rsidRDefault="00867751" w:rsidP="00867751">
      <w:pPr>
        <w:pStyle w:val="ListParagraph"/>
        <w:numPr>
          <w:ilvl w:val="0"/>
          <w:numId w:val="5"/>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وحدة لتحلية مياه البر </w:t>
      </w:r>
      <w:proofErr w:type="spellStart"/>
      <w:r>
        <w:rPr>
          <w:rFonts w:ascii="Traditional Arabic" w:hAnsi="Traditional Arabic" w:cs="Traditional Arabic" w:hint="cs"/>
          <w:b/>
          <w:bCs/>
          <w:sz w:val="36"/>
          <w:szCs w:val="36"/>
          <w:rtl/>
          <w:lang w:bidi="ar-KW"/>
        </w:rPr>
        <w:t>بالتناضخ</w:t>
      </w:r>
      <w:proofErr w:type="spellEnd"/>
      <w:r>
        <w:rPr>
          <w:rFonts w:ascii="Traditional Arabic" w:hAnsi="Traditional Arabic" w:cs="Traditional Arabic" w:hint="cs"/>
          <w:b/>
          <w:bCs/>
          <w:sz w:val="36"/>
          <w:szCs w:val="36"/>
          <w:rtl/>
          <w:lang w:bidi="ar-KW"/>
        </w:rPr>
        <w:t xml:space="preserve"> العكسي (</w:t>
      </w:r>
      <w:r>
        <w:rPr>
          <w:rFonts w:ascii="Traditional Arabic" w:hAnsi="Traditional Arabic" w:cs="Traditional Arabic"/>
          <w:b/>
          <w:bCs/>
          <w:sz w:val="36"/>
          <w:szCs w:val="36"/>
          <w:lang w:bidi="ar-KW"/>
        </w:rPr>
        <w:t>RO</w:t>
      </w:r>
      <w:r>
        <w:rPr>
          <w:rFonts w:ascii="Traditional Arabic" w:hAnsi="Traditional Arabic" w:cs="Traditional Arabic" w:hint="cs"/>
          <w:b/>
          <w:bCs/>
          <w:sz w:val="36"/>
          <w:szCs w:val="36"/>
          <w:rtl/>
          <w:lang w:bidi="ar-KW"/>
        </w:rPr>
        <w:t xml:space="preserve">) بمحطة الشويخ بسعة إجمالية قدرها (30) مليون جالون إمبراطوري باليوم وتم بدء تشغيلها منذ 04/07/2011. </w:t>
      </w:r>
    </w:p>
    <w:p w:rsidR="00867751" w:rsidRDefault="00867751" w:rsidP="00867751">
      <w:pPr>
        <w:pStyle w:val="ListParagraph"/>
        <w:numPr>
          <w:ilvl w:val="0"/>
          <w:numId w:val="5"/>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وحدة لتحلية مياه البر </w:t>
      </w:r>
      <w:proofErr w:type="spellStart"/>
      <w:r>
        <w:rPr>
          <w:rFonts w:ascii="Traditional Arabic" w:hAnsi="Traditional Arabic" w:cs="Traditional Arabic" w:hint="cs"/>
          <w:b/>
          <w:bCs/>
          <w:sz w:val="36"/>
          <w:szCs w:val="36"/>
          <w:rtl/>
          <w:lang w:bidi="ar-KW"/>
        </w:rPr>
        <w:t>بالتناضخ</w:t>
      </w:r>
      <w:proofErr w:type="spellEnd"/>
      <w:r>
        <w:rPr>
          <w:rFonts w:ascii="Traditional Arabic" w:hAnsi="Traditional Arabic" w:cs="Traditional Arabic" w:hint="cs"/>
          <w:b/>
          <w:bCs/>
          <w:sz w:val="36"/>
          <w:szCs w:val="36"/>
          <w:rtl/>
          <w:lang w:bidi="ar-KW"/>
        </w:rPr>
        <w:t xml:space="preserve"> العكسي (</w:t>
      </w:r>
      <w:r>
        <w:rPr>
          <w:rFonts w:ascii="Traditional Arabic" w:hAnsi="Traditional Arabic" w:cs="Traditional Arabic"/>
          <w:b/>
          <w:bCs/>
          <w:sz w:val="36"/>
          <w:szCs w:val="36"/>
          <w:lang w:bidi="ar-KW"/>
        </w:rPr>
        <w:t>RO</w:t>
      </w:r>
      <w:r>
        <w:rPr>
          <w:rFonts w:ascii="Traditional Arabic" w:hAnsi="Traditional Arabic" w:cs="Traditional Arabic" w:hint="cs"/>
          <w:b/>
          <w:bCs/>
          <w:sz w:val="36"/>
          <w:szCs w:val="36"/>
          <w:rtl/>
          <w:lang w:bidi="ar-KW"/>
        </w:rPr>
        <w:t xml:space="preserve">) بمحطة الزور الجنوبية بسعة إجمالية قدرها (30) مليون جالون إمبراطوري باليوم وتم بدء تشغيلها منذ 05/04/2014. </w:t>
      </w:r>
    </w:p>
    <w:p w:rsidR="00867751" w:rsidRDefault="00867751" w:rsidP="00867751">
      <w:pPr>
        <w:pStyle w:val="ListParagraph"/>
        <w:numPr>
          <w:ilvl w:val="0"/>
          <w:numId w:val="5"/>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وحدة لتحلية مياه البحر </w:t>
      </w:r>
      <w:proofErr w:type="spellStart"/>
      <w:r>
        <w:rPr>
          <w:rFonts w:ascii="Traditional Arabic" w:hAnsi="Traditional Arabic" w:cs="Traditional Arabic" w:hint="cs"/>
          <w:b/>
          <w:bCs/>
          <w:sz w:val="36"/>
          <w:szCs w:val="36"/>
          <w:rtl/>
          <w:lang w:bidi="ar-KW"/>
        </w:rPr>
        <w:t>بالتناضخ</w:t>
      </w:r>
      <w:proofErr w:type="spellEnd"/>
      <w:r>
        <w:rPr>
          <w:rFonts w:ascii="Traditional Arabic" w:hAnsi="Traditional Arabic" w:cs="Traditional Arabic" w:hint="cs"/>
          <w:b/>
          <w:bCs/>
          <w:sz w:val="36"/>
          <w:szCs w:val="36"/>
          <w:rtl/>
          <w:lang w:bidi="ar-KW"/>
        </w:rPr>
        <w:t xml:space="preserve"> العكسي (</w:t>
      </w:r>
      <w:r>
        <w:rPr>
          <w:rFonts w:ascii="Traditional Arabic" w:hAnsi="Traditional Arabic" w:cs="Traditional Arabic"/>
          <w:b/>
          <w:bCs/>
          <w:sz w:val="36"/>
          <w:szCs w:val="36"/>
          <w:lang w:bidi="ar-KW"/>
        </w:rPr>
        <w:t>RO</w:t>
      </w:r>
      <w:r>
        <w:rPr>
          <w:rFonts w:ascii="Traditional Arabic" w:hAnsi="Traditional Arabic" w:cs="Traditional Arabic" w:hint="cs"/>
          <w:b/>
          <w:bCs/>
          <w:sz w:val="36"/>
          <w:szCs w:val="36"/>
          <w:rtl/>
          <w:lang w:bidi="ar-KW"/>
        </w:rPr>
        <w:t>) بمحطة الدوحة الغربية (المرحلة الأولى) بسعة إجمالية قدرها (60) مليون جالون إمبراطوري باليوم وتم بدء تشغيلها منذ 29/06/2019.</w:t>
      </w:r>
    </w:p>
    <w:p w:rsidR="00867751" w:rsidRPr="00D012E9" w:rsidRDefault="00867751" w:rsidP="00867751">
      <w:pPr>
        <w:pStyle w:val="ListParagraph"/>
        <w:numPr>
          <w:ilvl w:val="0"/>
          <w:numId w:val="4"/>
        </w:numPr>
        <w:bidi/>
        <w:spacing w:after="0" w:line="240" w:lineRule="auto"/>
        <w:jc w:val="both"/>
        <w:rPr>
          <w:rFonts w:ascii="Traditional Arabic" w:hAnsi="Traditional Arabic" w:cs="Traditional Arabic"/>
          <w:b/>
          <w:bCs/>
          <w:sz w:val="36"/>
          <w:szCs w:val="36"/>
          <w:lang w:bidi="ar-KW"/>
        </w:rPr>
      </w:pPr>
      <w:r w:rsidRPr="00D012E9">
        <w:rPr>
          <w:rFonts w:ascii="Traditional Arabic" w:hAnsi="Traditional Arabic" w:cs="Traditional Arabic" w:hint="cs"/>
          <w:b/>
          <w:bCs/>
          <w:sz w:val="36"/>
          <w:szCs w:val="36"/>
          <w:rtl/>
          <w:lang w:bidi="ar-KW"/>
        </w:rPr>
        <w:t>تنويع مصادر انتاج المياه بما يضمن استدامتها من خلال استخدام تقنية (</w:t>
      </w:r>
      <w:r w:rsidRPr="00D012E9">
        <w:rPr>
          <w:rFonts w:ascii="Traditional Arabic" w:hAnsi="Traditional Arabic" w:cs="Traditional Arabic"/>
          <w:b/>
          <w:bCs/>
          <w:sz w:val="36"/>
          <w:szCs w:val="36"/>
          <w:lang w:bidi="ar-KW"/>
        </w:rPr>
        <w:t>(</w:t>
      </w:r>
      <w:proofErr w:type="gramStart"/>
      <w:r w:rsidRPr="00D012E9">
        <w:rPr>
          <w:rFonts w:ascii="Traditional Arabic" w:hAnsi="Traditional Arabic" w:cs="Traditional Arabic"/>
          <w:b/>
          <w:bCs/>
          <w:sz w:val="36"/>
          <w:szCs w:val="36"/>
          <w:lang w:bidi="ar-KW"/>
        </w:rPr>
        <w:t xml:space="preserve">Hybrid </w:t>
      </w:r>
      <w:r w:rsidRPr="00D012E9">
        <w:rPr>
          <w:rFonts w:ascii="Traditional Arabic" w:hAnsi="Traditional Arabic" w:cs="Traditional Arabic" w:hint="cs"/>
          <w:b/>
          <w:bCs/>
          <w:sz w:val="36"/>
          <w:szCs w:val="36"/>
          <w:rtl/>
          <w:lang w:bidi="ar-KW"/>
        </w:rPr>
        <w:t xml:space="preserve"> في</w:t>
      </w:r>
      <w:proofErr w:type="gramEnd"/>
      <w:r w:rsidRPr="00D012E9">
        <w:rPr>
          <w:rFonts w:ascii="Traditional Arabic" w:hAnsi="Traditional Arabic" w:cs="Traditional Arabic" w:hint="cs"/>
          <w:b/>
          <w:bCs/>
          <w:sz w:val="36"/>
          <w:szCs w:val="36"/>
          <w:rtl/>
          <w:lang w:bidi="ar-KW"/>
        </w:rPr>
        <w:t xml:space="preserve"> محطة الزور الجنوبية حيث يتم استخدام منطقة تبريد للوحدات الكهربائية كمأخذ لمياه البحر لتقنية </w:t>
      </w:r>
      <w:proofErr w:type="spellStart"/>
      <w:r w:rsidRPr="00D012E9">
        <w:rPr>
          <w:rFonts w:ascii="Traditional Arabic" w:hAnsi="Traditional Arabic" w:cs="Traditional Arabic" w:hint="cs"/>
          <w:b/>
          <w:bCs/>
          <w:sz w:val="36"/>
          <w:szCs w:val="36"/>
          <w:rtl/>
          <w:lang w:bidi="ar-KW"/>
        </w:rPr>
        <w:t>التناضخ</w:t>
      </w:r>
      <w:proofErr w:type="spellEnd"/>
      <w:r w:rsidRPr="00D012E9">
        <w:rPr>
          <w:rFonts w:ascii="Traditional Arabic" w:hAnsi="Traditional Arabic" w:cs="Traditional Arabic" w:hint="cs"/>
          <w:b/>
          <w:bCs/>
          <w:sz w:val="36"/>
          <w:szCs w:val="36"/>
          <w:rtl/>
          <w:lang w:bidi="ar-KW"/>
        </w:rPr>
        <w:t xml:space="preserve"> العكسي. </w:t>
      </w:r>
    </w:p>
    <w:p w:rsidR="00867751" w:rsidRDefault="00867751" w:rsidP="00867751">
      <w:pPr>
        <w:pStyle w:val="ListParagraph"/>
        <w:numPr>
          <w:ilvl w:val="0"/>
          <w:numId w:val="4"/>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تقنية تحلية مياه البحر متعددة التأثير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xml:space="preserve">) والتي تتميز بانخفاض استهلاك الطاقة (الوقود، الكهرباء) والكفاءة العالية، وانخفاض تكاليف التشغيل والصيانة ولا تحتاج إلى معالجة مسبقة لمياه البحر وتتحمل تغيرات ظروف مياه البحر وتتواجد التقنية في </w:t>
      </w:r>
      <w:r>
        <w:rPr>
          <w:rFonts w:ascii="Traditional Arabic" w:hAnsi="Traditional Arabic" w:cs="Traditional Arabic" w:hint="cs"/>
          <w:b/>
          <w:bCs/>
          <w:sz w:val="36"/>
          <w:szCs w:val="36"/>
          <w:rtl/>
          <w:lang w:bidi="ar-KW"/>
        </w:rPr>
        <w:lastRenderedPageBreak/>
        <w:t>محطة الزور الشمالية حيث تتكون المحطة من 10 وحدات تقطير تعمل بتقنية تحلية المياه متعددة التأثير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xml:space="preserve">) بسعة إجمالية قدرها (107) مليون جالون إمبراطوري باليوم وتم بدء تشغيلها منذ 27/09/2016. </w:t>
      </w:r>
    </w:p>
    <w:p w:rsidR="00867751" w:rsidRDefault="00867751" w:rsidP="00867751">
      <w:pPr>
        <w:pStyle w:val="ListParagraph"/>
        <w:numPr>
          <w:ilvl w:val="0"/>
          <w:numId w:val="4"/>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مرفق تقرير يوضح تقنيات نظم تحلية مياه البحر في قطاع محطات القوى الكهربائية وتقطير المياه. </w:t>
      </w:r>
    </w:p>
    <w:p w:rsidR="00867751" w:rsidRPr="00202B1B" w:rsidRDefault="00867751" w:rsidP="00867751">
      <w:pPr>
        <w:pStyle w:val="ListParagraph"/>
        <w:bidi/>
        <w:spacing w:after="0" w:line="240" w:lineRule="auto"/>
        <w:ind w:left="1080"/>
        <w:jc w:val="both"/>
        <w:rPr>
          <w:rFonts w:ascii="Traditional Arabic" w:hAnsi="Traditional Arabic" w:cs="Traditional Arabic"/>
          <w:b/>
          <w:bCs/>
          <w:sz w:val="16"/>
          <w:szCs w:val="16"/>
          <w:lang w:bidi="ar-KW"/>
        </w:rPr>
      </w:pPr>
    </w:p>
    <w:p w:rsidR="00867751" w:rsidRDefault="00867751" w:rsidP="00867751">
      <w:pPr>
        <w:bidi/>
        <w:spacing w:after="0" w:line="240" w:lineRule="auto"/>
        <w:jc w:val="both"/>
        <w:rPr>
          <w:rFonts w:ascii="Traditional Arabic" w:hAnsi="Traditional Arabic" w:cs="Traditional Arabic"/>
          <w:b/>
          <w:bCs/>
          <w:sz w:val="36"/>
          <w:szCs w:val="36"/>
          <w:u w:val="single"/>
          <w:rtl/>
          <w:lang w:bidi="ar-KW"/>
        </w:rPr>
      </w:pPr>
      <w:r w:rsidRPr="00202B1B">
        <w:rPr>
          <w:rFonts w:ascii="Traditional Arabic" w:hAnsi="Traditional Arabic" w:cs="Traditional Arabic" w:hint="cs"/>
          <w:b/>
          <w:bCs/>
          <w:sz w:val="36"/>
          <w:szCs w:val="36"/>
          <w:u w:val="single"/>
          <w:rtl/>
          <w:lang w:bidi="ar-KW"/>
        </w:rPr>
        <w:t xml:space="preserve">ثانياً: المشاريع المستقبلية لوحدات تحلية المياه التي تتجه الوزارة إلى تنفيذها: </w:t>
      </w:r>
    </w:p>
    <w:p w:rsidR="00867751" w:rsidRPr="00F92483" w:rsidRDefault="00867751" w:rsidP="00867751">
      <w:pPr>
        <w:bidi/>
        <w:spacing w:after="0" w:line="240" w:lineRule="auto"/>
        <w:jc w:val="both"/>
        <w:rPr>
          <w:rFonts w:ascii="Traditional Arabic" w:hAnsi="Traditional Arabic" w:cs="Traditional Arabic"/>
          <w:b/>
          <w:bCs/>
          <w:sz w:val="16"/>
          <w:szCs w:val="16"/>
          <w:u w:val="single"/>
          <w:rtl/>
          <w:lang w:bidi="ar-KW"/>
        </w:rPr>
      </w:pPr>
    </w:p>
    <w:p w:rsidR="00867751" w:rsidRDefault="00867751" w:rsidP="00867751">
      <w:pPr>
        <w:pStyle w:val="ListParagraph"/>
        <w:numPr>
          <w:ilvl w:val="0"/>
          <w:numId w:val="6"/>
        </w:numPr>
        <w:bidi/>
        <w:spacing w:after="0" w:line="240" w:lineRule="auto"/>
        <w:jc w:val="both"/>
        <w:rPr>
          <w:rFonts w:ascii="Traditional Arabic" w:hAnsi="Traditional Arabic" w:cs="Traditional Arabic"/>
          <w:b/>
          <w:bCs/>
          <w:sz w:val="36"/>
          <w:szCs w:val="36"/>
          <w:lang w:bidi="ar-KW"/>
        </w:rPr>
      </w:pPr>
      <w:r w:rsidRPr="008F7A19">
        <w:rPr>
          <w:rFonts w:ascii="Traditional Arabic" w:hAnsi="Traditional Arabic" w:cs="Traditional Arabic" w:hint="cs"/>
          <w:b/>
          <w:bCs/>
          <w:sz w:val="36"/>
          <w:szCs w:val="36"/>
          <w:rtl/>
          <w:lang w:bidi="ar-KW"/>
        </w:rPr>
        <w:t xml:space="preserve">تقنية </w:t>
      </w:r>
      <w:proofErr w:type="spellStart"/>
      <w:r w:rsidRPr="008F7A19">
        <w:rPr>
          <w:rFonts w:ascii="Traditional Arabic" w:hAnsi="Traditional Arabic" w:cs="Traditional Arabic" w:hint="cs"/>
          <w:b/>
          <w:bCs/>
          <w:sz w:val="36"/>
          <w:szCs w:val="36"/>
          <w:rtl/>
          <w:lang w:bidi="ar-KW"/>
        </w:rPr>
        <w:t>التناضخ</w:t>
      </w:r>
      <w:proofErr w:type="spellEnd"/>
      <w:r w:rsidRPr="008F7A19">
        <w:rPr>
          <w:rFonts w:ascii="Traditional Arabic" w:hAnsi="Traditional Arabic" w:cs="Traditional Arabic" w:hint="cs"/>
          <w:b/>
          <w:bCs/>
          <w:sz w:val="36"/>
          <w:szCs w:val="36"/>
          <w:rtl/>
          <w:lang w:bidi="ar-KW"/>
        </w:rPr>
        <w:t xml:space="preserve"> العكسي (</w:t>
      </w:r>
      <w:r w:rsidRPr="008F7A19">
        <w:rPr>
          <w:rFonts w:ascii="Traditional Arabic" w:hAnsi="Traditional Arabic" w:cs="Traditional Arabic"/>
          <w:b/>
          <w:bCs/>
          <w:sz w:val="36"/>
          <w:szCs w:val="36"/>
          <w:lang w:bidi="ar-KW"/>
        </w:rPr>
        <w:t>RO</w:t>
      </w:r>
      <w:r w:rsidRPr="008F7A19">
        <w:rPr>
          <w:rFonts w:ascii="Traditional Arabic" w:hAnsi="Traditional Arabic" w:cs="Traditional Arabic" w:hint="cs"/>
          <w:b/>
          <w:bCs/>
          <w:sz w:val="36"/>
          <w:szCs w:val="36"/>
          <w:rtl/>
          <w:lang w:bidi="ar-KW"/>
        </w:rPr>
        <w:t xml:space="preserve">) محطة الدوحة الغربية لتحلية مياه البحر </w:t>
      </w:r>
      <w:proofErr w:type="spellStart"/>
      <w:r w:rsidRPr="008F7A19">
        <w:rPr>
          <w:rFonts w:ascii="Traditional Arabic" w:hAnsi="Traditional Arabic" w:cs="Traditional Arabic" w:hint="cs"/>
          <w:b/>
          <w:bCs/>
          <w:sz w:val="36"/>
          <w:szCs w:val="36"/>
          <w:rtl/>
          <w:lang w:bidi="ar-KW"/>
        </w:rPr>
        <w:t>بالتناضخ</w:t>
      </w:r>
      <w:proofErr w:type="spellEnd"/>
      <w:r w:rsidRPr="008F7A19">
        <w:rPr>
          <w:rFonts w:ascii="Traditional Arabic" w:hAnsi="Traditional Arabic" w:cs="Traditional Arabic" w:hint="cs"/>
          <w:b/>
          <w:bCs/>
          <w:sz w:val="36"/>
          <w:szCs w:val="36"/>
          <w:rtl/>
          <w:lang w:bidi="ar-KW"/>
        </w:rPr>
        <w:t xml:space="preserve"> العكسي مع معدات زيادة قلوية المياه (المرحلة الثانية) التي من المتوقع دخولها للخدمة في الربع الثالث من عام 2025 </w:t>
      </w:r>
      <w:r>
        <w:rPr>
          <w:rFonts w:ascii="Traditional Arabic" w:hAnsi="Traditional Arabic" w:cs="Traditional Arabic" w:hint="cs"/>
          <w:b/>
          <w:bCs/>
          <w:sz w:val="36"/>
          <w:szCs w:val="36"/>
          <w:rtl/>
          <w:lang w:bidi="ar-KW"/>
        </w:rPr>
        <w:t>ب</w:t>
      </w:r>
      <w:r w:rsidRPr="008F7A19">
        <w:rPr>
          <w:rFonts w:ascii="Traditional Arabic" w:hAnsi="Traditional Arabic" w:cs="Traditional Arabic" w:hint="cs"/>
          <w:b/>
          <w:bCs/>
          <w:sz w:val="36"/>
          <w:szCs w:val="36"/>
          <w:rtl/>
          <w:lang w:bidi="ar-KW"/>
        </w:rPr>
        <w:t xml:space="preserve">سعة إجمالية قدرها (60) مليون جالون إمبراطوري باليوم. </w:t>
      </w:r>
    </w:p>
    <w:p w:rsidR="00867751" w:rsidRDefault="00867751" w:rsidP="00867751">
      <w:pPr>
        <w:pStyle w:val="ListParagraph"/>
        <w:numPr>
          <w:ilvl w:val="0"/>
          <w:numId w:val="6"/>
        </w:numPr>
        <w:bidi/>
        <w:spacing w:after="0" w:line="240" w:lineRule="auto"/>
        <w:jc w:val="both"/>
        <w:rPr>
          <w:rFonts w:ascii="Traditional Arabic" w:hAnsi="Traditional Arabic" w:cs="Traditional Arabic"/>
          <w:b/>
          <w:bCs/>
          <w:sz w:val="36"/>
          <w:szCs w:val="36"/>
          <w:lang w:bidi="ar-KW"/>
        </w:rPr>
      </w:pPr>
      <w:r w:rsidRPr="008F7A19">
        <w:rPr>
          <w:rFonts w:ascii="Traditional Arabic" w:hAnsi="Traditional Arabic" w:cs="Traditional Arabic" w:hint="cs"/>
          <w:b/>
          <w:bCs/>
          <w:sz w:val="36"/>
          <w:szCs w:val="36"/>
          <w:rtl/>
          <w:lang w:bidi="ar-KW"/>
        </w:rPr>
        <w:t xml:space="preserve">تقنية </w:t>
      </w:r>
      <w:r>
        <w:rPr>
          <w:rFonts w:ascii="Traditional Arabic" w:hAnsi="Traditional Arabic" w:cs="Traditional Arabic" w:hint="cs"/>
          <w:b/>
          <w:bCs/>
          <w:sz w:val="36"/>
          <w:szCs w:val="36"/>
          <w:rtl/>
          <w:lang w:bidi="ar-KW"/>
        </w:rPr>
        <w:t>تحلية المياه متعددة التأثير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w:t>
      </w:r>
      <w:r>
        <w:rPr>
          <w:rFonts w:ascii="Traditional Arabic" w:hAnsi="Traditional Arabic" w:cs="Traditional Arabic"/>
          <w:b/>
          <w:bCs/>
          <w:sz w:val="36"/>
          <w:szCs w:val="36"/>
          <w:lang w:bidi="ar-KW"/>
        </w:rPr>
        <w:t xml:space="preserve"> </w:t>
      </w:r>
      <w:r>
        <w:rPr>
          <w:rFonts w:ascii="Traditional Arabic" w:hAnsi="Traditional Arabic" w:cs="Traditional Arabic" w:hint="cs"/>
          <w:b/>
          <w:bCs/>
          <w:sz w:val="36"/>
          <w:szCs w:val="36"/>
          <w:rtl/>
          <w:lang w:bidi="ar-KW"/>
        </w:rPr>
        <w:t xml:space="preserve">مشروع محطة </w:t>
      </w:r>
      <w:proofErr w:type="spellStart"/>
      <w:r>
        <w:rPr>
          <w:rFonts w:ascii="Traditional Arabic" w:hAnsi="Traditional Arabic" w:cs="Traditional Arabic" w:hint="cs"/>
          <w:b/>
          <w:bCs/>
          <w:sz w:val="36"/>
          <w:szCs w:val="36"/>
          <w:rtl/>
          <w:lang w:bidi="ar-KW"/>
        </w:rPr>
        <w:t>النويصيب</w:t>
      </w:r>
      <w:proofErr w:type="spellEnd"/>
      <w:r>
        <w:rPr>
          <w:rFonts w:ascii="Traditional Arabic" w:hAnsi="Traditional Arabic" w:cs="Traditional Arabic" w:hint="cs"/>
          <w:b/>
          <w:bCs/>
          <w:sz w:val="36"/>
          <w:szCs w:val="36"/>
          <w:rtl/>
          <w:lang w:bidi="ar-KW"/>
        </w:rPr>
        <w:t xml:space="preserve"> المرحلة الأولى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xml:space="preserve">) التي من المتوقع دخولها للخدمة في الربع الثاني 2029 بسعة إجمالية قدرها (75) مليون جالون إمبراطوري باليوم. </w:t>
      </w:r>
    </w:p>
    <w:p w:rsidR="00867751" w:rsidRDefault="00867751" w:rsidP="00867751">
      <w:pPr>
        <w:pStyle w:val="ListParagraph"/>
        <w:numPr>
          <w:ilvl w:val="0"/>
          <w:numId w:val="6"/>
        </w:numPr>
        <w:bidi/>
        <w:spacing w:after="0"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تقنية تحلية المياه متعدد التأثير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مش</w:t>
      </w:r>
      <w:bookmarkStart w:id="1" w:name="_GoBack"/>
      <w:bookmarkEnd w:id="1"/>
      <w:r>
        <w:rPr>
          <w:rFonts w:ascii="Traditional Arabic" w:hAnsi="Traditional Arabic" w:cs="Traditional Arabic" w:hint="cs"/>
          <w:b/>
          <w:bCs/>
          <w:sz w:val="36"/>
          <w:szCs w:val="36"/>
          <w:rtl/>
          <w:lang w:bidi="ar-KW"/>
        </w:rPr>
        <w:t>روع محطة الخيران المرحلة الأولى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xml:space="preserve">) وتقنية </w:t>
      </w:r>
      <w:proofErr w:type="spellStart"/>
      <w:r w:rsidRPr="008F7A19">
        <w:rPr>
          <w:rFonts w:ascii="Traditional Arabic" w:hAnsi="Traditional Arabic" w:cs="Traditional Arabic" w:hint="cs"/>
          <w:b/>
          <w:bCs/>
          <w:sz w:val="36"/>
          <w:szCs w:val="36"/>
          <w:rtl/>
          <w:lang w:bidi="ar-KW"/>
        </w:rPr>
        <w:t>التناضخ</w:t>
      </w:r>
      <w:proofErr w:type="spellEnd"/>
      <w:r w:rsidRPr="008F7A19">
        <w:rPr>
          <w:rFonts w:ascii="Traditional Arabic" w:hAnsi="Traditional Arabic" w:cs="Traditional Arabic" w:hint="cs"/>
          <w:b/>
          <w:bCs/>
          <w:sz w:val="36"/>
          <w:szCs w:val="36"/>
          <w:rtl/>
          <w:lang w:bidi="ar-KW"/>
        </w:rPr>
        <w:t xml:space="preserve"> العكسي (</w:t>
      </w:r>
      <w:r w:rsidRPr="008F7A19">
        <w:rPr>
          <w:rFonts w:ascii="Traditional Arabic" w:hAnsi="Traditional Arabic" w:cs="Traditional Arabic"/>
          <w:b/>
          <w:bCs/>
          <w:sz w:val="36"/>
          <w:szCs w:val="36"/>
          <w:lang w:bidi="ar-KW"/>
        </w:rPr>
        <w:t>RO</w:t>
      </w:r>
      <w:r w:rsidRPr="008F7A19">
        <w:rPr>
          <w:rFonts w:ascii="Traditional Arabic" w:hAnsi="Traditional Arabic" w:cs="Traditional Arabic" w:hint="cs"/>
          <w:b/>
          <w:bCs/>
          <w:sz w:val="36"/>
          <w:szCs w:val="36"/>
          <w:rtl/>
          <w:lang w:bidi="ar-KW"/>
        </w:rPr>
        <w:t>)</w:t>
      </w:r>
      <w:r>
        <w:rPr>
          <w:rFonts w:ascii="Traditional Arabic" w:hAnsi="Traditional Arabic" w:cs="Traditional Arabic" w:hint="cs"/>
          <w:b/>
          <w:bCs/>
          <w:sz w:val="36"/>
          <w:szCs w:val="36"/>
          <w:rtl/>
          <w:lang w:bidi="ar-KW"/>
        </w:rPr>
        <w:t xml:space="preserve"> التي من المتوقع دخولها للخدمة في الربع الأول من عام 2029 بسعة إجمالية وقدرها (33) مليون جالون إمبراطوري اليوم</w:t>
      </w:r>
      <w:r w:rsidRPr="008F7A19">
        <w:rPr>
          <w:rFonts w:ascii="Traditional Arabic" w:hAnsi="Traditional Arabic" w:cs="Traditional Arabic" w:hint="cs"/>
          <w:b/>
          <w:bCs/>
          <w:sz w:val="36"/>
          <w:szCs w:val="36"/>
          <w:rtl/>
          <w:lang w:bidi="ar-KW"/>
        </w:rPr>
        <w:t xml:space="preserve">. </w:t>
      </w:r>
    </w:p>
    <w:p w:rsidR="00867751" w:rsidRPr="008F7A19" w:rsidRDefault="00867751" w:rsidP="00867751">
      <w:pPr>
        <w:pStyle w:val="ListParagraph"/>
        <w:numPr>
          <w:ilvl w:val="0"/>
          <w:numId w:val="6"/>
        </w:numPr>
        <w:bidi/>
        <w:spacing w:after="0" w:line="240" w:lineRule="auto"/>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تقنية تحلية المياه متعدد التأثير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مشروع محطة الزور الشمالية المرحلة الأولى والثانية (</w:t>
      </w:r>
      <w:r>
        <w:rPr>
          <w:rFonts w:ascii="Traditional Arabic" w:hAnsi="Traditional Arabic" w:cs="Traditional Arabic"/>
          <w:b/>
          <w:bCs/>
          <w:sz w:val="36"/>
          <w:szCs w:val="36"/>
          <w:lang w:bidi="ar-KW"/>
        </w:rPr>
        <w:t>MED</w:t>
      </w:r>
      <w:r>
        <w:rPr>
          <w:rFonts w:ascii="Traditional Arabic" w:hAnsi="Traditional Arabic" w:cs="Traditional Arabic" w:hint="cs"/>
          <w:b/>
          <w:bCs/>
          <w:sz w:val="36"/>
          <w:szCs w:val="36"/>
          <w:rtl/>
          <w:lang w:bidi="ar-KW"/>
        </w:rPr>
        <w:t xml:space="preserve">) وتقنية </w:t>
      </w:r>
      <w:proofErr w:type="spellStart"/>
      <w:r w:rsidRPr="008F7A19">
        <w:rPr>
          <w:rFonts w:ascii="Traditional Arabic" w:hAnsi="Traditional Arabic" w:cs="Traditional Arabic" w:hint="cs"/>
          <w:b/>
          <w:bCs/>
          <w:sz w:val="36"/>
          <w:szCs w:val="36"/>
          <w:rtl/>
          <w:lang w:bidi="ar-KW"/>
        </w:rPr>
        <w:t>التناضخ</w:t>
      </w:r>
      <w:proofErr w:type="spellEnd"/>
      <w:r w:rsidRPr="008F7A19">
        <w:rPr>
          <w:rFonts w:ascii="Traditional Arabic" w:hAnsi="Traditional Arabic" w:cs="Traditional Arabic" w:hint="cs"/>
          <w:b/>
          <w:bCs/>
          <w:sz w:val="36"/>
          <w:szCs w:val="36"/>
          <w:rtl/>
          <w:lang w:bidi="ar-KW"/>
        </w:rPr>
        <w:t xml:space="preserve"> العكسي (</w:t>
      </w:r>
      <w:r w:rsidRPr="008F7A19">
        <w:rPr>
          <w:rFonts w:ascii="Traditional Arabic" w:hAnsi="Traditional Arabic" w:cs="Traditional Arabic"/>
          <w:b/>
          <w:bCs/>
          <w:sz w:val="36"/>
          <w:szCs w:val="36"/>
          <w:lang w:bidi="ar-KW"/>
        </w:rPr>
        <w:t>RO</w:t>
      </w:r>
      <w:r w:rsidRPr="008F7A19">
        <w:rPr>
          <w:rFonts w:ascii="Traditional Arabic" w:hAnsi="Traditional Arabic" w:cs="Traditional Arabic" w:hint="cs"/>
          <w:b/>
          <w:bCs/>
          <w:sz w:val="36"/>
          <w:szCs w:val="36"/>
          <w:rtl/>
          <w:lang w:bidi="ar-KW"/>
        </w:rPr>
        <w:t>)</w:t>
      </w:r>
      <w:r>
        <w:rPr>
          <w:rFonts w:ascii="Traditional Arabic" w:hAnsi="Traditional Arabic" w:cs="Traditional Arabic" w:hint="cs"/>
          <w:b/>
          <w:bCs/>
          <w:sz w:val="36"/>
          <w:szCs w:val="36"/>
          <w:rtl/>
          <w:lang w:bidi="ar-KW"/>
        </w:rPr>
        <w:t xml:space="preserve"> التي من المتوقع دخولها للخدمة في الربع الرابع من عام 2028 بسعة إجمالية وقدرها (120) مليون جالون إمبراطوري اليوم</w:t>
      </w:r>
      <w:r w:rsidRPr="008F7A19">
        <w:rPr>
          <w:rFonts w:ascii="Traditional Arabic" w:hAnsi="Traditional Arabic" w:cs="Traditional Arabic" w:hint="cs"/>
          <w:b/>
          <w:bCs/>
          <w:sz w:val="36"/>
          <w:szCs w:val="36"/>
          <w:rtl/>
          <w:lang w:bidi="ar-KW"/>
        </w:rPr>
        <w:t>.</w:t>
      </w:r>
    </w:p>
    <w:p w:rsidR="00867751" w:rsidRPr="00867751" w:rsidRDefault="00867751" w:rsidP="00867751">
      <w:pPr>
        <w:bidi/>
        <w:spacing w:after="0" w:line="240" w:lineRule="auto"/>
        <w:ind w:firstLine="720"/>
        <w:jc w:val="both"/>
        <w:rPr>
          <w:rFonts w:ascii="Traditional Arabic" w:hAnsi="Traditional Arabic" w:cs="Traditional Arabic"/>
          <w:b/>
          <w:bCs/>
          <w:sz w:val="16"/>
          <w:szCs w:val="16"/>
          <w:rtl/>
          <w:lang w:bidi="ar-KW"/>
        </w:rPr>
      </w:pPr>
    </w:p>
    <w:p w:rsidR="00867751" w:rsidRPr="00066189" w:rsidRDefault="00867751" w:rsidP="00867751">
      <w:pPr>
        <w:bidi/>
        <w:spacing w:after="0" w:line="240" w:lineRule="auto"/>
        <w:ind w:firstLine="720"/>
        <w:jc w:val="both"/>
        <w:rPr>
          <w:rFonts w:ascii="Traditional Arabic" w:hAnsi="Traditional Arabic" w:cs="Traditional Arabic"/>
          <w:b/>
          <w:bCs/>
          <w:sz w:val="36"/>
          <w:szCs w:val="36"/>
          <w:rtl/>
          <w:lang w:bidi="ar-KW"/>
        </w:rPr>
      </w:pPr>
      <w:r w:rsidRPr="00066189">
        <w:rPr>
          <w:rFonts w:ascii="Traditional Arabic" w:hAnsi="Traditional Arabic" w:cs="Traditional Arabic" w:hint="cs"/>
          <w:b/>
          <w:bCs/>
          <w:sz w:val="36"/>
          <w:szCs w:val="36"/>
          <w:rtl/>
        </w:rPr>
        <w:t>وينتهز الوفد الدائم لدولة الكويت هذه المناسبة ليعرب لمكتب المفوضية السامية لحقوق الانسان عن فائق امتنانه وتقديره.</w:t>
      </w:r>
    </w:p>
    <w:p w:rsidR="00867751" w:rsidRPr="00066189" w:rsidRDefault="00867751" w:rsidP="00867751">
      <w:pPr>
        <w:spacing w:after="0" w:line="240" w:lineRule="auto"/>
        <w:jc w:val="both"/>
        <w:rPr>
          <w:rFonts w:ascii="Traditional Arabic" w:hAnsi="Traditional Arabic" w:cs="Traditional Arabic"/>
          <w:b/>
          <w:bCs/>
          <w:sz w:val="36"/>
          <w:szCs w:val="36"/>
          <w:rtl/>
          <w:lang w:bidi="ar-KW"/>
        </w:rPr>
      </w:pPr>
    </w:p>
    <w:p w:rsidR="00867751" w:rsidRPr="00066189" w:rsidRDefault="00867751" w:rsidP="00867751">
      <w:pPr>
        <w:spacing w:after="0" w:line="240" w:lineRule="auto"/>
        <w:jc w:val="both"/>
        <w:rPr>
          <w:rFonts w:ascii="Traditional Arabic" w:hAnsi="Traditional Arabic" w:cs="Traditional Arabic"/>
          <w:b/>
          <w:bCs/>
          <w:sz w:val="36"/>
          <w:szCs w:val="36"/>
          <w:rtl/>
          <w:lang w:bidi="ar-KW"/>
        </w:rPr>
      </w:pPr>
    </w:p>
    <w:p w:rsidR="00867751" w:rsidRPr="00CB4D33" w:rsidRDefault="00867751" w:rsidP="00867751">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Office of the High Commissioner for Human Rights</w:t>
      </w:r>
    </w:p>
    <w:p w:rsidR="00867751" w:rsidRPr="00CB4D33" w:rsidRDefault="00867751" w:rsidP="00867751">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 xml:space="preserve">Palais des Nations </w:t>
      </w:r>
    </w:p>
    <w:p w:rsidR="00867751" w:rsidRPr="00CB4D33" w:rsidRDefault="00867751" w:rsidP="00867751">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1211 Geneva 10</w:t>
      </w:r>
    </w:p>
    <w:p w:rsidR="00867751" w:rsidRDefault="00867751" w:rsidP="00867751"/>
    <w:p w:rsidR="00867751" w:rsidRPr="00BF62CE" w:rsidRDefault="00867751" w:rsidP="00867751">
      <w:pPr>
        <w:bidi/>
        <w:rPr>
          <w:rFonts w:ascii="Simplified Arabic" w:hAnsi="Simplified Arabic" w:cs="Simplified Arabic"/>
          <w:sz w:val="32"/>
          <w:szCs w:val="32"/>
          <w:lang w:val="fr-CH"/>
        </w:rPr>
      </w:pPr>
    </w:p>
    <w:p w:rsidR="00221A1B" w:rsidRPr="00066189" w:rsidRDefault="00221A1B" w:rsidP="00221A1B">
      <w:pPr>
        <w:spacing w:after="0" w:line="240" w:lineRule="auto"/>
        <w:jc w:val="both"/>
        <w:rPr>
          <w:rFonts w:ascii="Traditional Arabic" w:hAnsi="Traditional Arabic" w:cs="Traditional Arabic"/>
          <w:b/>
          <w:bCs/>
          <w:sz w:val="36"/>
          <w:szCs w:val="36"/>
          <w:rtl/>
          <w:lang w:bidi="ar-KW"/>
        </w:rPr>
      </w:pPr>
    </w:p>
    <w:p w:rsidR="00221A1B" w:rsidRPr="00066189" w:rsidRDefault="00221A1B" w:rsidP="00221A1B">
      <w:pPr>
        <w:spacing w:after="0" w:line="240" w:lineRule="auto"/>
        <w:jc w:val="both"/>
        <w:rPr>
          <w:rFonts w:ascii="Traditional Arabic" w:hAnsi="Traditional Arabic" w:cs="Traditional Arabic"/>
          <w:b/>
          <w:bCs/>
          <w:sz w:val="36"/>
          <w:szCs w:val="36"/>
          <w:rtl/>
          <w:lang w:bidi="ar-KW"/>
        </w:rPr>
      </w:pPr>
    </w:p>
    <w:p w:rsidR="00221A1B" w:rsidRDefault="00221A1B" w:rsidP="00221A1B">
      <w:pPr>
        <w:spacing w:after="0" w:line="240" w:lineRule="auto"/>
        <w:jc w:val="both"/>
        <w:rPr>
          <w:rFonts w:ascii="Traditional Arabic" w:hAnsi="Traditional Arabic" w:cs="Traditional Arabic"/>
          <w:b/>
          <w:bCs/>
          <w:sz w:val="28"/>
          <w:szCs w:val="28"/>
          <w:lang w:bidi="ar-KW"/>
        </w:rPr>
      </w:pPr>
    </w:p>
    <w:bookmarkEnd w:id="0"/>
    <w:p w:rsidR="00E96A0B" w:rsidRDefault="00E96A0B"/>
    <w:sectPr w:rsidR="00E96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833"/>
    <w:multiLevelType w:val="hybridMultilevel"/>
    <w:tmpl w:val="7C6E2B3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D4C7B9F"/>
    <w:multiLevelType w:val="hybridMultilevel"/>
    <w:tmpl w:val="EC1ED5B6"/>
    <w:lvl w:ilvl="0" w:tplc="C63EEBB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856398"/>
    <w:multiLevelType w:val="hybridMultilevel"/>
    <w:tmpl w:val="05D64620"/>
    <w:lvl w:ilvl="0" w:tplc="7D5CA24E">
      <w:numFmt w:val="bullet"/>
      <w:lvlText w:val="-"/>
      <w:lvlJc w:val="left"/>
      <w:pPr>
        <w:ind w:left="720" w:hanging="360"/>
      </w:pPr>
      <w:rPr>
        <w:rFonts w:ascii="Traditional Arabic" w:eastAsiaTheme="minorHAnsi" w:hAnsi="Traditional Arabic" w:cs="Traditional Arab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8E153B"/>
    <w:multiLevelType w:val="hybridMultilevel"/>
    <w:tmpl w:val="AA20FB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7DD4457"/>
    <w:multiLevelType w:val="hybridMultilevel"/>
    <w:tmpl w:val="E0325F54"/>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71B57752"/>
    <w:multiLevelType w:val="hybridMultilevel"/>
    <w:tmpl w:val="64CEB3F4"/>
    <w:lvl w:ilvl="0" w:tplc="277C247E">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1BB6C67"/>
    <w:multiLevelType w:val="hybridMultilevel"/>
    <w:tmpl w:val="EB327808"/>
    <w:lvl w:ilvl="0" w:tplc="20000001">
      <w:start w:val="1"/>
      <w:numFmt w:val="bullet"/>
      <w:lvlText w:val=""/>
      <w:lvlJc w:val="left"/>
      <w:pPr>
        <w:ind w:left="1740" w:hanging="360"/>
      </w:pPr>
      <w:rPr>
        <w:rFonts w:ascii="Symbol" w:hAnsi="Symbol" w:hint="default"/>
      </w:rPr>
    </w:lvl>
    <w:lvl w:ilvl="1" w:tplc="20000003" w:tentative="1">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1B"/>
    <w:rsid w:val="000D7FBC"/>
    <w:rsid w:val="00221A1B"/>
    <w:rsid w:val="0046760F"/>
    <w:rsid w:val="00606F7D"/>
    <w:rsid w:val="00645A76"/>
    <w:rsid w:val="00867751"/>
    <w:rsid w:val="008F7A19"/>
    <w:rsid w:val="00A20DDA"/>
    <w:rsid w:val="00B10248"/>
    <w:rsid w:val="00B77850"/>
    <w:rsid w:val="00BE5FC2"/>
    <w:rsid w:val="00C94004"/>
    <w:rsid w:val="00CA0F05"/>
    <w:rsid w:val="00CB77A3"/>
    <w:rsid w:val="00CD4148"/>
    <w:rsid w:val="00D012E9"/>
    <w:rsid w:val="00E96A0B"/>
    <w:rsid w:val="00ED40BC"/>
    <w:rsid w:val="00FB054D"/>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40F2"/>
  <w15:chartTrackingRefBased/>
  <w15:docId w15:val="{8F85F403-A8FB-4ED1-AD6A-1F510DF9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A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BALTI</dc:creator>
  <cp:keywords/>
  <dc:description/>
  <cp:lastModifiedBy>Radhia BALTI</cp:lastModifiedBy>
  <cp:revision>5</cp:revision>
  <dcterms:created xsi:type="dcterms:W3CDTF">2023-06-05T08:53:00Z</dcterms:created>
  <dcterms:modified xsi:type="dcterms:W3CDTF">2023-06-07T08:38:00Z</dcterms:modified>
</cp:coreProperties>
</file>