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878D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noProof/>
          <w:sz w:val="14"/>
          <w:szCs w:val="14"/>
          <w:lang w:eastAsia="en-GB"/>
        </w:rPr>
        <w:drawing>
          <wp:inline distT="0" distB="0" distL="0" distR="0" wp14:anchorId="4A71D17C" wp14:editId="0B7E584B">
            <wp:extent cx="2838450" cy="1219200"/>
            <wp:effectExtent l="0" t="0" r="0" b="0"/>
            <wp:docPr id="6" name="Picture 6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71280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Hlk133406796"/>
    </w:p>
    <w:p w14:paraId="488D9017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Solicitud de contribuciones</w:t>
      </w:r>
    </w:p>
    <w:p w14:paraId="79DDA927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7AF4576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Mandato del Relator Especial sobre los derechos humanos al agua potable y el saneamiento</w:t>
      </w:r>
    </w:p>
    <w:p w14:paraId="2A08A94B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9536B87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0050E640" w14:textId="77777777" w:rsidR="00956F36" w:rsidRPr="00CE53FD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F2D4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 xml:space="preserve">Reporte temático para </w:t>
      </w:r>
      <w:bookmarkStart w:id="1" w:name="_Hlk133406334"/>
      <w:r w:rsidRPr="008F2D4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sesión 78 de la Asamblea General de la ONU</w:t>
      </w:r>
      <w:bookmarkEnd w:id="1"/>
      <w:r w:rsidRPr="008F2D4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: "</w:t>
      </w:r>
      <w:bookmarkStart w:id="2" w:name="_Hlk133406305"/>
      <w:r w:rsidRPr="008F2D4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Los derechos al agua y al saneamiento como herramienta para la paz, la prevención y la cooperación</w:t>
      </w:r>
      <w:bookmarkEnd w:id="2"/>
      <w:r w:rsidRPr="008F2D45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".</w:t>
      </w:r>
    </w:p>
    <w:p w14:paraId="3A9DCE50" w14:textId="77777777" w:rsidR="00956F36" w:rsidRDefault="00956F36" w:rsidP="00956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5C3CC30C" w14:textId="77777777" w:rsidR="00956F36" w:rsidRPr="004C7244" w:rsidRDefault="00956F36" w:rsidP="0095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21392DB" w14:textId="77777777" w:rsidR="00956F36" w:rsidRPr="00CE53FD" w:rsidRDefault="00956F36" w:rsidP="00956F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14:paraId="63F599D2" w14:textId="77777777" w:rsidR="00956F36" w:rsidRPr="00CE53FD" w:rsidRDefault="00956F36" w:rsidP="00956F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</w:p>
    <w:p w14:paraId="601B0B51" w14:textId="77777777" w:rsidR="00956F36" w:rsidRPr="00CE53FD" w:rsidRDefault="00956F36" w:rsidP="0095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r w:rsidRPr="00CE53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Información clave solicitada </w:t>
      </w:r>
    </w:p>
    <w:p w14:paraId="088E1033" w14:textId="77777777" w:rsidR="00956F36" w:rsidRPr="00CE53FD" w:rsidRDefault="00956F36" w:rsidP="00956F36">
      <w:pPr>
        <w:spacing w:after="0" w:line="240" w:lineRule="auto"/>
        <w:jc w:val="both"/>
        <w:rPr>
          <w:rFonts w:ascii="Calibri" w:eastAsia="Times New Roman" w:hAnsi="Calibri" w:cs="Calibri"/>
          <w:lang w:val="es-ES" w:eastAsia="en-GB"/>
        </w:rPr>
      </w:pPr>
    </w:p>
    <w:p w14:paraId="4D102BF9" w14:textId="77777777" w:rsidR="00956F36" w:rsidRPr="00CE53FD" w:rsidRDefault="00956F36" w:rsidP="00956F36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Arial" w:eastAsia="Times New Roman" w:hAnsi="Arial" w:cs="Arial"/>
          <w:sz w:val="2"/>
          <w:szCs w:val="2"/>
          <w:shd w:val="clear" w:color="auto" w:fill="F8F9FA"/>
          <w:lang w:val="es-ES" w:eastAsia="en-GB"/>
        </w:rPr>
        <w:br/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Para facilitar la recepción de aportes, el Relator Especial preparó una lista de temas que considera esencial para el reporte. La </w:t>
      </w: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lista puede responderse </w:t>
      </w:r>
      <w:r w:rsidRPr="00883AC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total o parcialmente</w:t>
      </w: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, de acuerdo con la experticia y experiencia de los actores que deseen contribuir al informe. Por favor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encuentre la lista de temas aquí:</w:t>
      </w:r>
    </w:p>
    <w:p w14:paraId="0073D92F" w14:textId="77777777" w:rsidR="00956F36" w:rsidRPr="00CE53FD" w:rsidRDefault="00956F36" w:rsidP="00956F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</w:p>
    <w:p w14:paraId="775F9EDC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1. Presente ejemplos de prácticas buenas o prometedoras que destaquen cómo la cooperación transfronteriza puede afianzar la realización de los derechos humanos al agua y al saneamiento.</w:t>
      </w:r>
    </w:p>
    <w:p w14:paraId="2A5E665E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028A00B0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2. ¿Cómo ha ayudado la cooperación en materia de agua (transfronteriza, subnacional, local) a superar los conflictos, y limitar la presión sobre los sistemas de agua y sobre la infraestructura relacionada con el agua?</w:t>
      </w:r>
    </w:p>
    <w:p w14:paraId="03491FEE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275AA596" w14:textId="77777777" w:rsidR="00956F36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3. Proporcione ejemplos de diálogo, mediación y colaboración exitosos en la gestión de aguas transfronterizas que incorporen una perspectiva de derechos humanos y promuevan la paz, incluidos, entre otros:</w:t>
      </w:r>
    </w:p>
    <w:p w14:paraId="5B8F37D7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205E08D3" w14:textId="77777777" w:rsidR="00956F36" w:rsidRPr="00FF5604" w:rsidRDefault="00956F36" w:rsidP="00956F3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a)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M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arcos de cooperación: convenios, órganos de gestión y planificación compartida en cuencas transfronterizas, etc.</w:t>
      </w:r>
    </w:p>
    <w:p w14:paraId="528558B3" w14:textId="77777777" w:rsidR="00956F36" w:rsidRPr="00FF5604" w:rsidRDefault="00956F36" w:rsidP="00956F3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b)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M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onitoreo y gestión de los recursos compartidos.</w:t>
      </w:r>
    </w:p>
    <w:p w14:paraId="60A8A0E5" w14:textId="77777777" w:rsidR="00956F36" w:rsidRPr="00FF5604" w:rsidRDefault="00956F36" w:rsidP="00956F3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c)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P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rocesos colaborativos de consulta y toma de decisiones.</w:t>
      </w:r>
    </w:p>
    <w:p w14:paraId="4031512D" w14:textId="77777777" w:rsidR="00956F36" w:rsidRPr="00FF5604" w:rsidRDefault="00956F36" w:rsidP="00956F3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d)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H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erramientas y recursos para facilitar la gobernanza equitativa del agua y herramientas o recursos para la seguridad hídrica en toda la cuenca.</w:t>
      </w:r>
    </w:p>
    <w:p w14:paraId="3F03F8F9" w14:textId="77777777" w:rsidR="00956F36" w:rsidRPr="00FF5604" w:rsidRDefault="00956F36" w:rsidP="00956F3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e)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E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strategias y medidas para proteger el derecho a la salud o prevenir riesgos de inundación o sequía, sistemas de información compartida, alerta temprana y manejo de inundaciones, y estrategias conjuntas de sequía.</w:t>
      </w:r>
    </w:p>
    <w:p w14:paraId="1673493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5FCBA362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4. ¿Cuáles son algunos de los principales desafíos que enfrentan los titulares de derechos, las organizaciones de la sociedad civil y las comunidades para acceder y gestionar los recursos hídricos en los ecosistemas de aguas transfronterizas, y qué estrategias pueden abordar estos desafíos de manera efectiva?</w:t>
      </w:r>
    </w:p>
    <w:p w14:paraId="2247C47D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3649B9BD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5. ¿Qué medidas de participación, acceso a la información y transparencia se podrían promover para involucrar a los titulares de derechos, comunidades, organizaciones de la sociedad civil y mujeres en posibles dinámicas de diálogo, negociación y toma de decisiones sobre la gestión de ecosistemas transfronterizos?</w:t>
      </w:r>
    </w:p>
    <w:p w14:paraId="456768B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2B2830C2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6. ¿Qué medidas existen para prevenir la contaminación del agua y evitar impactos en las comunidades y países río abajo?</w:t>
      </w:r>
    </w:p>
    <w:p w14:paraId="3FE34FE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0E7C3692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7. ¿Qué medidas de rendición de cuentas pueden fomentar que entidades públicas y privadas asuman sus responsabilidades en la gestión de aguas transfronterizas?</w:t>
      </w:r>
    </w:p>
    <w:p w14:paraId="4E462B9F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75044F85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8. ¿Cómo se han establecido responsabilidades y prioridades entre los diversos tipos de usos y usuarios para prevenir el estrés hídrico (como resultado de la calidad y cantidad del agua y la salud del ecosistema)? ¿Cuáles son algunas de las buenas prácticas y estrategias para promover la gestión sostenible de los ecosistemas transfronterizos, priorizar y garantizar los derechos humanos al agua y al saneamiento y/o prevenir posibles conflictos?</w:t>
      </w:r>
    </w:p>
    <w:p w14:paraId="416B9C93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58628599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9. ¿Cómo han contribuido los problemas de aguas transfronterizas, como las disputas sobre la asignación del agua, la calidad del agua, el desarrollo de infraestructura y los impactos ambientales negativos, a la violencia, el malestar social, los conflictos y/o el desplazamiento en su región o comunidad?</w:t>
      </w:r>
    </w:p>
    <w:p w14:paraId="56AC2263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24B007B5" w14:textId="77777777" w:rsidR="00956F36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10. ¿Cómo han contribuido los servicios insuficientes de agua y saneamiento a la violencia, el malestar social, los conflictos y/o el desplazamiento en su región o comunidad?</w:t>
      </w:r>
    </w:p>
    <w:p w14:paraId="10247922" w14:textId="77777777" w:rsidR="00956F36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6247C0AD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11. 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¿En qué medida está afectando el cambio climático los conflictos relacionados con el agua en su cuenca fluvial transfronteriza (interestatal, subnacional y local)?</w:t>
      </w:r>
    </w:p>
    <w:p w14:paraId="75B796F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1F26A38C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2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¿Cómo se incluye a las autoridades locales en los procesos de prevención, respuesta a crisis y resolución de conflictos?</w:t>
      </w:r>
    </w:p>
    <w:p w14:paraId="285CFF69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12BF38E9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3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¿Cómo se incluye a las comunidades afectadas en los procesos de prevención, respuesta a crisis y resolución de conflictos?</w:t>
      </w:r>
    </w:p>
    <w:p w14:paraId="4CF70D59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3CC7ECD8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4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¿Qué papel se le ha dado a la mujer en el manejo de los conflictos transfronterizos?</w:t>
      </w:r>
    </w:p>
    <w:p w14:paraId="5CD5E85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153E6111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5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. ¿Qué medidas existen en los planes de contingencia, ya sea en escenarios de paz, conflicto o posconflicto, para garantizar que se </w:t>
      </w:r>
      <w:proofErr w:type="spellStart"/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de</w:t>
      </w:r>
      <w:proofErr w:type="spellEnd"/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 xml:space="preserve"> prioridad al abastecimiento de agua domiciliar y al agua para uso doméstico y personal?</w:t>
      </w:r>
    </w:p>
    <w:p w14:paraId="151E8366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4EA398B3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lastRenderedPageBreak/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6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Presente ejemplos y/o prácticas buenas/prometedoras de medidas de gestión de aguas transfronterizas que apoyen la realización de los derechos humanos al agua y al saneamiento.</w:t>
      </w:r>
    </w:p>
    <w:p w14:paraId="7525F127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4BA1551C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7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¿Cómo se puede promover en las cuencas transfronterizas un cambio de un enfoque en el agua como un recurso, lo cual fomenta la competencia por el control y la propiedad, a un enfoque de gestión de ecosistemas que implica colaboración y responsabilidad compartida?</w:t>
      </w:r>
    </w:p>
    <w:p w14:paraId="074AFB67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629B44EE" w14:textId="77777777" w:rsidR="00956F36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8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¿Cómo se interconectan los acuerdos sobre el cambio climático y los acuerdos de gestión de aguas transfronterizas para abordar los desafíos de la gestión de los recursos hídricos en los ecosistemas acuáticos compartidos?</w:t>
      </w:r>
    </w:p>
    <w:p w14:paraId="79B0463C" w14:textId="77777777" w:rsidR="00956F36" w:rsidRPr="00FF5604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</w:pPr>
    </w:p>
    <w:p w14:paraId="7A835B96" w14:textId="77777777" w:rsidR="00956F36" w:rsidRPr="00CE53FD" w:rsidRDefault="00956F36" w:rsidP="00956F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1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9</w:t>
      </w:r>
      <w:r w:rsidRPr="00FF5604">
        <w:rPr>
          <w:rFonts w:ascii="Times New Roman" w:eastAsia="Calibri" w:hAnsi="Times New Roman" w:cs="Times New Roman"/>
          <w:color w:val="202124"/>
          <w:sz w:val="24"/>
          <w:szCs w:val="24"/>
          <w:lang w:val="es-419"/>
        </w:rPr>
        <w:t>. ¿Cuáles son algunos de los ejemplos más prometedores de esfuerzos de colaboración entre gobiernos (nacionales y locales), organizaciones de la sociedad civil, comunidades, personas y/o el sector privado para promover la gestión sostenible del agua, incluida la reducción de la contaminación y la protección de los ecosistemas, en el contexto de aguas transfronterizas?</w:t>
      </w:r>
    </w:p>
    <w:bookmarkEnd w:id="0"/>
    <w:p w14:paraId="16CE1D19" w14:textId="77777777" w:rsidR="004A1F13" w:rsidRPr="00956F36" w:rsidRDefault="004A1F13">
      <w:pPr>
        <w:rPr>
          <w:lang w:val="es-ES"/>
        </w:rPr>
      </w:pPr>
    </w:p>
    <w:sectPr w:rsidR="004A1F13" w:rsidRPr="0095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36"/>
    <w:rsid w:val="00240C11"/>
    <w:rsid w:val="004A1F13"/>
    <w:rsid w:val="005708F2"/>
    <w:rsid w:val="007A4B7B"/>
    <w:rsid w:val="00911359"/>
    <w:rsid w:val="009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432C"/>
  <w15:chartTrackingRefBased/>
  <w15:docId w15:val="{5CD0B8F8-270D-412B-AB57-2EE8BBE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842AF64A-1467-4E1E-9B1E-12BF1A7BAAFB}"/>
</file>

<file path=customXml/itemProps2.xml><?xml version="1.0" encoding="utf-8"?>
<ds:datastoreItem xmlns:ds="http://schemas.openxmlformats.org/officeDocument/2006/customXml" ds:itemID="{9833FE26-C38C-4C79-A50A-3CA05DD3BA1B}"/>
</file>

<file path=customXml/itemProps3.xml><?xml version="1.0" encoding="utf-8"?>
<ds:datastoreItem xmlns:ds="http://schemas.openxmlformats.org/officeDocument/2006/customXml" ds:itemID="{CFEA1396-8470-4B0C-8F36-6523C8174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Mendoza</dc:creator>
  <cp:keywords/>
  <dc:description/>
  <cp:lastModifiedBy>CONSULTANT Mendoza</cp:lastModifiedBy>
  <cp:revision>1</cp:revision>
  <dcterms:created xsi:type="dcterms:W3CDTF">2023-04-28T10:36:00Z</dcterms:created>
  <dcterms:modified xsi:type="dcterms:W3CDTF">2023-04-28T10:36:00Z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