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A078" w14:textId="2728129C" w:rsidR="009F15F0" w:rsidRDefault="009F15F0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BB70A3">
        <w:rPr>
          <w:rFonts w:asciiTheme="minorHAnsi" w:eastAsiaTheme="minorEastAsia" w:hAnsiTheme="minorHAnsi" w:cstheme="minorBidi"/>
          <w:noProof/>
          <w:sz w:val="14"/>
          <w:szCs w:val="14"/>
          <w:lang w:val="en-GB" w:eastAsia="en-GB"/>
        </w:rPr>
        <w:drawing>
          <wp:inline distT="0" distB="0" distL="0" distR="0" wp14:anchorId="475EBC7E" wp14:editId="7E8435BC">
            <wp:extent cx="2838450" cy="962025"/>
            <wp:effectExtent l="0" t="0" r="0" b="0"/>
            <wp:docPr id="4" name="Picture 4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3BF5" w14:textId="77777777" w:rsidR="009F15F0" w:rsidRPr="00BB70A3" w:rsidRDefault="009F15F0" w:rsidP="009F15F0">
      <w:pPr>
        <w:tabs>
          <w:tab w:val="right" w:pos="3686"/>
          <w:tab w:val="center" w:pos="4513"/>
          <w:tab w:val="left" w:pos="5812"/>
          <w:tab w:val="right" w:pos="9026"/>
        </w:tabs>
        <w:spacing w:line="240" w:lineRule="auto"/>
        <w:jc w:val="center"/>
        <w:rPr>
          <w:rFonts w:asciiTheme="minorHAnsi" w:eastAsiaTheme="minorEastAsia" w:hAnsiTheme="minorHAnsi" w:cstheme="minorBidi"/>
          <w:sz w:val="14"/>
          <w:szCs w:val="14"/>
          <w:lang w:val="fr-FR" w:eastAsia="en-US"/>
        </w:rPr>
      </w:pPr>
      <w:r w:rsidRPr="00BB70A3">
        <w:rPr>
          <w:rFonts w:asciiTheme="minorHAnsi" w:eastAsiaTheme="minorEastAsia" w:hAnsiTheme="minorHAnsi" w:cstheme="minorBidi"/>
          <w:sz w:val="14"/>
          <w:szCs w:val="14"/>
          <w:lang w:val="fr-FR" w:eastAsia="en-US"/>
        </w:rPr>
        <w:t>PALAIS DES NATIONS • 1211 GENEVA 10, SWITZERLAND</w:t>
      </w:r>
    </w:p>
    <w:p w14:paraId="38D0EDB6" w14:textId="77777777" w:rsidR="009F15F0" w:rsidRDefault="009F15F0" w:rsidP="009F15F0">
      <w:pPr>
        <w:tabs>
          <w:tab w:val="right" w:pos="3686"/>
          <w:tab w:val="center" w:pos="4513"/>
          <w:tab w:val="left" w:pos="5812"/>
          <w:tab w:val="right" w:pos="9026"/>
        </w:tabs>
        <w:spacing w:before="80" w:after="360" w:line="240" w:lineRule="auto"/>
        <w:jc w:val="center"/>
        <w:rPr>
          <w:rFonts w:asciiTheme="minorHAnsi" w:eastAsiaTheme="minorEastAsia" w:hAnsiTheme="minorHAnsi" w:cstheme="minorBidi"/>
          <w:sz w:val="14"/>
          <w:szCs w:val="14"/>
          <w:lang w:val="fr-FR" w:eastAsia="en-US"/>
        </w:rPr>
      </w:pPr>
      <w:r w:rsidRPr="00BB70A3">
        <w:rPr>
          <w:rFonts w:asciiTheme="minorHAnsi" w:eastAsiaTheme="minorEastAsia" w:hAnsiTheme="minorHAnsi" w:cstheme="minorBidi"/>
          <w:sz w:val="14"/>
          <w:szCs w:val="14"/>
          <w:lang w:val="fr-FR" w:eastAsia="en-US"/>
        </w:rPr>
        <w:t xml:space="preserve">www.ohchr.org • TEL: +41 22 917 9000 • FAX: +41 22 917 9008 • E-MAIL: </w:t>
      </w:r>
      <w:hyperlink r:id="rId7" w:history="1">
        <w:r w:rsidRPr="00EC1464">
          <w:rPr>
            <w:rStyle w:val="Hyperlink"/>
            <w:rFonts w:asciiTheme="minorHAnsi" w:eastAsiaTheme="minorEastAsia" w:hAnsiTheme="minorHAnsi" w:cstheme="minorBidi"/>
            <w:sz w:val="14"/>
            <w:szCs w:val="14"/>
            <w:lang w:val="fr-FR" w:eastAsia="en-US"/>
          </w:rPr>
          <w:t>registry@ohchr.org</w:t>
        </w:r>
      </w:hyperlink>
    </w:p>
    <w:p w14:paraId="423C3270" w14:textId="77777777" w:rsidR="009F15F0" w:rsidRPr="00BB70A3" w:rsidRDefault="009F15F0" w:rsidP="009F15F0">
      <w:pPr>
        <w:tabs>
          <w:tab w:val="right" w:pos="3686"/>
          <w:tab w:val="center" w:pos="4513"/>
          <w:tab w:val="left" w:pos="5812"/>
          <w:tab w:val="right" w:pos="9026"/>
        </w:tabs>
        <w:spacing w:before="80" w:after="360" w:line="240" w:lineRule="auto"/>
        <w:jc w:val="center"/>
        <w:rPr>
          <w:lang w:val="en-US"/>
        </w:rPr>
      </w:pPr>
      <w:r w:rsidRPr="00BB70A3">
        <w:rPr>
          <w:rFonts w:asciiTheme="minorHAnsi" w:eastAsia="Times New Roman" w:hAnsiTheme="minorHAnsi" w:cs="Times New Roman"/>
          <w:b/>
          <w:sz w:val="20"/>
          <w:szCs w:val="20"/>
          <w:lang w:val="en-US" w:eastAsia="en-US"/>
        </w:rPr>
        <w:t>Mandate of the Special Rapporteur on the promotion of truth, justice, reparation and guarantees of non-recurrence</w:t>
      </w:r>
    </w:p>
    <w:p w14:paraId="22D92B79" w14:textId="006584B2" w:rsidR="009F30AF" w:rsidRPr="009F30AF" w:rsidRDefault="009F15F0" w:rsidP="004C7202">
      <w:pPr>
        <w:spacing w:line="240" w:lineRule="auto"/>
        <w:jc w:val="center"/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  <w:bookmarkStart w:id="0" w:name="_gjdgxs" w:colFirst="0" w:colLast="0"/>
      <w:bookmarkEnd w:id="0"/>
      <w:r w:rsidRPr="009F30AF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 xml:space="preserve">Call for inputs </w:t>
      </w:r>
    </w:p>
    <w:p w14:paraId="00000004" w14:textId="11EBEC69" w:rsidR="004F1941" w:rsidRPr="004C2592" w:rsidRDefault="00662DC1" w:rsidP="004C7202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4C2592">
        <w:rPr>
          <w:rFonts w:ascii="Times New Roman" w:eastAsia="Cambria" w:hAnsi="Times New Roman" w:cs="Times New Roman"/>
          <w:b/>
          <w:sz w:val="24"/>
          <w:szCs w:val="24"/>
          <w:lang w:val="en-US"/>
        </w:rPr>
        <w:t>Minimum international legal standards underpinning the duties of States and the rights of victims in the fields of truth, justice, reparation, memorialization and guarantees of non-recurrence</w:t>
      </w:r>
    </w:p>
    <w:p w14:paraId="00000005" w14:textId="77777777" w:rsidR="004F1941" w:rsidRPr="004C7202" w:rsidRDefault="004F1941">
      <w:pPr>
        <w:spacing w:line="240" w:lineRule="auto"/>
        <w:jc w:val="both"/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</w:pPr>
    </w:p>
    <w:p w14:paraId="00000008" w14:textId="51890BDA" w:rsidR="004F1941" w:rsidRPr="004C7202" w:rsidRDefault="00BB70A3" w:rsidP="00BB70A3">
      <w:pPr>
        <w:spacing w:line="24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  <w:t xml:space="preserve">Within </w:t>
      </w:r>
      <w:r w:rsidR="00662DC1" w:rsidRPr="004C7202"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  <w:t xml:space="preserve">the framework of Human Rights Council resolution </w:t>
      </w:r>
      <w:r w:rsidRPr="004C7202"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  <w:t>45</w:t>
      </w:r>
      <w:r w:rsidR="00662DC1" w:rsidRPr="004C7202"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  <w:t>/</w:t>
      </w:r>
      <w:r w:rsidRPr="004C7202"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  <w:t>10</w:t>
      </w:r>
      <w:r w:rsidR="00662DC1" w:rsidRPr="004C7202"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  <w:t xml:space="preserve">, the Special Rapporteur on the promotion of truth, justice, reparation and guarantees of non-recurrence </w:t>
      </w:r>
      <w:r w:rsidRPr="004C7202">
        <w:rPr>
          <w:rFonts w:ascii="Times New Roman" w:eastAsia="Cambria" w:hAnsi="Times New Roman" w:cs="Times New Roman"/>
          <w:color w:val="212121"/>
          <w:sz w:val="24"/>
          <w:szCs w:val="24"/>
          <w:lang w:val="en-US"/>
        </w:rPr>
        <w:t>has</w:t>
      </w:r>
      <w:r w:rsidR="00662DC1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decided to </w:t>
      </w: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>devote</w:t>
      </w:r>
      <w:r w:rsidR="00662DC1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his report to the 54th session of the Human Rights Council to thoroughly review</w:t>
      </w: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>ing</w:t>
      </w:r>
      <w:r w:rsidR="00662DC1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 minimum international legal standards underpinning the duties of States and the rights of victims in the fields of truth, justice, reparation, memorialization and guarantees of non-recurrence. </w:t>
      </w:r>
      <w:r w:rsidR="00662DC1" w:rsidRPr="004C7202" w:rsidDel="00BB70A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report will review the </w:t>
      </w:r>
      <w:r w:rsidR="00662DC1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relevant </w:t>
      </w:r>
      <w:r w:rsidR="004C7202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national and international </w:t>
      </w:r>
      <w:r w:rsidR="00662DC1" w:rsidRPr="004C7202" w:rsidDel="00BB70A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legal framework, the jurisprudence of national, regional and international tribunals and human rights mechanisms, as well as the </w:t>
      </w:r>
      <w:r w:rsidR="004C7202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conceptual framework and </w:t>
      </w:r>
      <w:r w:rsidR="00662DC1" w:rsidRPr="004C7202" w:rsidDel="00BB70A3">
        <w:rPr>
          <w:rFonts w:ascii="Times New Roman" w:eastAsia="Cambria" w:hAnsi="Times New Roman" w:cs="Times New Roman"/>
          <w:sz w:val="24"/>
          <w:szCs w:val="24"/>
          <w:lang w:val="en-US"/>
        </w:rPr>
        <w:t>academic literature regarding the scope of the legal obligations and rights underpinning the five pillars of transitional justice.</w:t>
      </w:r>
    </w:p>
    <w:p w14:paraId="0000000B" w14:textId="77777777" w:rsidR="004F1941" w:rsidRPr="004C7202" w:rsidRDefault="004F1941">
      <w:pPr>
        <w:spacing w:line="240" w:lineRule="auto"/>
        <w:jc w:val="both"/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</w:pPr>
    </w:p>
    <w:p w14:paraId="0000000C" w14:textId="7B632A72" w:rsidR="004F1941" w:rsidRPr="004C7202" w:rsidRDefault="00662DC1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order to obtain a broad representation of views to inform the thematic report, </w:t>
      </w:r>
      <w:r w:rsidRPr="004C7202">
        <w:rPr>
          <w:rFonts w:ascii="Times New Roman" w:eastAsia="Cambria" w:hAnsi="Times New Roman" w:cs="Times New Roman"/>
          <w:color w:val="212121"/>
          <w:sz w:val="24"/>
          <w:szCs w:val="24"/>
          <w:highlight w:val="white"/>
          <w:lang w:val="en-US"/>
        </w:rPr>
        <w:t>the Special Rapporteur</w:t>
      </w: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is seeking written contributions by Member States, civil society and other relevant stakeholders through responses to the questionnaire below. </w:t>
      </w:r>
    </w:p>
    <w:p w14:paraId="266058BE" w14:textId="76150BB5" w:rsidR="00C01525" w:rsidRPr="004C7202" w:rsidRDefault="00C01525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05B9AC82" w14:textId="6E9BA585" w:rsidR="00C01525" w:rsidRPr="004C7202" w:rsidRDefault="004C7202" w:rsidP="00C01525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>W</w:t>
      </w:r>
      <w:r w:rsidR="00C01525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 kindly request that written contributions be sent in Word </w:t>
      </w: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format </w:t>
      </w:r>
      <w:r w:rsidR="00C01525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to </w:t>
      </w:r>
      <w:hyperlink r:id="rId8" w:history="1">
        <w:r w:rsidR="00783157" w:rsidRPr="00142E73">
          <w:rPr>
            <w:rStyle w:val="Hyperlink"/>
            <w:rFonts w:ascii="Times New Roman" w:eastAsia="Cambria" w:hAnsi="Times New Roman" w:cs="Times New Roman"/>
            <w:sz w:val="24"/>
            <w:szCs w:val="24"/>
            <w:lang w:val="en-US"/>
          </w:rPr>
          <w:t>orhchr-srtruthcalls@un.org</w:t>
        </w:r>
      </w:hyperlink>
      <w:r w:rsidR="00783157" w:rsidRPr="00142E73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DD73B5">
        <w:rPr>
          <w:rFonts w:ascii="Times New Roman" w:eastAsia="Cambria" w:hAnsi="Times New Roman" w:cs="Times New Roman"/>
          <w:b/>
          <w:sz w:val="24"/>
          <w:szCs w:val="24"/>
          <w:lang w:val="en-US"/>
        </w:rPr>
        <w:t>by</w:t>
      </w:r>
      <w:r w:rsidR="00C01525" w:rsidRPr="00DD73B5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</w:t>
      </w:r>
      <w:r w:rsidR="00662DC1" w:rsidRPr="00DD73B5">
        <w:rPr>
          <w:rFonts w:ascii="Times New Roman" w:eastAsia="Cambria" w:hAnsi="Times New Roman" w:cs="Times New Roman"/>
          <w:b/>
          <w:sz w:val="24"/>
          <w:szCs w:val="24"/>
          <w:lang w:val="en-US"/>
        </w:rPr>
        <w:t>15 January</w:t>
      </w:r>
      <w:r w:rsidR="00C01525" w:rsidRPr="00DD73B5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202</w:t>
      </w:r>
      <w:r w:rsidR="00662DC1" w:rsidRPr="00DD73B5">
        <w:rPr>
          <w:rFonts w:ascii="Times New Roman" w:eastAsia="Cambria" w:hAnsi="Times New Roman" w:cs="Times New Roman"/>
          <w:b/>
          <w:sz w:val="24"/>
          <w:szCs w:val="24"/>
          <w:lang w:val="en-US"/>
        </w:rPr>
        <w:t>3</w:t>
      </w:r>
      <w:r w:rsidR="00C01525"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r w:rsidRPr="004C72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Please limit your contributions to a maximum of </w:t>
      </w:r>
      <w:r w:rsidR="00B312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1500 words per question</w:t>
      </w:r>
      <w:bookmarkStart w:id="1" w:name="_GoBack"/>
      <w:bookmarkEnd w:id="1"/>
      <w:r w:rsidRPr="004C72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attach annexes, if necessary. We would also welcome any other document, report or article providing further information on this topic.</w:t>
      </w:r>
    </w:p>
    <w:p w14:paraId="2FB70D2B" w14:textId="77777777" w:rsidR="009F15F0" w:rsidRDefault="009F15F0" w:rsidP="00C01525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3F1BAE73" w14:textId="2B95DFCA" w:rsidR="00C01525" w:rsidRPr="004C7202" w:rsidRDefault="00C01525" w:rsidP="00C01525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Your responses may be published on the website of the Office of the High Commissioner for Human Rights. </w:t>
      </w:r>
      <w:r w:rsidRPr="004C7202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Should you not wish to have your response published on the website, please indicate </w:t>
      </w:r>
      <w:r w:rsidR="004C7202" w:rsidRPr="004C7202">
        <w:rPr>
          <w:rFonts w:ascii="Times New Roman" w:eastAsia="Cambria" w:hAnsi="Times New Roman" w:cs="Times New Roman"/>
          <w:b/>
          <w:sz w:val="24"/>
          <w:szCs w:val="24"/>
          <w:lang w:val="en-US"/>
        </w:rPr>
        <w:t>it</w:t>
      </w:r>
      <w:r w:rsidRPr="004C7202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in your response.</w:t>
      </w:r>
    </w:p>
    <w:p w14:paraId="24004699" w14:textId="77777777" w:rsidR="00C01525" w:rsidRPr="004C7202" w:rsidRDefault="00C01525" w:rsidP="00C01525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0330F209" w14:textId="03961200" w:rsidR="00C01525" w:rsidRPr="004C7202" w:rsidRDefault="00C01525" w:rsidP="00C01525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sz w:val="24"/>
          <w:szCs w:val="24"/>
          <w:lang w:val="en-US"/>
        </w:rPr>
        <w:t>We thank you in advance for your cooperation, and for your responses.</w:t>
      </w:r>
    </w:p>
    <w:p w14:paraId="2F3D2E44" w14:textId="5924BD3E" w:rsidR="00816A8D" w:rsidRPr="004C7202" w:rsidRDefault="00816A8D" w:rsidP="00C01525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17CEBDB" w14:textId="7345B5B8" w:rsidR="00816A8D" w:rsidRPr="00B64FF8" w:rsidRDefault="00816A8D" w:rsidP="00E53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r w:rsidRPr="00B64FF8">
        <w:rPr>
          <w:rFonts w:ascii="Times New Roman" w:eastAsia="Cambria" w:hAnsi="Times New Roman" w:cs="Times New Roman"/>
          <w:b/>
          <w:sz w:val="28"/>
          <w:szCs w:val="28"/>
          <w:lang w:val="en-US"/>
        </w:rPr>
        <w:t>Questionnaire</w:t>
      </w:r>
    </w:p>
    <w:p w14:paraId="0000000F" w14:textId="71B10DB5" w:rsidR="004F1941" w:rsidRPr="004C7202" w:rsidRDefault="00E53455" w:rsidP="00E53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(</w:t>
      </w:r>
      <w:r w:rsid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Y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ou can choose to answer all or some of the questions below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)</w:t>
      </w:r>
    </w:p>
    <w:p w14:paraId="00000010" w14:textId="77777777" w:rsidR="004F1941" w:rsidRPr="004C7202" w:rsidRDefault="004F1941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14:paraId="746D78AD" w14:textId="77777777" w:rsidR="00131A1C" w:rsidRDefault="00480C83" w:rsidP="004C7202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 xml:space="preserve">1. </w:t>
      </w:r>
      <w:r w:rsidR="00662DC1"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Truth</w:t>
      </w:r>
    </w:p>
    <w:p w14:paraId="79A51BCD" w14:textId="77777777" w:rsidR="004C2592" w:rsidRDefault="004C2592">
      <w:pPr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</w:p>
    <w:p w14:paraId="00000017" w14:textId="290E2983" w:rsidR="004F1941" w:rsidRPr="004C7202" w:rsidRDefault="004C7202">
      <w:pPr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Please indicate </w:t>
      </w:r>
      <w:r w:rsidR="006027A5">
        <w:rPr>
          <w:rFonts w:ascii="Times New Roman" w:eastAsia="Cambria" w:hAnsi="Times New Roman" w:cs="Times New Roman"/>
          <w:i/>
          <w:sz w:val="24"/>
          <w:szCs w:val="24"/>
          <w:lang w:val="en-US"/>
        </w:rPr>
        <w:t>which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legal framework </w:t>
      </w:r>
      <w:r w:rsidR="00E3115A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(laws, decrees or other legal sources) </w:t>
      </w:r>
      <w:r w:rsidR="005F7868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underpin</w:t>
      </w:r>
      <w:r w:rsidR="006027A5">
        <w:rPr>
          <w:rFonts w:ascii="Times New Roman" w:eastAsia="Cambria" w:hAnsi="Times New Roman" w:cs="Times New Roman"/>
          <w:i/>
          <w:sz w:val="24"/>
          <w:szCs w:val="24"/>
          <w:lang w:val="en-US"/>
        </w:rPr>
        <w:t>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truth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-seeking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proce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dures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undertaken as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part 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of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transitional justice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processes in the country where you work.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B73CC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W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hat are 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the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main characteristics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of this framework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?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If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Truth Commissions or independent fact finding bodies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are</w:t>
      </w:r>
      <w:r w:rsidR="00B73CC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involved in the truth seeking process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, please indicate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how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271898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is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the</w:t>
      </w:r>
      <w:r w:rsidR="00271898">
        <w:rPr>
          <w:rFonts w:ascii="Times New Roman" w:eastAsia="Cambria" w:hAnsi="Times New Roman" w:cs="Times New Roman"/>
          <w:i/>
          <w:sz w:val="24"/>
          <w:szCs w:val="24"/>
          <w:lang w:val="en-US"/>
        </w:rPr>
        <w:t>ir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independence, impartiality, and competence </w:t>
      </w:r>
      <w:r w:rsidR="00DA4B2A">
        <w:rPr>
          <w:rFonts w:ascii="Times New Roman" w:eastAsia="Cambria" w:hAnsi="Times New Roman" w:cs="Times New Roman"/>
          <w:i/>
          <w:sz w:val="24"/>
          <w:szCs w:val="24"/>
          <w:lang w:val="en-US"/>
        </w:rPr>
        <w:t>guaranteed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?</w:t>
      </w:r>
      <w:r w:rsidR="00B73CC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Please make reference to examples </w:t>
      </w:r>
      <w:r w:rsidR="00CA0FE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where such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legal framework </w:t>
      </w:r>
      <w:r w:rsidR="00CA0FE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is applied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and indicate if there are obstacles </w:t>
      </w:r>
      <w:r w:rsidR="00CA4229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to its </w:t>
      </w:r>
      <w:r w:rsidR="00CA4229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lastRenderedPageBreak/>
        <w:t>implementa</w:t>
      </w:r>
      <w:r w:rsidR="00CA0FE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t</w:t>
      </w:r>
      <w:r w:rsidR="00CA4229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i</w:t>
      </w:r>
      <w:r w:rsidR="00CA0FE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on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. Do you consider that the national legal framework takes into account international legal standards?</w:t>
      </w:r>
    </w:p>
    <w:p w14:paraId="00000018" w14:textId="77777777" w:rsidR="004F1941" w:rsidRPr="004C7202" w:rsidRDefault="004F1941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</w:p>
    <w:p w14:paraId="00000019" w14:textId="64ED7C2C" w:rsidR="004F1941" w:rsidRPr="004C7202" w:rsidRDefault="00480C83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 xml:space="preserve">2. </w:t>
      </w:r>
      <w:r w:rsidR="00662DC1"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Justice</w:t>
      </w:r>
    </w:p>
    <w:p w14:paraId="0000001A" w14:textId="77777777" w:rsidR="004F1941" w:rsidRPr="004C7202" w:rsidRDefault="004F1941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</w:p>
    <w:p w14:paraId="01DC8058" w14:textId="62CDC9A9" w:rsidR="00E72736" w:rsidRDefault="006027A5" w:rsidP="00E72736">
      <w:pPr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Please indicate which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legal 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framework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(laws, decrees or other legal sources)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regulat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es 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criminal accountability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procedures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for serious human rights violations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undertaken as part of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a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transitional justice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process in the country where you work</w:t>
      </w:r>
      <w:r w:rsidR="00271898">
        <w:rPr>
          <w:rFonts w:ascii="Times New Roman" w:eastAsia="Cambria" w:hAnsi="Times New Roman" w:cs="Times New Roman"/>
          <w:i/>
          <w:sz w:val="24"/>
          <w:szCs w:val="24"/>
          <w:lang w:val="en-US"/>
        </w:rPr>
        <w:t>.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How are criminal penalties, amnesties and pardons for gross violations of human rights and serious violations of international humanitarian law regulated in the context of transitional justice? Please </w:t>
      </w:r>
      <w:r w:rsidR="00480C83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make 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refer</w:t>
      </w:r>
      <w:r w:rsidR="00480C83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ence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to examples where such legal framework is</w:t>
      </w:r>
      <w:r w:rsidR="00CA4229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applied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and indicate if there are obstacles </w:t>
      </w:r>
      <w:r w:rsidR="00CA4229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to its</w:t>
      </w:r>
      <w:r w:rsidR="00E727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implementation. Do you consider that the national legal framework takes into account international legal standards? </w:t>
      </w:r>
    </w:p>
    <w:p w14:paraId="1EF0107A" w14:textId="77777777" w:rsidR="006027A5" w:rsidRPr="004C7202" w:rsidRDefault="006027A5" w:rsidP="00E72736">
      <w:pPr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</w:p>
    <w:p w14:paraId="00000020" w14:textId="14D8F572" w:rsidR="004F1941" w:rsidRPr="004C7202" w:rsidRDefault="00480C83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 xml:space="preserve">3. </w:t>
      </w:r>
      <w:r w:rsidR="00662DC1"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Reparations</w:t>
      </w:r>
    </w:p>
    <w:p w14:paraId="00000021" w14:textId="77777777" w:rsidR="004F1941" w:rsidRPr="004C7202" w:rsidRDefault="004F1941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</w:p>
    <w:p w14:paraId="00000026" w14:textId="0B6042A7" w:rsidR="004F1941" w:rsidRPr="004C7202" w:rsidRDefault="006027A5">
      <w:pPr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Please indicate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which type of reparations, be them individual or collective,</w:t>
      </w:r>
      <w:r w:rsidR="00271898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are afforded to victims of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gross violations of human rights and serious violations of international humanitarian law</w:t>
      </w:r>
      <w:r w:rsidR="00271898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in</w:t>
      </w:r>
      <w:r w:rsidR="00950CEB" w:rsidRP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the country where you work</w:t>
      </w:r>
      <w:r w:rsid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, and the legal framework (</w:t>
      </w:r>
      <w:r w:rsidR="00662DC1" w:rsidRP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laws, decrees or other legal sources</w:t>
      </w:r>
      <w:r w:rsid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)</w:t>
      </w:r>
      <w:r w:rsidR="00662DC1" w:rsidRP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271898">
        <w:rPr>
          <w:rFonts w:ascii="Times New Roman" w:eastAsia="Cambria" w:hAnsi="Times New Roman" w:cs="Times New Roman"/>
          <w:i/>
          <w:sz w:val="24"/>
          <w:szCs w:val="24"/>
          <w:lang w:val="en-US"/>
        </w:rPr>
        <w:t>regulating</w:t>
      </w:r>
      <w:r w:rsidR="00662DC1" w:rsidRP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the</w:t>
      </w:r>
      <w:r w:rsid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m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.</w:t>
      </w:r>
      <w:r w:rsidR="00480C83" w:rsidRP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W</w:t>
      </w:r>
      <w:r w:rsidR="00662DC1" w:rsidRP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hat </w:t>
      </w:r>
      <w:r w:rsid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are</w:t>
      </w:r>
      <w:r w:rsidR="00662DC1" w:rsidRP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the </w:t>
      </w:r>
      <w:r w:rsidR="00F0066D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procedures,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operational parameters or criteria</w:t>
      </w:r>
      <w:r w:rsidR="009D32D7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applied </w:t>
      </w:r>
      <w:r w:rsid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to determine </w:t>
      </w:r>
      <w:r w:rsidR="00F0066D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victims’ </w:t>
      </w:r>
      <w:r w:rsidR="00D555CF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eligibility, </w:t>
      </w:r>
      <w:r w:rsidR="00D555C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the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type of reparation </w:t>
      </w:r>
      <w:r w:rsidR="009D32D7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to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be provided </w:t>
      </w:r>
      <w:r w:rsidR="00950C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i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n each case</w:t>
      </w:r>
      <w:r w:rsidR="00F0066D">
        <w:rPr>
          <w:rFonts w:ascii="Times New Roman" w:eastAsia="Cambria" w:hAnsi="Times New Roman" w:cs="Times New Roman"/>
          <w:i/>
          <w:sz w:val="24"/>
          <w:szCs w:val="24"/>
          <w:lang w:val="en-US"/>
        </w:rPr>
        <w:t>, and victims’ participation in the procedures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? Please make reference to examples </w:t>
      </w:r>
      <w:r w:rsidR="009D32D7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where such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legal framework </w:t>
      </w:r>
      <w:r w:rsidR="009D32D7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is applied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and indicate if there are obstacles 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to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9D32D7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its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implementation. Do you consider that the national legal framework takes into account international legal standards?</w:t>
      </w:r>
    </w:p>
    <w:p w14:paraId="00000027" w14:textId="77777777" w:rsidR="004F1941" w:rsidRPr="004C7202" w:rsidRDefault="004F1941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</w:p>
    <w:p w14:paraId="00000028" w14:textId="2611DF2E" w:rsidR="004F1941" w:rsidRPr="004C7202" w:rsidRDefault="005F7868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 xml:space="preserve">4. </w:t>
      </w:r>
      <w:r w:rsidR="00662DC1"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Guarantees of non-recurrence</w:t>
      </w:r>
    </w:p>
    <w:p w14:paraId="00000029" w14:textId="77777777" w:rsidR="004F1941" w:rsidRPr="004C7202" w:rsidRDefault="004F1941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</w:p>
    <w:p w14:paraId="0B1B7AE5" w14:textId="4F01D27E" w:rsidR="00335C7F" w:rsidRPr="004C7202" w:rsidRDefault="00256F80" w:rsidP="00335C7F">
      <w:pPr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>Please indicate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what measures 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were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put in place 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in the country </w:t>
      </w:r>
      <w:r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where you work 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to advance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institutional 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and legal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reform 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to ensure non-recurrence of past violations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in the </w:t>
      </w:r>
      <w:r w:rsidR="00755BFE">
        <w:rPr>
          <w:rFonts w:ascii="Times New Roman" w:eastAsia="Cambria" w:hAnsi="Times New Roman" w:cs="Times New Roman"/>
          <w:i/>
          <w:sz w:val="24"/>
          <w:szCs w:val="24"/>
          <w:lang w:val="en-US"/>
        </w:rPr>
        <w:t>context</w:t>
      </w:r>
      <w:r w:rsidR="00755BFE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of transitional justice processes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, and the legal framework (</w:t>
      </w:r>
      <w:r w:rsidR="00107AD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laws, decrees or other legal sources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) regulating them.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Please refer to reform measures in all branches of government, including the armed forces.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In your experience, which guarantees of non-re</w:t>
      </w:r>
      <w:r w:rsidR="00EC18BE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currence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proved 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most effective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at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preventing gross violations of human rights and serious violations of international humanitarian law</w:t>
      </w:r>
      <w:r w:rsidR="00EC18BE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, </w:t>
      </w:r>
      <w:r w:rsidR="00932A36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and how does the applicable legal framework facilitate such processes</w:t>
      </w:r>
      <w:r w:rsidR="00335C7F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? </w:t>
      </w:r>
    </w:p>
    <w:p w14:paraId="0000002C" w14:textId="77777777" w:rsidR="004F1941" w:rsidRPr="004C7202" w:rsidRDefault="004F1941">
      <w:pPr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</w:p>
    <w:p w14:paraId="0000002E" w14:textId="13F5071D" w:rsidR="004F1941" w:rsidRPr="004C7202" w:rsidRDefault="005F7868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  <w:r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 xml:space="preserve">5. </w:t>
      </w:r>
      <w:r w:rsidR="00662DC1" w:rsidRPr="004C720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Memor</w:t>
      </w:r>
      <w:r w:rsidR="00755BFE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ialization</w:t>
      </w:r>
    </w:p>
    <w:p w14:paraId="0000002F" w14:textId="77777777" w:rsidR="004F1941" w:rsidRPr="004C7202" w:rsidRDefault="004F1941">
      <w:pPr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</w:pPr>
    </w:p>
    <w:p w14:paraId="00000033" w14:textId="776ED462" w:rsidR="004F1941" w:rsidRPr="004C7202" w:rsidRDefault="00FB183C" w:rsidP="009F15F0">
      <w:pPr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Please indicate 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wh</w:t>
      </w:r>
      <w:r w:rsidR="00EE2338">
        <w:rPr>
          <w:rFonts w:ascii="Times New Roman" w:eastAsia="Cambria" w:hAnsi="Times New Roman" w:cs="Times New Roman"/>
          <w:i/>
          <w:sz w:val="24"/>
          <w:szCs w:val="24"/>
          <w:lang w:val="en-US"/>
        </w:rPr>
        <w:t>ich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legal framework</w:t>
      </w:r>
      <w:r w:rsidR="005F7868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(laws, decrees or other legal sources)</w:t>
      </w:r>
      <w:r w:rsidR="00EE2338">
        <w:rPr>
          <w:rFonts w:ascii="Times New Roman" w:eastAsia="Cambria" w:hAnsi="Times New Roman" w:cs="Times New Roman"/>
          <w:i/>
          <w:sz w:val="24"/>
          <w:szCs w:val="24"/>
          <w:lang w:val="en-US"/>
        </w:rPr>
        <w:t>, if any,</w:t>
      </w:r>
      <w:r w:rsidR="005F7868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EE2338">
        <w:rPr>
          <w:rFonts w:ascii="Times New Roman" w:eastAsia="Cambria" w:hAnsi="Times New Roman" w:cs="Times New Roman"/>
          <w:i/>
          <w:sz w:val="24"/>
          <w:szCs w:val="24"/>
          <w:lang w:val="en-US"/>
        </w:rPr>
        <w:t>regulates</w:t>
      </w:r>
      <w:r w:rsidR="00EE2338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memor</w:t>
      </w:r>
      <w:r w:rsidR="00755BFE">
        <w:rPr>
          <w:rFonts w:ascii="Times New Roman" w:eastAsia="Cambria" w:hAnsi="Times New Roman" w:cs="Times New Roman"/>
          <w:i/>
          <w:sz w:val="24"/>
          <w:szCs w:val="24"/>
          <w:lang w:val="en-US"/>
        </w:rPr>
        <w:t>ialization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processes </w:t>
      </w:r>
      <w:r w:rsidR="005F7868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undertaken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a</w:t>
      </w:r>
      <w:r w:rsidR="005F7868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part of transitional justice</w:t>
      </w:r>
      <w:r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in the country where you work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, and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its main characteristics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.</w:t>
      </w:r>
      <w:r w:rsidR="005F7868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Please make reference to examples </w:t>
      </w:r>
      <w:r w:rsidR="00E72B8C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where such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legal framework </w:t>
      </w:r>
      <w:r w:rsidR="00C01525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is applied 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and indicate if there are obstacles </w:t>
      </w:r>
      <w:r w:rsidR="00107AD6">
        <w:rPr>
          <w:rFonts w:ascii="Times New Roman" w:eastAsia="Cambria" w:hAnsi="Times New Roman" w:cs="Times New Roman"/>
          <w:i/>
          <w:sz w:val="24"/>
          <w:szCs w:val="24"/>
          <w:lang w:val="en-US"/>
        </w:rPr>
        <w:t>to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C01525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>its</w:t>
      </w:r>
      <w:r w:rsidR="00662DC1" w:rsidRPr="004C7202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implementation. Do you consider that the national legal framework takes into account international legal standards?</w:t>
      </w:r>
    </w:p>
    <w:p w14:paraId="00000039" w14:textId="77777777" w:rsidR="004F1941" w:rsidRPr="004C7202" w:rsidRDefault="004F1941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sectPr w:rsidR="004F1941" w:rsidRPr="004C7202" w:rsidSect="009F15F0">
      <w:pgSz w:w="11909" w:h="16834"/>
      <w:pgMar w:top="454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640F" w14:textId="77777777" w:rsidR="00BB70A3" w:rsidRDefault="00BB70A3" w:rsidP="00BB70A3">
      <w:pPr>
        <w:spacing w:line="240" w:lineRule="auto"/>
      </w:pPr>
      <w:r>
        <w:separator/>
      </w:r>
    </w:p>
  </w:endnote>
  <w:endnote w:type="continuationSeparator" w:id="0">
    <w:p w14:paraId="5E055D1F" w14:textId="77777777" w:rsidR="00BB70A3" w:rsidRDefault="00BB70A3" w:rsidP="00BB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7C0ED" w14:textId="77777777" w:rsidR="00BB70A3" w:rsidRDefault="00BB70A3" w:rsidP="00BB70A3">
      <w:pPr>
        <w:spacing w:line="240" w:lineRule="auto"/>
      </w:pPr>
      <w:r>
        <w:separator/>
      </w:r>
    </w:p>
  </w:footnote>
  <w:footnote w:type="continuationSeparator" w:id="0">
    <w:p w14:paraId="67466C4A" w14:textId="77777777" w:rsidR="00BB70A3" w:rsidRDefault="00BB70A3" w:rsidP="00BB7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119B7"/>
    <w:rsid w:val="000D197E"/>
    <w:rsid w:val="00107AD6"/>
    <w:rsid w:val="00131A1C"/>
    <w:rsid w:val="00142E73"/>
    <w:rsid w:val="00145EEB"/>
    <w:rsid w:val="00250A79"/>
    <w:rsid w:val="00256F80"/>
    <w:rsid w:val="00271898"/>
    <w:rsid w:val="0033107C"/>
    <w:rsid w:val="00335C7F"/>
    <w:rsid w:val="004417E5"/>
    <w:rsid w:val="00480C83"/>
    <w:rsid w:val="0049050B"/>
    <w:rsid w:val="004C2592"/>
    <w:rsid w:val="004C7202"/>
    <w:rsid w:val="004F1941"/>
    <w:rsid w:val="005F23AC"/>
    <w:rsid w:val="005F7868"/>
    <w:rsid w:val="006027A5"/>
    <w:rsid w:val="00620EC6"/>
    <w:rsid w:val="00662DC1"/>
    <w:rsid w:val="00665EE9"/>
    <w:rsid w:val="00755BFE"/>
    <w:rsid w:val="00783157"/>
    <w:rsid w:val="00816A8D"/>
    <w:rsid w:val="008569F2"/>
    <w:rsid w:val="00932A36"/>
    <w:rsid w:val="0094174D"/>
    <w:rsid w:val="00950CEB"/>
    <w:rsid w:val="009D32D7"/>
    <w:rsid w:val="009F15F0"/>
    <w:rsid w:val="009F30AF"/>
    <w:rsid w:val="00A21D1B"/>
    <w:rsid w:val="00A400CD"/>
    <w:rsid w:val="00A87745"/>
    <w:rsid w:val="00B3126E"/>
    <w:rsid w:val="00B64FF8"/>
    <w:rsid w:val="00B73CC6"/>
    <w:rsid w:val="00BB70A3"/>
    <w:rsid w:val="00C01525"/>
    <w:rsid w:val="00CA0FE6"/>
    <w:rsid w:val="00CA4229"/>
    <w:rsid w:val="00CE768F"/>
    <w:rsid w:val="00D555CF"/>
    <w:rsid w:val="00DA4B2A"/>
    <w:rsid w:val="00DD73B5"/>
    <w:rsid w:val="00E3115A"/>
    <w:rsid w:val="00E53455"/>
    <w:rsid w:val="00E649D1"/>
    <w:rsid w:val="00E72736"/>
    <w:rsid w:val="00E72B8C"/>
    <w:rsid w:val="00EB2F92"/>
    <w:rsid w:val="00EC18BE"/>
    <w:rsid w:val="00EE1913"/>
    <w:rsid w:val="00EE2338"/>
    <w:rsid w:val="00F0066D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73AB3"/>
  <w15:docId w15:val="{D9A9B97A-4250-144B-82D5-E4FCEA7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0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A3"/>
  </w:style>
  <w:style w:type="paragraph" w:styleId="Footer">
    <w:name w:val="footer"/>
    <w:basedOn w:val="Normal"/>
    <w:link w:val="FooterChar"/>
    <w:uiPriority w:val="99"/>
    <w:unhideWhenUsed/>
    <w:rsid w:val="00BB70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hchr-srtruthcalls@u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y@ohch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VUKOVIC Brenda</dc:creator>
  <cp:lastModifiedBy>BV</cp:lastModifiedBy>
  <cp:revision>9</cp:revision>
  <dcterms:created xsi:type="dcterms:W3CDTF">2022-11-16T14:27:00Z</dcterms:created>
  <dcterms:modified xsi:type="dcterms:W3CDTF">2022-12-06T18:31:00Z</dcterms:modified>
</cp:coreProperties>
</file>