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EE" w:rsidRDefault="009D6E1B">
      <w:pPr>
        <w:pStyle w:val="LO-normal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>
            <wp:extent cx="2009140" cy="79121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EE" w:rsidRDefault="004369EE">
      <w:pPr>
        <w:pStyle w:val="LO-normal"/>
        <w:jc w:val="center"/>
        <w:rPr>
          <w:sz w:val="24"/>
          <w:szCs w:val="24"/>
        </w:rPr>
      </w:pPr>
    </w:p>
    <w:p w:rsidR="004369EE" w:rsidRDefault="009D6E1B">
      <w:pPr>
        <w:pStyle w:val="LO-normal"/>
        <w:jc w:val="right"/>
        <w:rPr>
          <w:i/>
        </w:rPr>
      </w:pPr>
      <w:r>
        <w:rPr>
          <w:i/>
          <w:sz w:val="24"/>
          <w:szCs w:val="24"/>
        </w:rPr>
        <w:t>Delivered by Mr Sacha Feierabend</w:t>
      </w:r>
    </w:p>
    <w:p w:rsidR="004369EE" w:rsidRDefault="009D6E1B">
      <w:pPr>
        <w:pStyle w:val="LO-normal"/>
        <w:jc w:val="right"/>
        <w:rPr>
          <w:i/>
        </w:rPr>
      </w:pPr>
      <w:r>
        <w:rPr>
          <w:i/>
          <w:sz w:val="24"/>
          <w:szCs w:val="24"/>
        </w:rPr>
        <w:t>Check against delivery</w:t>
      </w:r>
    </w:p>
    <w:p w:rsidR="004369EE" w:rsidRDefault="004369EE">
      <w:pPr>
        <w:pStyle w:val="LO-normal"/>
      </w:pPr>
    </w:p>
    <w:p w:rsidR="004369EE" w:rsidRDefault="009D6E1B">
      <w:pPr>
        <w:pStyle w:val="LO-normal"/>
        <w:rPr>
          <w:b/>
        </w:rPr>
      </w:pPr>
      <w:r>
        <w:rPr>
          <w:b/>
        </w:rPr>
        <w:t>Eight session of the OIEGWG – Legally binding instrument on business and human rights</w:t>
      </w:r>
    </w:p>
    <w:p w:rsidR="004369EE" w:rsidRDefault="009D6E1B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Article 9</w:t>
      </w:r>
    </w:p>
    <w:p w:rsidR="004369EE" w:rsidRDefault="004369EE">
      <w:pPr>
        <w:pStyle w:val="LO-normal"/>
        <w:jc w:val="both"/>
        <w:rPr>
          <w:rFonts w:ascii="Roboto Light" w:eastAsia="Roboto Light" w:hAnsi="Roboto Light" w:cs="Roboto Light"/>
        </w:rPr>
      </w:pPr>
    </w:p>
    <w:p w:rsidR="004369EE" w:rsidRDefault="009D6E1B">
      <w:pPr>
        <w:pStyle w:val="BodyText"/>
        <w:jc w:val="both"/>
        <w:rPr>
          <w:rFonts w:ascii="Roboto Light" w:eastAsia="Roboto Light" w:hAnsi="Roboto Light" w:cs="Roboto Light"/>
        </w:rPr>
      </w:pPr>
      <w:bookmarkStart w:id="1" w:name="docs-internal-guid-07345776-7fff-8583-b1"/>
      <w:bookmarkEnd w:id="1"/>
      <w:r>
        <w:rPr>
          <w:rFonts w:ascii="Arial" w:eastAsia="Roboto Medium" w:hAnsi="Arial" w:cs="Roboto Medium"/>
          <w:color w:val="000000"/>
          <w:sz w:val="22"/>
        </w:rPr>
        <w:t>Thank you, Mister Chair.</w:t>
      </w:r>
    </w:p>
    <w:p w:rsidR="004369EE" w:rsidRDefault="009D6E1B">
      <w:pPr>
        <w:pStyle w:val="BodyText"/>
        <w:spacing w:before="240" w:after="240" w:line="331" w:lineRule="auto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color w:val="000000"/>
          <w:sz w:val="22"/>
        </w:rPr>
        <w:t>FIDH reaffirms its position that the Third Revised Draft (as commented on</w:t>
      </w:r>
      <w:r>
        <w:rPr>
          <w:rFonts w:ascii="Arial" w:hAnsi="Arial"/>
          <w:color w:val="000000"/>
          <w:sz w:val="22"/>
        </w:rPr>
        <w:t xml:space="preserve"> by states) remains the basis for negotiation and supports States which have made interventions in this direction.</w:t>
      </w:r>
    </w:p>
    <w:p w:rsidR="004369EE" w:rsidRDefault="009D6E1B">
      <w:pPr>
        <w:pStyle w:val="BodyText"/>
        <w:spacing w:after="0" w:line="288" w:lineRule="auto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color w:val="000000"/>
          <w:sz w:val="22"/>
        </w:rPr>
        <w:t>A robust article on jurisdiction setting clear, common international rules is critical for access to remedy of victims. In this respect, we r</w:t>
      </w:r>
      <w:r>
        <w:rPr>
          <w:rFonts w:ascii="Arial" w:hAnsi="Arial"/>
          <w:color w:val="000000"/>
          <w:sz w:val="22"/>
        </w:rPr>
        <w:t>emind that the chances that victims will engage in so-called “forum shopping” or lead to a multiplication of cases if this LBI is adopted are extremely low, given the limited means and huge challenges in access to justice for victims.</w:t>
      </w:r>
    </w:p>
    <w:p w:rsidR="004369EE" w:rsidRDefault="004369EE">
      <w:pPr>
        <w:pStyle w:val="BodyText"/>
        <w:rPr>
          <w:rFonts w:ascii="Roboto Light" w:eastAsia="Roboto Light" w:hAnsi="Roboto Light" w:cs="Roboto Light"/>
        </w:rPr>
      </w:pPr>
    </w:p>
    <w:p w:rsidR="004369EE" w:rsidRDefault="009D6E1B">
      <w:pPr>
        <w:pStyle w:val="BodyText"/>
        <w:spacing w:after="0" w:line="288" w:lineRule="auto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color w:val="000000"/>
          <w:sz w:val="22"/>
          <w:u w:val="single"/>
        </w:rPr>
        <w:t xml:space="preserve">On Article 9 of the </w:t>
      </w:r>
      <w:r>
        <w:rPr>
          <w:rFonts w:ascii="Arial" w:hAnsi="Arial"/>
          <w:color w:val="000000"/>
          <w:sz w:val="22"/>
          <w:u w:val="single"/>
        </w:rPr>
        <w:t>Third Revised Draft Treaty we suggest the following:</w:t>
      </w:r>
    </w:p>
    <w:p w:rsidR="004369EE" w:rsidRDefault="004369EE">
      <w:pPr>
        <w:pStyle w:val="BodyText"/>
        <w:rPr>
          <w:rFonts w:ascii="Roboto Light" w:eastAsia="Roboto Light" w:hAnsi="Roboto Light" w:cs="Roboto Light"/>
        </w:rPr>
      </w:pPr>
    </w:p>
    <w:p w:rsidR="004369EE" w:rsidRDefault="009D6E1B">
      <w:pPr>
        <w:pStyle w:val="BodyText"/>
        <w:numPr>
          <w:ilvl w:val="0"/>
          <w:numId w:val="1"/>
        </w:numPr>
        <w:tabs>
          <w:tab w:val="left" w:pos="709"/>
        </w:tabs>
        <w:spacing w:after="200" w:line="331" w:lineRule="auto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color w:val="000000"/>
          <w:sz w:val="22"/>
        </w:rPr>
        <w:t>Article 9.1 (b) makes a reference to “contributing” which can be potentially limiting, in that it would leave out instances of direct causation. “</w:t>
      </w:r>
      <w:r>
        <w:rPr>
          <w:rFonts w:ascii="Arial" w:hAnsi="Arial"/>
          <w:i/>
          <w:color w:val="000000"/>
          <w:sz w:val="22"/>
        </w:rPr>
        <w:t>Causing</w:t>
      </w:r>
      <w:r>
        <w:rPr>
          <w:rFonts w:ascii="Arial" w:hAnsi="Arial"/>
          <w:color w:val="000000"/>
          <w:sz w:val="22"/>
        </w:rPr>
        <w:t xml:space="preserve">” should be added, to use the same language as </w:t>
      </w:r>
      <w:r>
        <w:rPr>
          <w:rFonts w:ascii="Arial" w:hAnsi="Arial"/>
          <w:color w:val="000000"/>
          <w:sz w:val="22"/>
        </w:rPr>
        <w:t>Article 9.1(c) which correctly uses “</w:t>
      </w:r>
      <w:r>
        <w:rPr>
          <w:rFonts w:ascii="Arial" w:hAnsi="Arial"/>
          <w:i/>
          <w:color w:val="000000"/>
          <w:sz w:val="22"/>
        </w:rPr>
        <w:t>causing or contributing</w:t>
      </w:r>
      <w:r>
        <w:rPr>
          <w:rFonts w:ascii="Arial" w:hAnsi="Arial"/>
          <w:color w:val="000000"/>
          <w:sz w:val="22"/>
        </w:rPr>
        <w:t>”. </w:t>
      </w:r>
    </w:p>
    <w:p w:rsidR="004369EE" w:rsidRDefault="009D6E1B">
      <w:pPr>
        <w:pStyle w:val="BodyText"/>
        <w:numPr>
          <w:ilvl w:val="0"/>
          <w:numId w:val="1"/>
        </w:numPr>
        <w:tabs>
          <w:tab w:val="left" w:pos="709"/>
        </w:tabs>
        <w:spacing w:after="200" w:line="331" w:lineRule="auto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color w:val="000000"/>
          <w:sz w:val="22"/>
        </w:rPr>
        <w:t>We also support Palestine and Egypt’s suggestion to add the term “</w:t>
      </w:r>
      <w:r>
        <w:rPr>
          <w:rFonts w:ascii="Arial" w:hAnsi="Arial"/>
          <w:i/>
          <w:color w:val="000000"/>
          <w:sz w:val="22"/>
        </w:rPr>
        <w:t xml:space="preserve">violation” </w:t>
      </w:r>
      <w:r>
        <w:rPr>
          <w:rFonts w:ascii="Arial" w:hAnsi="Arial"/>
          <w:color w:val="000000"/>
          <w:sz w:val="22"/>
        </w:rPr>
        <w:t>in the text. </w:t>
      </w:r>
    </w:p>
    <w:p w:rsidR="004369EE" w:rsidRDefault="009D6E1B">
      <w:pPr>
        <w:pStyle w:val="BodyText"/>
        <w:numPr>
          <w:ilvl w:val="0"/>
          <w:numId w:val="1"/>
        </w:numPr>
        <w:tabs>
          <w:tab w:val="left" w:pos="709"/>
        </w:tabs>
        <w:spacing w:after="200" w:line="331" w:lineRule="auto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color w:val="000000"/>
          <w:sz w:val="22"/>
        </w:rPr>
        <w:t xml:space="preserve">Art. 9.3 which seeks to avoid dismissal of cases on the basis of the </w:t>
      </w:r>
      <w:r>
        <w:rPr>
          <w:rFonts w:ascii="Arial" w:hAnsi="Arial"/>
          <w:i/>
          <w:color w:val="000000"/>
          <w:sz w:val="22"/>
        </w:rPr>
        <w:t xml:space="preserve">forum non </w:t>
      </w:r>
      <w:proofErr w:type="spellStart"/>
      <w:r>
        <w:rPr>
          <w:rFonts w:ascii="Arial" w:hAnsi="Arial"/>
          <w:i/>
          <w:color w:val="000000"/>
          <w:sz w:val="22"/>
        </w:rPr>
        <w:t>conveniens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doctrine is</w:t>
      </w:r>
      <w:r>
        <w:rPr>
          <w:rFonts w:ascii="Arial" w:hAnsi="Arial"/>
          <w:color w:val="000000"/>
          <w:sz w:val="22"/>
        </w:rPr>
        <w:t xml:space="preserve"> extremely important. We support Mexico’s suggestion, however, to use the somewhat more straightforward and simple formulation of the Second Revised Draft:</w:t>
      </w:r>
    </w:p>
    <w:p w:rsidR="004369EE" w:rsidRDefault="009D6E1B">
      <w:pPr>
        <w:pStyle w:val="BodyText"/>
        <w:spacing w:after="200" w:line="331" w:lineRule="auto"/>
        <w:ind w:left="1440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i/>
          <w:color w:val="000000"/>
          <w:sz w:val="22"/>
        </w:rPr>
        <w:t xml:space="preserve">State Parties shall ensure that the doctrine of forum non </w:t>
      </w:r>
      <w:proofErr w:type="spellStart"/>
      <w:r>
        <w:rPr>
          <w:rFonts w:ascii="Arial" w:hAnsi="Arial"/>
          <w:i/>
          <w:color w:val="000000"/>
          <w:sz w:val="22"/>
        </w:rPr>
        <w:t>conveniens</w:t>
      </w:r>
      <w:proofErr w:type="spellEnd"/>
      <w:r>
        <w:rPr>
          <w:rFonts w:ascii="Arial" w:hAnsi="Arial"/>
          <w:i/>
          <w:color w:val="000000"/>
          <w:sz w:val="22"/>
        </w:rPr>
        <w:t xml:space="preserve"> is not used by their courts to </w:t>
      </w:r>
      <w:r>
        <w:rPr>
          <w:rFonts w:ascii="Arial" w:hAnsi="Arial"/>
          <w:i/>
          <w:color w:val="000000"/>
          <w:sz w:val="22"/>
        </w:rPr>
        <w:t>dismiss legitimate judicial proceedings brought by victims.</w:t>
      </w:r>
    </w:p>
    <w:p w:rsidR="004369EE" w:rsidRDefault="009D6E1B">
      <w:pPr>
        <w:pStyle w:val="BodyText"/>
        <w:numPr>
          <w:ilvl w:val="0"/>
          <w:numId w:val="2"/>
        </w:numPr>
        <w:tabs>
          <w:tab w:val="left" w:pos="709"/>
        </w:tabs>
        <w:spacing w:after="200" w:line="331" w:lineRule="auto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color w:val="000000"/>
          <w:sz w:val="22"/>
        </w:rPr>
        <w:t xml:space="preserve">Regarding 9.5, we suggest making the list of grounds non limitative by replacing “as follows” by “such as” and enlarging the grounds in article </w:t>
      </w:r>
      <w:proofErr w:type="gramStart"/>
      <w:r>
        <w:rPr>
          <w:rFonts w:ascii="Arial" w:hAnsi="Arial"/>
          <w:color w:val="000000"/>
          <w:sz w:val="22"/>
        </w:rPr>
        <w:t>9.5.c  by</w:t>
      </w:r>
      <w:proofErr w:type="gramEnd"/>
      <w:r>
        <w:rPr>
          <w:rFonts w:ascii="Arial" w:hAnsi="Arial"/>
          <w:color w:val="000000"/>
          <w:sz w:val="22"/>
        </w:rPr>
        <w:t xml:space="preserve"> modifying “a substantial activity” by </w:t>
      </w:r>
      <w:r>
        <w:rPr>
          <w:rFonts w:ascii="Arial" w:hAnsi="Arial"/>
          <w:color w:val="000000"/>
          <w:sz w:val="22"/>
        </w:rPr>
        <w:t>“some activity” in 9.5.c. This would read as follows:</w:t>
      </w:r>
    </w:p>
    <w:p w:rsidR="004369EE" w:rsidRDefault="009D6E1B">
      <w:pPr>
        <w:pStyle w:val="BodyText"/>
        <w:spacing w:after="0" w:line="331" w:lineRule="auto"/>
        <w:ind w:left="1440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i/>
          <w:color w:val="000000"/>
          <w:sz w:val="22"/>
        </w:rPr>
        <w:t>Courts shall have jurisdiction over claims against legal or natural persons not domiciled in the territory of the forum State if no other effective forum guaranteeing a fair trial judicial process is av</w:t>
      </w:r>
      <w:r>
        <w:rPr>
          <w:rFonts w:ascii="Arial" w:hAnsi="Arial"/>
          <w:i/>
          <w:color w:val="000000"/>
          <w:sz w:val="22"/>
        </w:rPr>
        <w:t>ailable and there is a connection to the State Party concerned,</w:t>
      </w:r>
      <w:r>
        <w:rPr>
          <w:rFonts w:ascii="Arial" w:hAnsi="Arial"/>
          <w:strike/>
          <w:color w:val="000000"/>
        </w:rPr>
        <w:t xml:space="preserve"> </w:t>
      </w:r>
      <w:r>
        <w:rPr>
          <w:rFonts w:ascii="Arial" w:hAnsi="Arial"/>
          <w:b/>
          <w:i/>
          <w:strike/>
          <w:color w:val="000000"/>
          <w:sz w:val="22"/>
        </w:rPr>
        <w:t>as follows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i/>
          <w:color w:val="000000"/>
          <w:sz w:val="22"/>
        </w:rPr>
        <w:t>such as:</w:t>
      </w:r>
    </w:p>
    <w:p w:rsidR="004369EE" w:rsidRDefault="009D6E1B">
      <w:pPr>
        <w:pStyle w:val="BodyText"/>
        <w:spacing w:after="0" w:line="331" w:lineRule="auto"/>
        <w:ind w:left="1440" w:firstLine="720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i/>
          <w:color w:val="000000"/>
          <w:sz w:val="22"/>
        </w:rPr>
        <w:t>a. the presence of the claimant on the territory of the forum;</w:t>
      </w:r>
    </w:p>
    <w:p w:rsidR="004369EE" w:rsidRDefault="009D6E1B">
      <w:pPr>
        <w:pStyle w:val="BodyText"/>
        <w:spacing w:after="0" w:line="331" w:lineRule="auto"/>
        <w:ind w:left="1440" w:firstLine="720"/>
        <w:jc w:val="both"/>
        <w:rPr>
          <w:rFonts w:ascii="Roboto Light" w:eastAsia="Roboto Light" w:hAnsi="Roboto Light" w:cs="Roboto Light"/>
        </w:rPr>
      </w:pPr>
      <w:r>
        <w:rPr>
          <w:rFonts w:ascii="Arial" w:hAnsi="Arial"/>
          <w:i/>
          <w:color w:val="000000"/>
          <w:sz w:val="22"/>
        </w:rPr>
        <w:t>b. the presence of assets of the defendant; or</w:t>
      </w:r>
    </w:p>
    <w:p w:rsidR="004369EE" w:rsidRDefault="009D6E1B">
      <w:pPr>
        <w:pStyle w:val="BodyText"/>
        <w:rPr>
          <w:rFonts w:ascii="Roboto Light" w:eastAsia="Roboto Light" w:hAnsi="Roboto Light" w:cs="Roboto Light"/>
        </w:rPr>
      </w:pPr>
      <w:r>
        <w:rPr>
          <w:rFonts w:ascii="Arial" w:hAnsi="Arial"/>
          <w:i/>
          <w:color w:val="000000"/>
          <w:sz w:val="22"/>
        </w:rPr>
        <w:t xml:space="preserve">c. </w:t>
      </w:r>
      <w:r>
        <w:rPr>
          <w:rFonts w:ascii="Arial" w:hAnsi="Arial"/>
          <w:b/>
          <w:i/>
          <w:color w:val="000000"/>
          <w:sz w:val="22"/>
        </w:rPr>
        <w:t>some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i/>
          <w:strike/>
          <w:color w:val="000000"/>
          <w:sz w:val="22"/>
        </w:rPr>
        <w:t>a substantial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  <w:sz w:val="22"/>
        </w:rPr>
        <w:t>activity of the defendant</w:t>
      </w:r>
    </w:p>
    <w:sectPr w:rsidR="004369EE">
      <w:pgSz w:w="11906" w:h="16838"/>
      <w:pgMar w:top="737" w:right="907" w:bottom="907" w:left="907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1"/>
    <w:family w:val="roman"/>
    <w:pitch w:val="variable"/>
  </w:font>
  <w:font w:name="Roboto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765C"/>
    <w:multiLevelType w:val="multilevel"/>
    <w:tmpl w:val="F93AC00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4551077F"/>
    <w:multiLevelType w:val="multilevel"/>
    <w:tmpl w:val="9AE49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710A4F"/>
    <w:multiLevelType w:val="multilevel"/>
    <w:tmpl w:val="375E59F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EE"/>
    <w:rsid w:val="004369EE"/>
    <w:rsid w:val="009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AB250-6A72-4F46-8316-6F06DF4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Titre"/>
    <w:next w:val="BodyText"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 Despeaux</dc:creator>
  <dc:description/>
  <cp:lastModifiedBy>Paula Subia</cp:lastModifiedBy>
  <cp:revision>2</cp:revision>
  <dcterms:created xsi:type="dcterms:W3CDTF">2022-11-24T15:08:00Z</dcterms:created>
  <dcterms:modified xsi:type="dcterms:W3CDTF">2022-11-24T15:08:00Z</dcterms:modified>
  <dc:language>fr-FR</dc:language>
</cp:coreProperties>
</file>