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7B8A" w:rsidRDefault="00DE7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jfq3fxxo5hq5" w:colFirst="0" w:colLast="0"/>
      <w:bookmarkStart w:id="1" w:name="_GoBack"/>
      <w:bookmarkEnd w:id="0"/>
      <w:bookmarkEnd w:id="1"/>
    </w:p>
    <w:p w14:paraId="00000002" w14:textId="77777777" w:rsidR="00DE7B8A" w:rsidRDefault="00F50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okow6jgd0ric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Gracias Sr. Presidente, me llamo Moisés Borges y hablo en nombre de Movimiento de Afectados por Represas,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Campesina y miembros de la Campaña Mundial.</w:t>
      </w:r>
    </w:p>
    <w:p w14:paraId="00000003" w14:textId="77777777" w:rsidR="00DE7B8A" w:rsidRDefault="00DE7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jkxql6jw4le" w:colFirst="0" w:colLast="0"/>
      <w:bookmarkEnd w:id="3"/>
    </w:p>
    <w:p w14:paraId="00000004" w14:textId="77777777" w:rsidR="00DE7B8A" w:rsidRDefault="00F50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primer lugar, quiero enfatizar que el Borrador 3 es el único documento representativo de las negociaciones entre Estados y legitimo para servir de base para esa 8 sesión. Nos complace observar una adición, en el artículo 7.1, que reconoce los obstáculos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los que se enfrentan las comunidades afectadas, las mujeres y los grupos marginados para acceder a los recursos. Sin embargo, proponemos algunos cambios:</w:t>
      </w:r>
    </w:p>
    <w:p w14:paraId="00000005" w14:textId="77777777" w:rsidR="00DE7B8A" w:rsidRDefault="00DE7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E7B8A" w:rsidRDefault="00F5002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Enmienda 7.1:</w:t>
      </w:r>
    </w:p>
    <w:p w14:paraId="00000007" w14:textId="77777777" w:rsidR="00DE7B8A" w:rsidRDefault="00F5002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Estados Partes dotarán a sus tribunales y mecanismos no judiciales estatales de </w:t>
      </w:r>
      <w:r>
        <w:rPr>
          <w:rFonts w:ascii="Times New Roman" w:eastAsia="Times New Roman" w:hAnsi="Times New Roman" w:cs="Times New Roman"/>
          <w:sz w:val="24"/>
          <w:szCs w:val="24"/>
        </w:rPr>
        <w:t>los conocimientos técnicos necesarios, de conformidad con el presente (Instrumento Jurídicamente Vinculante), para que las víctimas ́ las personas y comunidades afectadas puedan acceder al debido proceso, a recursos adecuados, oportunos y eficaces y al 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eso a la justicia, y para que superen los obstáculos específicos a los que se enfrentan las mujeres, las personas y los grupos vulnerables y marginados para acceder a dichos mecanismos y recursos.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 uso y el acceso a los mecanismos no judiciales no debe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omprometer el acceso de los titulares de derechos a los mecanismos judiciales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DE7B8A" w:rsidRDefault="00DE7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E7B8A" w:rsidRDefault="00F50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Apoyamos la propuesta de Palestina de añadir un nuevo párrafo 7.1.bis para garantizar los mecanismos de reparación que los Estados deben aplicar en consulta con las comunidades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afectadas, mecanismos que deben ser transparentes y libres de la influencia de las </w:t>
      </w: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>empresas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causaron la violación. Al igual que la redacción más amplia del 7.2 propuesta por Palestina.</w:t>
      </w:r>
    </w:p>
    <w:p w14:paraId="0000000A" w14:textId="77777777" w:rsidR="00DE7B8A" w:rsidRDefault="00DE7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E7B8A" w:rsidRDefault="00F50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También acogemos apoyamos la inclusión del artículo 7.3.d que imp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el uso de la doctrina 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conveniens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como se hicieran en el caso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Chevron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/Texaco en EUA. Sin embargo, proponemos que se elimine la expresión "casos apropiados de abusos de los derechos humanos", que es demasiado vaga y abierta a la interpreta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ción. El encabezamiento de este mismo apartado debe redactarse de acuerdo con el derecho nacional e internacional, prevaleciendo el más beneficioso para los afectados y las afectadas. Así proponemos mantener la propuesta de Palestina en 7.3d, hablar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"ac</w:t>
      </w:r>
      <w:r>
        <w:rPr>
          <w:rFonts w:ascii="Times New Roman" w:eastAsia="Times New Roman" w:hAnsi="Times New Roman" w:cs="Times New Roman"/>
          <w:sz w:val="24"/>
          <w:szCs w:val="24"/>
        </w:rPr>
        <w:t>tividades comerciales de carácter transnacional" para estar en consonancia con la resolución 26/9.</w:t>
      </w:r>
    </w:p>
    <w:p w14:paraId="0000000C" w14:textId="77777777" w:rsidR="00DE7B8A" w:rsidRDefault="00F50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este artículo es importante seguir </w:t>
      </w: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>avanzando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la Tratado para obligar al Estado a adecuar su sistema jurídico a los estándares definidos en el futuro 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atado. La prohibición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un tema clave para esa agenda, que no puede quedar afuera como se presenta en la “propuesta informal”. </w:t>
      </w:r>
    </w:p>
    <w:p w14:paraId="0000000D" w14:textId="77777777" w:rsidR="00DE7B8A" w:rsidRDefault="00F50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DE7B8A" w:rsidRDefault="00F50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Gracias</w:t>
      </w:r>
    </w:p>
    <w:sectPr w:rsidR="00DE7B8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A"/>
    <w:rsid w:val="00DE7B8A"/>
    <w:rsid w:val="00F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F5FB6-5B52-4891-A5BA-114AD30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SUBIA Maria Paula</dc:creator>
  <cp:lastModifiedBy>Paula Subia</cp:lastModifiedBy>
  <cp:revision>2</cp:revision>
  <dcterms:created xsi:type="dcterms:W3CDTF">2022-11-24T14:49:00Z</dcterms:created>
  <dcterms:modified xsi:type="dcterms:W3CDTF">2022-11-24T14:49:00Z</dcterms:modified>
</cp:coreProperties>
</file>