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565B3" w:rsidRDefault="00F43CCB">
      <w:pPr>
        <w:ind w:firstLine="700"/>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Artículo 15</w:t>
      </w:r>
    </w:p>
    <w:p w14:paraId="00000002" w14:textId="77777777" w:rsidR="00E565B3" w:rsidRDefault="00E565B3">
      <w:pPr>
        <w:ind w:firstLine="700"/>
        <w:jc w:val="both"/>
        <w:rPr>
          <w:rFonts w:ascii="Times New Roman" w:eastAsia="Times New Roman" w:hAnsi="Times New Roman" w:cs="Times New Roman"/>
          <w:sz w:val="24"/>
          <w:szCs w:val="24"/>
        </w:rPr>
      </w:pPr>
    </w:p>
    <w:p w14:paraId="00000003" w14:textId="77777777" w:rsidR="00E565B3" w:rsidRDefault="00F43CCB">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Gracias señor Presidente.</w:t>
      </w:r>
    </w:p>
    <w:p w14:paraId="00000004" w14:textId="77777777" w:rsidR="00E565B3" w:rsidRDefault="00F43CCB">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Mi nombre es Juliette Renaud, hablo en nombre de Amigos de la Tierra Francia y Amigos de la Tierra Internacional, miembros de la Campaña Global.</w:t>
      </w:r>
    </w:p>
    <w:p w14:paraId="00000005" w14:textId="77777777" w:rsidR="00E565B3" w:rsidRDefault="00E565B3">
      <w:pPr>
        <w:ind w:firstLine="700"/>
        <w:jc w:val="both"/>
        <w:rPr>
          <w:rFonts w:ascii="Times New Roman" w:eastAsia="Times New Roman" w:hAnsi="Times New Roman" w:cs="Times New Roman"/>
          <w:sz w:val="24"/>
          <w:szCs w:val="24"/>
        </w:rPr>
      </w:pPr>
    </w:p>
    <w:p w14:paraId="00000006" w14:textId="77777777" w:rsidR="00E565B3" w:rsidRDefault="00F43CCB">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 voy a referir al artículo 15, manteniendo la necesidad de establecer, como garantía de la eficacia de este tratado, un Tribunal Internacional sobre Empresas Transnacionales y Derechos Humanos, en complemento del rol de las cortes nacionales.</w:t>
      </w:r>
      <w:r>
        <w:rPr>
          <w:rFonts w:ascii="Times New Roman" w:eastAsia="Times New Roman" w:hAnsi="Times New Roman" w:cs="Times New Roman"/>
          <w:sz w:val="24"/>
          <w:szCs w:val="24"/>
        </w:rPr>
        <w:br/>
      </w:r>
    </w:p>
    <w:p w14:paraId="00000007" w14:textId="77777777" w:rsidR="00E565B3" w:rsidRDefault="00F43CCB">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Tribu</w:t>
      </w:r>
      <w:r>
        <w:rPr>
          <w:rFonts w:ascii="Times New Roman" w:eastAsia="Times New Roman" w:hAnsi="Times New Roman" w:cs="Times New Roman"/>
          <w:sz w:val="24"/>
          <w:szCs w:val="24"/>
        </w:rPr>
        <w:t>nal es necesario y perfectamente posible:</w:t>
      </w:r>
    </w:p>
    <w:p w14:paraId="00000008" w14:textId="77777777" w:rsidR="00E565B3" w:rsidRDefault="00F43CCB">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Primero, no es la primera vez que se discute esta cuestión. Lo propuso Australia en 1947 en el ECOSOC y lo propuso Francia en el debate respecto de la Corte Penal Internacional. En aquella ocasión la propuesta</w:t>
      </w:r>
      <w:r>
        <w:rPr>
          <w:rFonts w:ascii="Times New Roman" w:eastAsia="Times New Roman" w:hAnsi="Times New Roman" w:cs="Times New Roman"/>
          <w:sz w:val="24"/>
          <w:szCs w:val="24"/>
        </w:rPr>
        <w:t xml:space="preserve"> de Francia que habría otorgado a la CPI jurisdicción no solo sobre personas físicas, sino también sobre personas jurídicas. Como es bien sabido, no hubo consenso en aquel momento porque un amplio número de países todavía no reconocían la responsabilidad p</w:t>
      </w:r>
      <w:r>
        <w:rPr>
          <w:rFonts w:ascii="Times New Roman" w:eastAsia="Times New Roman" w:hAnsi="Times New Roman" w:cs="Times New Roman"/>
          <w:sz w:val="24"/>
          <w:szCs w:val="24"/>
        </w:rPr>
        <w:t>enal de las personas jurídicas. Sin embargo, con el paso de los años, esto está cambiando rápidamente ; ;</w:t>
      </w:r>
      <w:r>
        <w:rPr>
          <w:rFonts w:ascii="Times New Roman" w:eastAsia="Times New Roman" w:hAnsi="Times New Roman" w:cs="Times New Roman"/>
          <w:sz w:val="24"/>
          <w:szCs w:val="24"/>
        </w:rPr>
        <w:br/>
      </w:r>
    </w:p>
    <w:p w14:paraId="00000009" w14:textId="77777777" w:rsidR="00E565B3" w:rsidRDefault="00F43CCB">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Segundo, ya existen Tribunales con jurisdicción sobre personas jurídicas, como el Tribunal Internacional del Derecho del Mar; existen incluso pr</w:t>
      </w:r>
      <w:r>
        <w:rPr>
          <w:rFonts w:ascii="Times New Roman" w:eastAsia="Times New Roman" w:hAnsi="Times New Roman" w:cs="Times New Roman"/>
          <w:sz w:val="24"/>
          <w:szCs w:val="24"/>
        </w:rPr>
        <w:t>opuestas avanzadas de textos concretos, como la elaborada por distintas académicas y titulada: Tribunal Mundial de Derechos Humanos, al que se le atribuye jurisdicción sobre las Entidades empresariales.</w:t>
      </w:r>
      <w:r>
        <w:rPr>
          <w:rFonts w:ascii="Times New Roman" w:eastAsia="Times New Roman" w:hAnsi="Times New Roman" w:cs="Times New Roman"/>
          <w:sz w:val="24"/>
          <w:szCs w:val="24"/>
        </w:rPr>
        <w:br/>
      </w:r>
    </w:p>
    <w:p w14:paraId="0000000A" w14:textId="77777777" w:rsidR="00E565B3" w:rsidRDefault="00F43CCB">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una de las razones que consideramos fundamen</w:t>
      </w:r>
      <w:r>
        <w:rPr>
          <w:rFonts w:ascii="Times New Roman" w:eastAsia="Times New Roman" w:hAnsi="Times New Roman" w:cs="Times New Roman"/>
          <w:sz w:val="24"/>
          <w:szCs w:val="24"/>
        </w:rPr>
        <w:t>tales para sostener la necesidad de un Tribunal es la asimetría normativa. En el marco normativo del derecho comercial, los Tratados bilaterales de Inversión en concreto, existen instrumentos que aun sin serlo, actúan de facto como tribunales asegurando la</w:t>
      </w:r>
      <w:r>
        <w:rPr>
          <w:rFonts w:ascii="Times New Roman" w:eastAsia="Times New Roman" w:hAnsi="Times New Roman" w:cs="Times New Roman"/>
          <w:sz w:val="24"/>
          <w:szCs w:val="24"/>
        </w:rPr>
        <w:t xml:space="preserve"> total aplicabilidad de estos tratados, cuya eficacia está muy por encima de los tratados de derechos humanos.</w:t>
      </w:r>
      <w:r>
        <w:rPr>
          <w:rFonts w:ascii="Times New Roman" w:eastAsia="Times New Roman" w:hAnsi="Times New Roman" w:cs="Times New Roman"/>
          <w:sz w:val="24"/>
          <w:szCs w:val="24"/>
        </w:rPr>
        <w:br/>
      </w:r>
    </w:p>
    <w:p w14:paraId="0000000B" w14:textId="77777777" w:rsidR="00E565B3" w:rsidRDefault="00F43CCB">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es importante recordar que la propuesta de Tribunal de la Campaña Global fue incluida en el “Documento de elementos” de 2017, donde se i</w:t>
      </w:r>
      <w:r>
        <w:rPr>
          <w:rFonts w:ascii="Times New Roman" w:eastAsia="Times New Roman" w:hAnsi="Times New Roman" w:cs="Times New Roman"/>
          <w:sz w:val="24"/>
          <w:szCs w:val="24"/>
        </w:rPr>
        <w:t>ncluyó como propuesta la creación de una Corte Internacional sobre Empresas Transnacionales y Derechos Humanos o establecer una sala especial sobre Empresas Transnacionales en cortes internacionales o regionales ya existentes. En la misma línea, en 2016, e</w:t>
      </w:r>
      <w:r>
        <w:rPr>
          <w:rFonts w:ascii="Times New Roman" w:eastAsia="Times New Roman" w:hAnsi="Times New Roman" w:cs="Times New Roman"/>
          <w:sz w:val="24"/>
          <w:szCs w:val="24"/>
        </w:rPr>
        <w:t>l anterior Presidente del Grupo de trabajo abogó por la creación de una "Corte Mundial de Empresas y Derechos Humanos". Todo esto ha desaparecido del texto actual, dejando el futuro tratado sin garantías reales para su aplicación.</w:t>
      </w:r>
      <w:r>
        <w:rPr>
          <w:rFonts w:ascii="Times New Roman" w:eastAsia="Times New Roman" w:hAnsi="Times New Roman" w:cs="Times New Roman"/>
          <w:sz w:val="24"/>
          <w:szCs w:val="24"/>
        </w:rPr>
        <w:br/>
      </w:r>
    </w:p>
    <w:p w14:paraId="0000000C" w14:textId="77777777" w:rsidR="00E565B3" w:rsidRDefault="00F43CCB">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la Campaña Global </w:t>
      </w:r>
      <w:r>
        <w:rPr>
          <w:rFonts w:ascii="Times New Roman" w:eastAsia="Times New Roman" w:hAnsi="Times New Roman" w:cs="Times New Roman"/>
          <w:sz w:val="24"/>
          <w:szCs w:val="24"/>
        </w:rPr>
        <w:t xml:space="preserve">publicamos un “Documento de elementos” que analiza y expone la idea de </w:t>
      </w:r>
      <w:proofErr w:type="spellStart"/>
      <w:r>
        <w:rPr>
          <w:rFonts w:ascii="Times New Roman" w:eastAsia="Times New Roman" w:hAnsi="Times New Roman" w:cs="Times New Roman"/>
          <w:sz w:val="24"/>
          <w:szCs w:val="24"/>
        </w:rPr>
        <w:t>como</w:t>
      </w:r>
      <w:proofErr w:type="spellEnd"/>
      <w:r>
        <w:rPr>
          <w:rFonts w:ascii="Times New Roman" w:eastAsia="Times New Roman" w:hAnsi="Times New Roman" w:cs="Times New Roman"/>
          <w:sz w:val="24"/>
          <w:szCs w:val="24"/>
        </w:rPr>
        <w:t xml:space="preserve"> funcionaría este Tribunal, cuáles serían sus competencias, su </w:t>
      </w:r>
      <w:r>
        <w:rPr>
          <w:rFonts w:ascii="Times New Roman" w:eastAsia="Times New Roman" w:hAnsi="Times New Roman" w:cs="Times New Roman"/>
          <w:sz w:val="24"/>
          <w:szCs w:val="24"/>
        </w:rPr>
        <w:lastRenderedPageBreak/>
        <w:t>jurisdicción, y cuáles serían los mecanismos de acceso a reparación para las personas y comunidades afectadas. Además,</w:t>
      </w:r>
      <w:r>
        <w:rPr>
          <w:rFonts w:ascii="Times New Roman" w:eastAsia="Times New Roman" w:hAnsi="Times New Roman" w:cs="Times New Roman"/>
          <w:sz w:val="24"/>
          <w:szCs w:val="24"/>
        </w:rPr>
        <w:t xml:space="preserve"> en nuestro documento se recoge el funcionamiento del Centro internacional de monitoreo de las transnacionales que acompañe y complemente el funcionamiento del Tribunal internacional.</w:t>
      </w:r>
      <w:r>
        <w:rPr>
          <w:rFonts w:ascii="Times New Roman" w:eastAsia="Times New Roman" w:hAnsi="Times New Roman" w:cs="Times New Roman"/>
          <w:sz w:val="24"/>
          <w:szCs w:val="24"/>
        </w:rPr>
        <w:br/>
      </w:r>
    </w:p>
    <w:p w14:paraId="0000000D" w14:textId="77777777" w:rsidR="00E565B3" w:rsidRDefault="00F43CCB">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tiempo para desarrollar su contenido, voy a destacar dos puntos cla</w:t>
      </w:r>
      <w:r>
        <w:rPr>
          <w:rFonts w:ascii="Times New Roman" w:eastAsia="Times New Roman" w:hAnsi="Times New Roman" w:cs="Times New Roman"/>
          <w:sz w:val="24"/>
          <w:szCs w:val="24"/>
        </w:rPr>
        <w:t>ve:</w:t>
      </w:r>
    </w:p>
    <w:p w14:paraId="0000000E" w14:textId="77777777" w:rsidR="00E565B3" w:rsidRDefault="00F43CCB">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La actuación del Tribunal se rige por el principio de complementariedad de las jurisdicciones nacionales, quedando igualmente claro en el texto que el Tribunal actuará si el Estado o los Estados concernidos no actúan convenientemente.</w:t>
      </w:r>
      <w:r>
        <w:rPr>
          <w:rFonts w:ascii="Times New Roman" w:eastAsia="Times New Roman" w:hAnsi="Times New Roman" w:cs="Times New Roman"/>
          <w:sz w:val="24"/>
          <w:szCs w:val="24"/>
        </w:rPr>
        <w:br/>
      </w:r>
    </w:p>
    <w:p w14:paraId="0000000F" w14:textId="77777777" w:rsidR="00E565B3" w:rsidRDefault="00F43CCB">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El tri</w:t>
      </w:r>
      <w:r>
        <w:rPr>
          <w:rFonts w:ascii="Times New Roman" w:eastAsia="Times New Roman" w:hAnsi="Times New Roman" w:cs="Times New Roman"/>
          <w:sz w:val="24"/>
          <w:szCs w:val="24"/>
        </w:rPr>
        <w:t>bunal tendrá jurisdicción sobre las transnacionales como personas jurídicas, así como sobre las personas físicas que las dirigen para proteger los derechos humanos y la naturaleza según el ámbito material establecido en Tratado frente a las violaciones com</w:t>
      </w:r>
      <w:r>
        <w:rPr>
          <w:rFonts w:ascii="Times New Roman" w:eastAsia="Times New Roman" w:hAnsi="Times New Roman" w:cs="Times New Roman"/>
          <w:sz w:val="24"/>
          <w:szCs w:val="24"/>
        </w:rPr>
        <w:t>etidas por las empresas transnacionales y el conjunto de entidades que conforman sus cadenas globales de producción, ya ocurran  en los territorios de los Estados Parte del Tratado Vinculante o en los territorios donde estas entidades realizan sus activida</w:t>
      </w:r>
      <w:r>
        <w:rPr>
          <w:rFonts w:ascii="Times New Roman" w:eastAsia="Times New Roman" w:hAnsi="Times New Roman" w:cs="Times New Roman"/>
          <w:sz w:val="24"/>
          <w:szCs w:val="24"/>
        </w:rPr>
        <w:t>des.</w:t>
      </w:r>
      <w:r>
        <w:rPr>
          <w:rFonts w:ascii="Times New Roman" w:eastAsia="Times New Roman" w:hAnsi="Times New Roman" w:cs="Times New Roman"/>
          <w:sz w:val="24"/>
          <w:szCs w:val="24"/>
        </w:rPr>
        <w:br/>
      </w:r>
    </w:p>
    <w:p w14:paraId="00000010" w14:textId="77777777" w:rsidR="00E565B3" w:rsidRDefault="00F43CCB">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Por todas estas razones, porque el derecho internacional debe dotarse de dispositivos que garanticen su eficacia frente a los poderes públicos y privados, la Campaña ha propuesto un Tribunal para permitir que las personas y comunidades afectadas ten</w:t>
      </w:r>
      <w:r>
        <w:rPr>
          <w:rFonts w:ascii="Times New Roman" w:eastAsia="Times New Roman" w:hAnsi="Times New Roman" w:cs="Times New Roman"/>
          <w:sz w:val="24"/>
          <w:szCs w:val="24"/>
        </w:rPr>
        <w:t>gan acceso a una instancia judicial internacional que garantice su derecho al acceso a la justicia y a la reparación.</w:t>
      </w:r>
    </w:p>
    <w:p w14:paraId="00000011" w14:textId="77777777" w:rsidR="00E565B3" w:rsidRDefault="00E565B3">
      <w:pPr>
        <w:ind w:firstLine="700"/>
        <w:jc w:val="both"/>
        <w:rPr>
          <w:rFonts w:ascii="Times New Roman" w:eastAsia="Times New Roman" w:hAnsi="Times New Roman" w:cs="Times New Roman"/>
          <w:sz w:val="24"/>
          <w:szCs w:val="24"/>
        </w:rPr>
      </w:pPr>
    </w:p>
    <w:p w14:paraId="00000012" w14:textId="77777777" w:rsidR="00E565B3" w:rsidRDefault="00F43CCB">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Muchas gracias</w:t>
      </w:r>
    </w:p>
    <w:p w14:paraId="00000013" w14:textId="77777777" w:rsidR="00E565B3" w:rsidRDefault="00E565B3"/>
    <w:sectPr w:rsidR="00E565B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B3"/>
    <w:rsid w:val="00E565B3"/>
    <w:rsid w:val="00F4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6FC8F-7A30-4C72-AFD1-96320616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SUBIA Maria Paula</dc:creator>
  <cp:lastModifiedBy>Paula Subia</cp:lastModifiedBy>
  <cp:revision>2</cp:revision>
  <dcterms:created xsi:type="dcterms:W3CDTF">2022-11-24T14:36:00Z</dcterms:created>
  <dcterms:modified xsi:type="dcterms:W3CDTF">2022-11-24T14:36:00Z</dcterms:modified>
</cp:coreProperties>
</file>