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STATEMENT ARTÍCULO 1</w:t>
      </w:r>
    </w:p>
    <w:p w14:paraId="00000002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00000003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Buenas tardes a todas y a todos,</w:t>
      </w:r>
    </w:p>
    <w:p w14:paraId="00000004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00000005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Mi nombre es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Letícia Paranhos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y hablo en nombre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 Amigos de la Tierra Internacional, somos miembros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de la Campaña Global. El artículo 1 y las definiciones son clave para la eficacia del documento, pues dictan el alcance y el tono del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futuro tratado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14:paraId="00000006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7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Sobre la definición de víctimas, apoyamos la propuesta de Camerún y Palestina de agregar comunidades y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pueblos afectados.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Este término subraya mejor el protagonismo de las personas afectadas y es una demanda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de larga data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de los movimientos de la sociedad civil organizada. La propuesta de Estados Unidos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de cambiar el termino victimas por right holders no ti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ene sentido, es un tratado de derechos humanos, no de derecho privado.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Apoyamos a Mexico en mantener la mención a victimas indirectas.  </w:t>
      </w:r>
    </w:p>
    <w:p w14:paraId="00000008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9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Asimismo, rechazamos la propuesta de Brasil de sacar a grupos de personas como víctimas. El carácter colectivo de eso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 derechos son reconocidos en el derecho internacional de los derechos humanos desde el Pacto DESC de 1966. Así lo entiende, el sistema interamericano y su relatoría REDESCA e incluso en la legislación interna de Brasil. Esta propuesta deja aún más vulnera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bles a las comunidades afectadas.  </w:t>
      </w:r>
    </w:p>
    <w:p w14:paraId="0000000A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B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No reconocemos en qué momento se definió que el uso de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abuses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era pacífico y consensuado, visto que siempre hubo oposición por parte de Estados y de la sociedad civil.</w:t>
      </w:r>
    </w:p>
    <w:p w14:paraId="0000000C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D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 propuesta de Brasil de agregar “serious and sub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stantive damages” y cambiar in the context por in connection with es preocupante, porque deja margen para que algun daño o violación de derechos humanos sea tolerada, lo que es imposible visto que son inegociables.  </w:t>
      </w:r>
    </w:p>
    <w:p w14:paraId="0000000E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0F" w14:textId="77777777" w:rsidR="004B2A9A" w:rsidRDefault="00110DB3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Es importante resaltar que las empresa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 transnacionales tienen obligaciones internacionales en materia de derechos humanos y son capaces de violar esos derechos debido a su carácter erga omnes, algo ya firmado en el derecho internacional de los derechos humanos y por los sistemas regionales de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protección, en especial la Corte Interamericana, de la cual hacen parte Mexico, Chile y Brasil, de forma que no entendemos por que proponen tal distinción. </w:t>
      </w:r>
    </w:p>
    <w:p w14:paraId="00000010" w14:textId="77777777" w:rsidR="004B2A9A" w:rsidRDefault="004B2A9A">
      <w:pPr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11" w14:textId="77777777" w:rsidR="004B2A9A" w:rsidRDefault="00110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</w:rPr>
        <w:t>Por fin, es necesario resaltar que 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Instituciones Financieras Internacionales tienen un impacto innegable en el disfrute de los derechos humanos. Por tal, la Campaña Global reitera la necesidad de que el futuro tratado incluya a actores clave como las instituciones financieras en las defini</w:t>
      </w:r>
      <w:r>
        <w:rPr>
          <w:rFonts w:ascii="Times New Roman" w:eastAsia="Times New Roman" w:hAnsi="Times New Roman" w:cs="Times New Roman"/>
          <w:sz w:val="24"/>
          <w:szCs w:val="24"/>
        </w:rPr>
        <w:t>ciones, como propuso Camerún.</w:t>
      </w:r>
    </w:p>
    <w:p w14:paraId="00000012" w14:textId="77777777" w:rsidR="004B2A9A" w:rsidRDefault="004B2A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B2A9A" w:rsidRDefault="00110DB3">
      <w:r>
        <w:t>Muchas gracias</w:t>
      </w:r>
    </w:p>
    <w:sectPr w:rsidR="004B2A9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9A"/>
    <w:rsid w:val="00110DB3"/>
    <w:rsid w:val="004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A8491-73B8-4162-93E1-32D77AEF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2D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qFormat/>
    <w:rsid w:val="00F7722D"/>
  </w:style>
  <w:style w:type="character" w:customStyle="1" w:styleId="t6">
    <w:name w:val="t6"/>
    <w:basedOn w:val="DefaultParagraphFont"/>
    <w:qFormat/>
    <w:rsid w:val="00F7722D"/>
  </w:style>
  <w:style w:type="character" w:customStyle="1" w:styleId="t12">
    <w:name w:val="t12"/>
    <w:basedOn w:val="DefaultParagraphFont"/>
    <w:qFormat/>
    <w:rsid w:val="00F7722D"/>
  </w:style>
  <w:style w:type="paragraph" w:customStyle="1" w:styleId="Textbody">
    <w:name w:val="Text body"/>
    <w:basedOn w:val="Normal"/>
    <w:qFormat/>
    <w:rsid w:val="00F7722D"/>
    <w:pPr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fr-CH"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sFDDTnIMLUlaRddV6FBteXt0w==">AMUW2mV36YEbXspJlmdT0gMVqeNKPTmSxWiUYPkhRY5C62beAX7+ukXvF4W99RlF2ru+xVhJ5yA+P15pyaPxxJHx1jci8acOpsQfMAOoHLaoZSxBrIDEvOoLEtz8LZf4rw2i+VzY7nc6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Soares</dc:creator>
  <cp:lastModifiedBy>Paula Subia</cp:lastModifiedBy>
  <cp:revision>2</cp:revision>
  <dcterms:created xsi:type="dcterms:W3CDTF">2022-11-24T14:42:00Z</dcterms:created>
  <dcterms:modified xsi:type="dcterms:W3CDTF">2022-11-24T14:42:00Z</dcterms:modified>
</cp:coreProperties>
</file>