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6367" w14:textId="77777777" w:rsidR="00AB5F9E" w:rsidRDefault="00FE09B4" w:rsidP="00FE09B4">
      <w:pPr>
        <w:jc w:val="both"/>
        <w:rPr>
          <w:rFonts w:ascii="Arial" w:hAnsi="Arial" w:cs="Arial"/>
          <w:b/>
          <w:sz w:val="32"/>
          <w:szCs w:val="32"/>
          <w:u w:val="single"/>
        </w:rPr>
      </w:pPr>
      <w:bookmarkStart w:id="0" w:name="_GoBack"/>
      <w:bookmarkEnd w:id="0"/>
      <w:r w:rsidRPr="00F904CD">
        <w:rPr>
          <w:rFonts w:ascii="Arial" w:hAnsi="Arial" w:cs="Arial"/>
          <w:b/>
          <w:sz w:val="32"/>
          <w:szCs w:val="32"/>
          <w:u w:val="single"/>
        </w:rPr>
        <w:t xml:space="preserve">OEIGWG </w:t>
      </w:r>
      <w:r w:rsidR="00B87318" w:rsidRPr="00F904CD">
        <w:rPr>
          <w:rFonts w:ascii="Arial" w:hAnsi="Arial" w:cs="Arial"/>
          <w:b/>
          <w:sz w:val="32"/>
          <w:szCs w:val="32"/>
          <w:u w:val="single"/>
        </w:rPr>
        <w:t>2</w:t>
      </w:r>
      <w:r w:rsidR="00F82DAE" w:rsidRPr="00F904CD">
        <w:rPr>
          <w:rFonts w:ascii="Arial" w:hAnsi="Arial" w:cs="Arial"/>
          <w:b/>
          <w:sz w:val="32"/>
          <w:szCs w:val="32"/>
          <w:u w:val="single"/>
        </w:rPr>
        <w:t>4-28</w:t>
      </w:r>
      <w:r w:rsidR="00B87318" w:rsidRPr="00F904CD">
        <w:rPr>
          <w:rFonts w:ascii="Arial" w:hAnsi="Arial" w:cs="Arial"/>
          <w:b/>
          <w:sz w:val="32"/>
          <w:szCs w:val="32"/>
          <w:u w:val="single"/>
        </w:rPr>
        <w:t xml:space="preserve"> </w:t>
      </w:r>
      <w:r w:rsidRPr="00F904CD">
        <w:rPr>
          <w:rFonts w:ascii="Arial" w:hAnsi="Arial" w:cs="Arial"/>
          <w:b/>
          <w:sz w:val="32"/>
          <w:szCs w:val="32"/>
          <w:u w:val="single"/>
        </w:rPr>
        <w:t xml:space="preserve">October </w:t>
      </w:r>
      <w:r w:rsidR="00F82DAE" w:rsidRPr="00F904CD">
        <w:rPr>
          <w:rFonts w:ascii="Arial" w:hAnsi="Arial" w:cs="Arial"/>
          <w:b/>
          <w:sz w:val="32"/>
          <w:szCs w:val="32"/>
          <w:u w:val="single"/>
        </w:rPr>
        <w:t>2022</w:t>
      </w:r>
      <w:r w:rsidR="00B87318" w:rsidRPr="00F904CD">
        <w:rPr>
          <w:rFonts w:ascii="Arial" w:hAnsi="Arial" w:cs="Arial"/>
          <w:b/>
          <w:sz w:val="32"/>
          <w:szCs w:val="32"/>
          <w:u w:val="single"/>
        </w:rPr>
        <w:t xml:space="preserve"> </w:t>
      </w:r>
      <w:r w:rsidRPr="00F904CD">
        <w:rPr>
          <w:rFonts w:ascii="Arial" w:hAnsi="Arial" w:cs="Arial"/>
          <w:b/>
          <w:sz w:val="32"/>
          <w:szCs w:val="32"/>
          <w:u w:val="single"/>
        </w:rPr>
        <w:t xml:space="preserve">- EU </w:t>
      </w:r>
      <w:r w:rsidR="00F82DAE" w:rsidRPr="00F904CD">
        <w:rPr>
          <w:rFonts w:ascii="Arial" w:hAnsi="Arial" w:cs="Arial"/>
          <w:b/>
          <w:sz w:val="32"/>
          <w:szCs w:val="32"/>
          <w:u w:val="single"/>
        </w:rPr>
        <w:t>comments based on EU legislative proposals</w:t>
      </w:r>
    </w:p>
    <w:p w14:paraId="1F9F692C" w14:textId="77777777" w:rsidR="00B50CAB" w:rsidRPr="008C7A93" w:rsidRDefault="00F904CD" w:rsidP="00DA22DC">
      <w:pPr>
        <w:jc w:val="both"/>
        <w:rPr>
          <w:rFonts w:ascii="Arial" w:hAnsi="Arial" w:cs="Arial"/>
          <w:i/>
          <w:lang w:val="en-US"/>
        </w:rPr>
      </w:pPr>
      <w:r w:rsidRPr="008C7A93">
        <w:rPr>
          <w:rFonts w:ascii="Arial" w:hAnsi="Arial" w:cs="Arial"/>
          <w:i/>
          <w:lang w:val="en-US"/>
        </w:rPr>
        <w:t>The following comments aim to inform about relevant developments in the EU and notably the recent legislative proposals in the area of due diligence. They do not represent a negotiating position on behalf of the EU on the draft text.</w:t>
      </w:r>
      <w:r w:rsidR="002F75AB" w:rsidRPr="008C7A93">
        <w:rPr>
          <w:rFonts w:ascii="Arial" w:hAnsi="Arial" w:cs="Arial"/>
          <w:i/>
          <w:lang w:val="en-US"/>
        </w:rPr>
        <w:t xml:space="preserve"> </w:t>
      </w:r>
      <w:r w:rsidR="00B50CAB" w:rsidRPr="008C7A93">
        <w:rPr>
          <w:rFonts w:ascii="Arial" w:hAnsi="Arial" w:cs="Arial"/>
          <w:i/>
        </w:rPr>
        <w:t>The proposals are under legislative procedure and under discussion by the EU co-legislators (European Parliament and Council).</w:t>
      </w:r>
    </w:p>
    <w:p w14:paraId="2FF3ECD1" w14:textId="77777777" w:rsidR="00DD628D" w:rsidRDefault="00DD628D" w:rsidP="00DD628D">
      <w:pPr>
        <w:jc w:val="center"/>
        <w:outlineLvl w:val="0"/>
        <w:rPr>
          <w:rFonts w:ascii="Times New Roman" w:hAnsi="Times New Roman"/>
          <w:b/>
          <w:sz w:val="28"/>
          <w:szCs w:val="28"/>
          <w:lang w:val="en-US"/>
        </w:rPr>
      </w:pPr>
    </w:p>
    <w:p w14:paraId="4E0D2448" w14:textId="51D693E1" w:rsidR="00DD628D" w:rsidRPr="009C172A" w:rsidRDefault="00DD628D" w:rsidP="00DD628D">
      <w:pPr>
        <w:jc w:val="center"/>
        <w:outlineLvl w:val="0"/>
        <w:rPr>
          <w:rFonts w:ascii="Times New Roman" w:hAnsi="Times New Roman"/>
          <w:b/>
          <w:sz w:val="28"/>
          <w:szCs w:val="28"/>
          <w:lang w:val="en-US"/>
        </w:rPr>
      </w:pPr>
      <w:r w:rsidRPr="009C172A">
        <w:rPr>
          <w:rFonts w:ascii="Times New Roman" w:hAnsi="Times New Roman"/>
          <w:b/>
          <w:sz w:val="28"/>
          <w:szCs w:val="28"/>
          <w:lang w:val="en-US"/>
        </w:rPr>
        <w:t xml:space="preserve">- CHECK AGAINST DELIVERY - </w:t>
      </w:r>
    </w:p>
    <w:p w14:paraId="15DA7FF4" w14:textId="77777777" w:rsidR="00DD628D" w:rsidRDefault="00DD628D" w:rsidP="00AD2D02">
      <w:pPr>
        <w:jc w:val="both"/>
        <w:rPr>
          <w:b/>
          <w:sz w:val="32"/>
          <w:szCs w:val="32"/>
        </w:rPr>
      </w:pPr>
    </w:p>
    <w:p w14:paraId="63EC857D" w14:textId="77777777" w:rsidR="00AD2D02" w:rsidRPr="00BA23CF" w:rsidRDefault="00AD2D02" w:rsidP="00AD2D02">
      <w:pPr>
        <w:jc w:val="both"/>
        <w:rPr>
          <w:b/>
          <w:sz w:val="32"/>
          <w:szCs w:val="32"/>
        </w:rPr>
      </w:pPr>
      <w:r>
        <w:rPr>
          <w:b/>
          <w:sz w:val="32"/>
          <w:szCs w:val="32"/>
        </w:rPr>
        <w:t>To be delivered on Tues 25 – Wed 26</w:t>
      </w:r>
      <w:r w:rsidRPr="00BA23CF">
        <w:rPr>
          <w:b/>
          <w:sz w:val="32"/>
          <w:szCs w:val="32"/>
        </w:rPr>
        <w:t xml:space="preserve"> </w:t>
      </w:r>
      <w:r>
        <w:rPr>
          <w:b/>
          <w:sz w:val="32"/>
          <w:szCs w:val="32"/>
        </w:rPr>
        <w:t>(</w:t>
      </w:r>
      <w:r w:rsidRPr="00BA23CF">
        <w:rPr>
          <w:b/>
          <w:sz w:val="32"/>
          <w:szCs w:val="32"/>
        </w:rPr>
        <w:t xml:space="preserve">morning </w:t>
      </w:r>
      <w:r>
        <w:rPr>
          <w:b/>
          <w:sz w:val="32"/>
          <w:szCs w:val="32"/>
        </w:rPr>
        <w:t xml:space="preserve">/ afternoon </w:t>
      </w:r>
      <w:r w:rsidRPr="00BA23CF">
        <w:rPr>
          <w:b/>
          <w:sz w:val="32"/>
          <w:szCs w:val="32"/>
        </w:rPr>
        <w:t>hrs</w:t>
      </w:r>
      <w:r>
        <w:rPr>
          <w:b/>
          <w:sz w:val="32"/>
          <w:szCs w:val="32"/>
        </w:rPr>
        <w:t>)</w:t>
      </w:r>
      <w:r w:rsidRPr="00BA23CF">
        <w:rPr>
          <w:b/>
          <w:sz w:val="32"/>
          <w:szCs w:val="32"/>
        </w:rPr>
        <w:t xml:space="preserve">: </w:t>
      </w:r>
    </w:p>
    <w:p w14:paraId="03C9FA42" w14:textId="77777777" w:rsidR="00F904CD" w:rsidRPr="003D7F5C" w:rsidRDefault="00F904CD" w:rsidP="003D7F5C">
      <w:pPr>
        <w:spacing w:line="360" w:lineRule="auto"/>
        <w:jc w:val="both"/>
        <w:rPr>
          <w:rFonts w:ascii="Arial" w:hAnsi="Arial" w:cs="Arial"/>
          <w:b/>
          <w:sz w:val="24"/>
          <w:szCs w:val="24"/>
          <w:lang w:val="en-US"/>
        </w:rPr>
      </w:pPr>
      <w:r w:rsidRPr="003D7F5C">
        <w:rPr>
          <w:rFonts w:ascii="Arial" w:hAnsi="Arial" w:cs="Arial"/>
          <w:b/>
          <w:sz w:val="24"/>
          <w:szCs w:val="24"/>
          <w:lang w:val="en-US"/>
        </w:rPr>
        <w:t>Article 6. Prevention</w:t>
      </w:r>
    </w:p>
    <w:p w14:paraId="76927464" w14:textId="17EF5FE4" w:rsidR="00FB5590" w:rsidRPr="003D7F5C" w:rsidRDefault="00FB5590" w:rsidP="003D7F5C">
      <w:pPr>
        <w:spacing w:line="360" w:lineRule="auto"/>
        <w:jc w:val="both"/>
        <w:rPr>
          <w:rFonts w:ascii="Arial" w:hAnsi="Arial" w:cs="Arial"/>
          <w:sz w:val="24"/>
          <w:szCs w:val="24"/>
        </w:rPr>
      </w:pPr>
      <w:r w:rsidRPr="003D7F5C">
        <w:rPr>
          <w:rFonts w:ascii="Arial" w:hAnsi="Arial" w:cs="Arial"/>
          <w:sz w:val="24"/>
          <w:szCs w:val="24"/>
        </w:rPr>
        <w:t xml:space="preserve">With the caveat that this does not represent a negotiating position on behalf of the EU, the EU would like to provide some comments on the issue of prevention on the basis of the recent legislative proposal by the European Commission for a </w:t>
      </w:r>
      <w:hyperlink r:id="rId8" w:history="1">
        <w:r w:rsidRPr="00272798">
          <w:rPr>
            <w:rStyle w:val="Hyperlink"/>
            <w:rFonts w:ascii="Arial" w:hAnsi="Arial" w:cs="Arial"/>
            <w:sz w:val="24"/>
            <w:szCs w:val="24"/>
          </w:rPr>
          <w:t>Directive on Corporate Sustainability Due Diligence</w:t>
        </w:r>
      </w:hyperlink>
      <w:r w:rsidRPr="003D7F5C">
        <w:rPr>
          <w:rFonts w:ascii="Arial" w:hAnsi="Arial" w:cs="Arial"/>
          <w:sz w:val="24"/>
          <w:szCs w:val="24"/>
        </w:rPr>
        <w:t xml:space="preserve">. </w:t>
      </w:r>
    </w:p>
    <w:p w14:paraId="6B8805EE" w14:textId="375F4C4D" w:rsidR="00F904CD" w:rsidRPr="003D7F5C" w:rsidRDefault="00F904CD" w:rsidP="003D7F5C">
      <w:pPr>
        <w:spacing w:line="360" w:lineRule="auto"/>
        <w:jc w:val="both"/>
        <w:rPr>
          <w:rFonts w:ascii="Arial" w:hAnsi="Arial" w:cs="Arial"/>
          <w:sz w:val="24"/>
          <w:szCs w:val="24"/>
        </w:rPr>
      </w:pPr>
      <w:r w:rsidRPr="003D7F5C">
        <w:rPr>
          <w:rFonts w:ascii="Arial" w:hAnsi="Arial" w:cs="Arial"/>
          <w:sz w:val="24"/>
          <w:szCs w:val="24"/>
        </w:rPr>
        <w:t xml:space="preserve">The </w:t>
      </w:r>
      <w:r w:rsidR="00503B88" w:rsidRPr="003D7F5C">
        <w:rPr>
          <w:rFonts w:ascii="Arial" w:hAnsi="Arial" w:cs="Arial"/>
          <w:sz w:val="24"/>
          <w:szCs w:val="24"/>
        </w:rPr>
        <w:t xml:space="preserve">European Commission’s Proposal for a Directive on CSDD lies down </w:t>
      </w:r>
      <w:r w:rsidR="00DD2680" w:rsidRPr="003D7F5C">
        <w:rPr>
          <w:rFonts w:ascii="Arial" w:hAnsi="Arial" w:cs="Arial"/>
          <w:sz w:val="24"/>
          <w:szCs w:val="24"/>
        </w:rPr>
        <w:t xml:space="preserve">a </w:t>
      </w:r>
      <w:r w:rsidRPr="003D7F5C">
        <w:rPr>
          <w:rFonts w:ascii="Arial" w:hAnsi="Arial" w:cs="Arial"/>
          <w:sz w:val="24"/>
          <w:szCs w:val="24"/>
        </w:rPr>
        <w:t xml:space="preserve">mandatory legal framework for corporate due diligence in the value chain as </w:t>
      </w:r>
      <w:r w:rsidRPr="003D7F5C">
        <w:rPr>
          <w:rFonts w:ascii="Arial" w:hAnsi="Arial" w:cs="Arial"/>
          <w:sz w:val="24"/>
          <w:szCs w:val="24"/>
        </w:rPr>
        <w:lastRenderedPageBreak/>
        <w:t>a</w:t>
      </w:r>
      <w:r w:rsidR="00DD2680" w:rsidRPr="003D7F5C">
        <w:rPr>
          <w:rFonts w:ascii="Arial" w:hAnsi="Arial" w:cs="Arial"/>
          <w:sz w:val="24"/>
          <w:szCs w:val="24"/>
        </w:rPr>
        <w:t>n effective</w:t>
      </w:r>
      <w:r w:rsidRPr="003D7F5C">
        <w:rPr>
          <w:rFonts w:ascii="Arial" w:hAnsi="Arial" w:cs="Arial"/>
          <w:sz w:val="24"/>
          <w:szCs w:val="24"/>
        </w:rPr>
        <w:t xml:space="preserve"> tool for identifying, preventing, mitigating and accounting for adverse human rights</w:t>
      </w:r>
      <w:r w:rsidR="00C820CB">
        <w:rPr>
          <w:rFonts w:ascii="Arial" w:hAnsi="Arial" w:cs="Arial"/>
          <w:sz w:val="24"/>
          <w:szCs w:val="24"/>
        </w:rPr>
        <w:t xml:space="preserve"> impacts</w:t>
      </w:r>
      <w:r w:rsidRPr="003D7F5C">
        <w:rPr>
          <w:rFonts w:ascii="Arial" w:hAnsi="Arial" w:cs="Arial"/>
          <w:sz w:val="24"/>
          <w:szCs w:val="24"/>
        </w:rPr>
        <w:t xml:space="preserve">, </w:t>
      </w:r>
      <w:r w:rsidR="006501BF" w:rsidRPr="003D7F5C">
        <w:rPr>
          <w:rFonts w:ascii="Arial" w:hAnsi="Arial" w:cs="Arial"/>
          <w:sz w:val="24"/>
          <w:szCs w:val="24"/>
        </w:rPr>
        <w:t xml:space="preserve">and </w:t>
      </w:r>
      <w:r w:rsidR="00DD2680" w:rsidRPr="003D7F5C">
        <w:rPr>
          <w:rFonts w:ascii="Arial" w:hAnsi="Arial" w:cs="Arial"/>
          <w:sz w:val="24"/>
          <w:szCs w:val="24"/>
        </w:rPr>
        <w:t xml:space="preserve">for </w:t>
      </w:r>
      <w:r w:rsidRPr="003D7F5C">
        <w:rPr>
          <w:rFonts w:ascii="Arial" w:hAnsi="Arial" w:cs="Arial"/>
          <w:sz w:val="24"/>
          <w:szCs w:val="24"/>
        </w:rPr>
        <w:t>having adequate governance, management systems and measures in place to this end.</w:t>
      </w:r>
    </w:p>
    <w:p w14:paraId="5C5860FD" w14:textId="5996DE98" w:rsidR="00F904CD" w:rsidRPr="003D7F5C" w:rsidRDefault="00F904CD" w:rsidP="003D7F5C">
      <w:pPr>
        <w:spacing w:line="360" w:lineRule="auto"/>
        <w:jc w:val="both"/>
        <w:rPr>
          <w:rFonts w:ascii="Arial" w:hAnsi="Arial" w:cs="Arial"/>
          <w:sz w:val="24"/>
          <w:szCs w:val="24"/>
        </w:rPr>
      </w:pPr>
      <w:r w:rsidRPr="003D7F5C">
        <w:rPr>
          <w:rFonts w:ascii="Arial" w:hAnsi="Arial" w:cs="Arial"/>
          <w:sz w:val="24"/>
          <w:szCs w:val="24"/>
        </w:rPr>
        <w:t xml:space="preserve">The Proposal applies the principle of </w:t>
      </w:r>
      <w:r w:rsidRPr="003D7F5C">
        <w:rPr>
          <w:rFonts w:ascii="Arial" w:hAnsi="Arial" w:cs="Arial"/>
          <w:b/>
          <w:sz w:val="24"/>
          <w:szCs w:val="24"/>
        </w:rPr>
        <w:t>proportionality</w:t>
      </w:r>
      <w:r w:rsidR="00503B88" w:rsidRPr="003D7F5C">
        <w:rPr>
          <w:rFonts w:ascii="Arial" w:hAnsi="Arial" w:cs="Arial"/>
          <w:b/>
          <w:sz w:val="24"/>
          <w:szCs w:val="24"/>
        </w:rPr>
        <w:t xml:space="preserve"> in the context of due diligence</w:t>
      </w:r>
      <w:r w:rsidR="00DD2680" w:rsidRPr="003D7F5C">
        <w:rPr>
          <w:rFonts w:ascii="Arial" w:hAnsi="Arial" w:cs="Arial"/>
          <w:b/>
          <w:sz w:val="24"/>
          <w:szCs w:val="24"/>
        </w:rPr>
        <w:t>.</w:t>
      </w:r>
      <w:r w:rsidR="00C60466" w:rsidRPr="003D7F5C">
        <w:rPr>
          <w:rFonts w:ascii="Arial" w:hAnsi="Arial" w:cs="Arial"/>
          <w:sz w:val="24"/>
          <w:szCs w:val="24"/>
        </w:rPr>
        <w:t xml:space="preserve"> </w:t>
      </w:r>
      <w:r w:rsidRPr="003D7F5C">
        <w:rPr>
          <w:rFonts w:ascii="Arial" w:hAnsi="Arial" w:cs="Arial"/>
          <w:sz w:val="24"/>
          <w:szCs w:val="24"/>
        </w:rPr>
        <w:t>The burden on companies stemming from compliance costs, has been adapted to the size, resources available, and the risk profile</w:t>
      </w:r>
      <w:r w:rsidR="009A0D0C" w:rsidRPr="003D7F5C">
        <w:rPr>
          <w:rFonts w:ascii="Arial" w:hAnsi="Arial" w:cs="Arial"/>
          <w:sz w:val="24"/>
          <w:szCs w:val="24"/>
        </w:rPr>
        <w:t>.</w:t>
      </w:r>
    </w:p>
    <w:p w14:paraId="458DA88B" w14:textId="792957EA" w:rsidR="00C60466" w:rsidRPr="003D7F5C" w:rsidRDefault="00DD2680" w:rsidP="003D7F5C">
      <w:pPr>
        <w:spacing w:line="360" w:lineRule="auto"/>
        <w:jc w:val="both"/>
        <w:rPr>
          <w:rFonts w:ascii="Arial" w:hAnsi="Arial" w:cs="Arial"/>
          <w:sz w:val="24"/>
          <w:szCs w:val="24"/>
          <w:lang w:val="en-US"/>
        </w:rPr>
      </w:pPr>
      <w:r w:rsidRPr="003D7F5C">
        <w:rPr>
          <w:rFonts w:ascii="Arial" w:hAnsi="Arial" w:cs="Arial"/>
          <w:sz w:val="24"/>
          <w:szCs w:val="24"/>
          <w:lang w:val="en-US"/>
        </w:rPr>
        <w:t xml:space="preserve">In relation to </w:t>
      </w:r>
      <w:r w:rsidR="00744A1A" w:rsidRPr="003D7F5C">
        <w:rPr>
          <w:rFonts w:ascii="Arial" w:hAnsi="Arial" w:cs="Arial"/>
          <w:sz w:val="24"/>
          <w:szCs w:val="24"/>
          <w:lang w:val="en-US"/>
        </w:rPr>
        <w:t>the Chair’s proposed language for art 6.2</w:t>
      </w:r>
      <w:r w:rsidR="00272798">
        <w:rPr>
          <w:rFonts w:ascii="Arial" w:hAnsi="Arial" w:cs="Arial"/>
          <w:sz w:val="24"/>
          <w:szCs w:val="24"/>
          <w:lang w:val="en-US"/>
        </w:rPr>
        <w:t>,</w:t>
      </w:r>
      <w:r w:rsidR="00744A1A" w:rsidRPr="003D7F5C">
        <w:rPr>
          <w:rFonts w:ascii="Arial" w:hAnsi="Arial" w:cs="Arial"/>
          <w:sz w:val="24"/>
          <w:szCs w:val="24"/>
          <w:lang w:val="en-US"/>
        </w:rPr>
        <w:t xml:space="preserve"> </w:t>
      </w:r>
      <w:r w:rsidRPr="003D7F5C">
        <w:rPr>
          <w:rFonts w:ascii="Arial" w:hAnsi="Arial" w:cs="Arial"/>
          <w:sz w:val="24"/>
          <w:szCs w:val="24"/>
          <w:lang w:val="en-US"/>
        </w:rPr>
        <w:t>t</w:t>
      </w:r>
      <w:r w:rsidR="00F904CD" w:rsidRPr="003D7F5C">
        <w:rPr>
          <w:rFonts w:ascii="Arial" w:hAnsi="Arial" w:cs="Arial"/>
          <w:sz w:val="24"/>
          <w:szCs w:val="24"/>
          <w:lang w:val="en-US"/>
        </w:rPr>
        <w:t xml:space="preserve">he Proposal </w:t>
      </w:r>
      <w:r w:rsidR="00744A1A" w:rsidRPr="003D7F5C">
        <w:rPr>
          <w:rFonts w:ascii="Arial" w:hAnsi="Arial" w:cs="Arial"/>
          <w:sz w:val="24"/>
          <w:szCs w:val="24"/>
          <w:lang w:val="en-US"/>
        </w:rPr>
        <w:t xml:space="preserve">for a Directive on CSDD </w:t>
      </w:r>
      <w:r w:rsidR="00C60466" w:rsidRPr="003D7F5C">
        <w:rPr>
          <w:rFonts w:ascii="Arial" w:hAnsi="Arial" w:cs="Arial"/>
          <w:sz w:val="24"/>
          <w:szCs w:val="24"/>
          <w:lang w:val="en-US"/>
        </w:rPr>
        <w:t xml:space="preserve">sets out the requirement for Member States to designate one or more </w:t>
      </w:r>
      <w:r w:rsidR="00C60466" w:rsidRPr="003D7F5C">
        <w:rPr>
          <w:rFonts w:ascii="Arial" w:hAnsi="Arial" w:cs="Arial"/>
          <w:b/>
          <w:sz w:val="24"/>
          <w:szCs w:val="24"/>
          <w:lang w:val="en-US"/>
        </w:rPr>
        <w:t>national supervisory authorities</w:t>
      </w:r>
      <w:r w:rsidR="00C60466" w:rsidRPr="003D7F5C">
        <w:rPr>
          <w:rFonts w:ascii="Arial" w:hAnsi="Arial" w:cs="Arial"/>
          <w:sz w:val="24"/>
          <w:szCs w:val="24"/>
          <w:lang w:val="en-US"/>
        </w:rPr>
        <w:t xml:space="preserve"> in order to ensure compliance by companies with </w:t>
      </w:r>
      <w:r w:rsidR="00903895" w:rsidRPr="003D7F5C">
        <w:rPr>
          <w:rFonts w:ascii="Arial" w:hAnsi="Arial" w:cs="Arial"/>
          <w:sz w:val="24"/>
          <w:szCs w:val="24"/>
          <w:lang w:val="en-US"/>
        </w:rPr>
        <w:t>their due diligence obligations</w:t>
      </w:r>
      <w:r w:rsidR="00C60466" w:rsidRPr="003D7F5C">
        <w:rPr>
          <w:rFonts w:ascii="Arial" w:hAnsi="Arial" w:cs="Arial"/>
          <w:sz w:val="24"/>
          <w:szCs w:val="24"/>
          <w:lang w:val="en-US"/>
        </w:rPr>
        <w:t xml:space="preserve"> and to exercise the powers of e</w:t>
      </w:r>
      <w:r w:rsidR="00903895" w:rsidRPr="003D7F5C">
        <w:rPr>
          <w:rFonts w:ascii="Arial" w:hAnsi="Arial" w:cs="Arial"/>
          <w:sz w:val="24"/>
          <w:szCs w:val="24"/>
          <w:lang w:val="en-US"/>
        </w:rPr>
        <w:t>nforcement of those obligations</w:t>
      </w:r>
      <w:r w:rsidR="00C60466" w:rsidRPr="003D7F5C">
        <w:rPr>
          <w:rFonts w:ascii="Arial" w:hAnsi="Arial" w:cs="Arial"/>
          <w:sz w:val="24"/>
          <w:szCs w:val="24"/>
          <w:lang w:val="en-US"/>
        </w:rPr>
        <w:t>.</w:t>
      </w:r>
      <w:r w:rsidR="00503B88" w:rsidRPr="003D7F5C">
        <w:rPr>
          <w:rFonts w:ascii="Arial" w:hAnsi="Arial" w:cs="Arial"/>
          <w:sz w:val="24"/>
          <w:szCs w:val="24"/>
          <w:lang w:val="en-US"/>
        </w:rPr>
        <w:t xml:space="preserve"> It foresees the creation of a</w:t>
      </w:r>
      <w:r w:rsidR="00C60466" w:rsidRPr="003D7F5C">
        <w:rPr>
          <w:rFonts w:ascii="Arial" w:hAnsi="Arial" w:cs="Arial"/>
          <w:sz w:val="24"/>
          <w:szCs w:val="24"/>
          <w:lang w:val="en-US"/>
        </w:rPr>
        <w:t xml:space="preserve"> European Net</w:t>
      </w:r>
      <w:r w:rsidR="00903895" w:rsidRPr="003D7F5C">
        <w:rPr>
          <w:rFonts w:ascii="Arial" w:hAnsi="Arial" w:cs="Arial"/>
          <w:sz w:val="24"/>
          <w:szCs w:val="24"/>
          <w:lang w:val="en-US"/>
        </w:rPr>
        <w:t>work of Supervisory Authorities</w:t>
      </w:r>
      <w:r w:rsidR="00503B88" w:rsidRPr="003D7F5C">
        <w:rPr>
          <w:rFonts w:ascii="Arial" w:hAnsi="Arial" w:cs="Arial"/>
          <w:sz w:val="24"/>
          <w:szCs w:val="24"/>
          <w:lang w:val="en-US"/>
        </w:rPr>
        <w:t>.</w:t>
      </w:r>
    </w:p>
    <w:p w14:paraId="6687C625" w14:textId="33BDE8FD" w:rsidR="00C60466" w:rsidRPr="003D7F5C" w:rsidRDefault="00F904CD" w:rsidP="003D7F5C">
      <w:pPr>
        <w:spacing w:before="240" w:line="360" w:lineRule="auto"/>
        <w:jc w:val="both"/>
        <w:rPr>
          <w:rFonts w:ascii="Arial" w:hAnsi="Arial" w:cs="Arial"/>
          <w:sz w:val="24"/>
          <w:szCs w:val="24"/>
          <w:lang w:val="en-US"/>
        </w:rPr>
      </w:pPr>
      <w:r w:rsidRPr="003D7F5C">
        <w:rPr>
          <w:rFonts w:ascii="Arial" w:hAnsi="Arial" w:cs="Arial"/>
          <w:sz w:val="24"/>
          <w:szCs w:val="24"/>
          <w:lang w:val="en-US"/>
        </w:rPr>
        <w:t xml:space="preserve">Natural and legal persons will be entitled to submit </w:t>
      </w:r>
      <w:r w:rsidRPr="003D7F5C">
        <w:rPr>
          <w:rFonts w:ascii="Arial" w:hAnsi="Arial" w:cs="Arial"/>
          <w:b/>
          <w:sz w:val="24"/>
          <w:szCs w:val="24"/>
          <w:lang w:val="en-US"/>
        </w:rPr>
        <w:t>substantiated concerns</w:t>
      </w:r>
      <w:r w:rsidRPr="003D7F5C">
        <w:rPr>
          <w:rFonts w:ascii="Arial" w:hAnsi="Arial" w:cs="Arial"/>
          <w:sz w:val="24"/>
          <w:szCs w:val="24"/>
          <w:lang w:val="en-US"/>
        </w:rPr>
        <w:t xml:space="preserve"> to any supervisory authority when they have reasons to believe, on the basis of objective circumstances, that a company is failing to comply with the national provisions ado</w:t>
      </w:r>
      <w:r w:rsidR="00503B88" w:rsidRPr="003D7F5C">
        <w:rPr>
          <w:rFonts w:ascii="Arial" w:hAnsi="Arial" w:cs="Arial"/>
          <w:sz w:val="24"/>
          <w:szCs w:val="24"/>
          <w:lang w:val="en-US"/>
        </w:rPr>
        <w:t>pted pursuant to the</w:t>
      </w:r>
      <w:r w:rsidR="00C60466" w:rsidRPr="003D7F5C">
        <w:rPr>
          <w:rFonts w:ascii="Arial" w:hAnsi="Arial" w:cs="Arial"/>
          <w:sz w:val="24"/>
          <w:szCs w:val="24"/>
          <w:lang w:val="en-US"/>
        </w:rPr>
        <w:t xml:space="preserve"> Directive.</w:t>
      </w:r>
    </w:p>
    <w:p w14:paraId="01C957A1" w14:textId="421EA0AC" w:rsidR="00F904CD" w:rsidRPr="003D7F5C" w:rsidRDefault="008C75AC" w:rsidP="003D7F5C">
      <w:pPr>
        <w:spacing w:line="360" w:lineRule="auto"/>
        <w:jc w:val="both"/>
        <w:rPr>
          <w:rFonts w:ascii="Arial" w:hAnsi="Arial" w:cs="Arial"/>
          <w:sz w:val="24"/>
          <w:szCs w:val="24"/>
        </w:rPr>
      </w:pPr>
      <w:r w:rsidRPr="003D7F5C">
        <w:rPr>
          <w:rFonts w:ascii="Arial" w:hAnsi="Arial" w:cs="Arial"/>
          <w:sz w:val="24"/>
          <w:szCs w:val="24"/>
        </w:rPr>
        <w:t>With reference to Art 6.4 of the 3</w:t>
      </w:r>
      <w:r w:rsidRPr="003D7F5C">
        <w:rPr>
          <w:rFonts w:ascii="Arial" w:hAnsi="Arial" w:cs="Arial"/>
          <w:sz w:val="24"/>
          <w:szCs w:val="24"/>
          <w:vertAlign w:val="superscript"/>
        </w:rPr>
        <w:t>rd</w:t>
      </w:r>
      <w:r w:rsidRPr="003D7F5C">
        <w:rPr>
          <w:rFonts w:ascii="Arial" w:hAnsi="Arial" w:cs="Arial"/>
          <w:sz w:val="24"/>
          <w:szCs w:val="24"/>
        </w:rPr>
        <w:t xml:space="preserve"> draft of the LBI, t</w:t>
      </w:r>
      <w:r w:rsidR="00F904CD" w:rsidRPr="003D7F5C">
        <w:rPr>
          <w:rFonts w:ascii="Arial" w:hAnsi="Arial" w:cs="Arial"/>
          <w:sz w:val="24"/>
          <w:szCs w:val="24"/>
        </w:rPr>
        <w:t xml:space="preserve">he EU stresses the need to ensure </w:t>
      </w:r>
      <w:r w:rsidR="00F904CD" w:rsidRPr="003D7F5C">
        <w:rPr>
          <w:rFonts w:ascii="Arial" w:hAnsi="Arial" w:cs="Arial"/>
          <w:b/>
          <w:sz w:val="24"/>
          <w:szCs w:val="24"/>
        </w:rPr>
        <w:t>transparency</w:t>
      </w:r>
      <w:r w:rsidR="00F904CD" w:rsidRPr="003D7F5C">
        <w:rPr>
          <w:rFonts w:ascii="Arial" w:hAnsi="Arial" w:cs="Arial"/>
          <w:sz w:val="24"/>
          <w:szCs w:val="24"/>
        </w:rPr>
        <w:t xml:space="preserve"> about sustainability performance of companies including </w:t>
      </w:r>
      <w:r w:rsidR="00F904CD" w:rsidRPr="003D7F5C">
        <w:rPr>
          <w:rFonts w:ascii="Arial" w:hAnsi="Arial" w:cs="Arial"/>
          <w:sz w:val="24"/>
          <w:szCs w:val="24"/>
        </w:rPr>
        <w:lastRenderedPageBreak/>
        <w:t xml:space="preserve">in the area of human rights. The European Commission adopted in April 2021 a </w:t>
      </w:r>
      <w:hyperlink r:id="rId9" w:history="1">
        <w:r w:rsidR="00F904CD" w:rsidRPr="003D7F5C">
          <w:rPr>
            <w:rStyle w:val="Hyperlink"/>
            <w:rFonts w:ascii="Arial" w:hAnsi="Arial" w:cs="Arial"/>
            <w:sz w:val="24"/>
            <w:szCs w:val="24"/>
          </w:rPr>
          <w:t>proposal for a Corporate Sustainability Reporting Directive (CSRD)</w:t>
        </w:r>
      </w:hyperlink>
      <w:r w:rsidR="00F904CD" w:rsidRPr="003D7F5C">
        <w:rPr>
          <w:rFonts w:ascii="Arial" w:hAnsi="Arial" w:cs="Arial"/>
          <w:sz w:val="24"/>
          <w:szCs w:val="24"/>
        </w:rPr>
        <w:t xml:space="preserve"> which will amend the existing reporting requirements of the Non-Financ</w:t>
      </w:r>
      <w:r w:rsidR="00503B88" w:rsidRPr="003D7F5C">
        <w:rPr>
          <w:rFonts w:ascii="Arial" w:hAnsi="Arial" w:cs="Arial"/>
          <w:sz w:val="24"/>
          <w:szCs w:val="24"/>
        </w:rPr>
        <w:t>ial Reporting Directive of 2014</w:t>
      </w:r>
      <w:r w:rsidR="00F904CD" w:rsidRPr="003D7F5C">
        <w:rPr>
          <w:rFonts w:ascii="Arial" w:hAnsi="Arial" w:cs="Arial"/>
          <w:sz w:val="24"/>
          <w:szCs w:val="24"/>
        </w:rPr>
        <w:t xml:space="preserve">. The proposal </w:t>
      </w:r>
      <w:proofErr w:type="spellStart"/>
      <w:r w:rsidR="00F904CD" w:rsidRPr="003D7F5C">
        <w:rPr>
          <w:rFonts w:ascii="Arial" w:hAnsi="Arial" w:cs="Arial"/>
          <w:sz w:val="24"/>
          <w:szCs w:val="24"/>
        </w:rPr>
        <w:t>i.a</w:t>
      </w:r>
      <w:proofErr w:type="spellEnd"/>
      <w:r w:rsidR="00F904CD" w:rsidRPr="003D7F5C">
        <w:rPr>
          <w:rFonts w:ascii="Arial" w:hAnsi="Arial" w:cs="Arial"/>
          <w:sz w:val="24"/>
          <w:szCs w:val="24"/>
        </w:rPr>
        <w:t xml:space="preserve">. introduces </w:t>
      </w:r>
      <w:r w:rsidR="00F904CD" w:rsidRPr="003D7F5C">
        <w:rPr>
          <w:rStyle w:val="Strong"/>
          <w:rFonts w:ascii="Arial" w:hAnsi="Arial" w:cs="Arial"/>
          <w:sz w:val="24"/>
          <w:szCs w:val="24"/>
        </w:rPr>
        <w:t>more detailed</w:t>
      </w:r>
      <w:r w:rsidR="00F904CD" w:rsidRPr="003D7F5C">
        <w:rPr>
          <w:rFonts w:ascii="Arial" w:hAnsi="Arial" w:cs="Arial"/>
          <w:sz w:val="24"/>
          <w:szCs w:val="24"/>
        </w:rPr>
        <w:t xml:space="preserve"> reporting requirements </w:t>
      </w:r>
      <w:r w:rsidR="008D636A" w:rsidRPr="003D7F5C">
        <w:rPr>
          <w:rFonts w:ascii="Arial" w:hAnsi="Arial" w:cs="Arial"/>
          <w:sz w:val="24"/>
          <w:szCs w:val="24"/>
        </w:rPr>
        <w:t>whereby</w:t>
      </w:r>
      <w:r w:rsidR="00F904CD" w:rsidRPr="003D7F5C">
        <w:rPr>
          <w:rFonts w:ascii="Arial" w:hAnsi="Arial" w:cs="Arial"/>
          <w:sz w:val="24"/>
          <w:szCs w:val="24"/>
        </w:rPr>
        <w:t xml:space="preserve"> large companies are required to </w:t>
      </w:r>
      <w:r w:rsidR="00F904CD" w:rsidRPr="003D7F5C">
        <w:rPr>
          <w:rStyle w:val="Strong"/>
          <w:rFonts w:ascii="Arial" w:hAnsi="Arial" w:cs="Arial"/>
          <w:sz w:val="24"/>
          <w:szCs w:val="24"/>
        </w:rPr>
        <w:t>report on sustainability issues</w:t>
      </w:r>
      <w:r w:rsidR="00F904CD" w:rsidRPr="003D7F5C">
        <w:rPr>
          <w:rFonts w:ascii="Arial" w:hAnsi="Arial" w:cs="Arial"/>
          <w:sz w:val="24"/>
          <w:szCs w:val="24"/>
        </w:rPr>
        <w:t xml:space="preserve"> including </w:t>
      </w:r>
      <w:r w:rsidR="006501BF" w:rsidRPr="003D7F5C">
        <w:rPr>
          <w:rFonts w:ascii="Arial" w:hAnsi="Arial" w:cs="Arial"/>
          <w:sz w:val="24"/>
          <w:szCs w:val="24"/>
        </w:rPr>
        <w:t xml:space="preserve">concerning </w:t>
      </w:r>
      <w:r w:rsidR="00F904CD" w:rsidRPr="003D7F5C">
        <w:rPr>
          <w:rFonts w:ascii="Arial" w:hAnsi="Arial" w:cs="Arial"/>
          <w:sz w:val="24"/>
          <w:szCs w:val="24"/>
        </w:rPr>
        <w:t xml:space="preserve">human rights. </w:t>
      </w:r>
      <w:r w:rsidR="006501BF" w:rsidRPr="003D7F5C">
        <w:rPr>
          <w:rFonts w:ascii="Arial" w:hAnsi="Arial" w:cs="Arial"/>
          <w:sz w:val="24"/>
          <w:szCs w:val="24"/>
        </w:rPr>
        <w:t>Moreover, t</w:t>
      </w:r>
      <w:r w:rsidR="00F904CD" w:rsidRPr="003D7F5C">
        <w:rPr>
          <w:rFonts w:ascii="Arial" w:hAnsi="Arial" w:cs="Arial"/>
          <w:sz w:val="24"/>
          <w:szCs w:val="24"/>
        </w:rPr>
        <w:t xml:space="preserve">he </w:t>
      </w:r>
      <w:r w:rsidRPr="003D7F5C">
        <w:rPr>
          <w:rFonts w:ascii="Arial" w:hAnsi="Arial" w:cs="Arial"/>
          <w:sz w:val="24"/>
          <w:szCs w:val="24"/>
        </w:rPr>
        <w:t>P</w:t>
      </w:r>
      <w:r w:rsidR="006501BF" w:rsidRPr="003D7F5C">
        <w:rPr>
          <w:rFonts w:ascii="Arial" w:hAnsi="Arial" w:cs="Arial"/>
          <w:sz w:val="24"/>
          <w:szCs w:val="24"/>
        </w:rPr>
        <w:t xml:space="preserve">roposal for a Directive on </w:t>
      </w:r>
      <w:r w:rsidR="00746FC9" w:rsidRPr="003D7F5C">
        <w:rPr>
          <w:rFonts w:ascii="Arial" w:hAnsi="Arial" w:cs="Arial"/>
          <w:sz w:val="24"/>
          <w:szCs w:val="24"/>
        </w:rPr>
        <w:t>CSDD,</w:t>
      </w:r>
      <w:r w:rsidR="00F904CD" w:rsidRPr="003D7F5C">
        <w:rPr>
          <w:rFonts w:ascii="Arial" w:hAnsi="Arial" w:cs="Arial"/>
          <w:sz w:val="24"/>
          <w:szCs w:val="24"/>
        </w:rPr>
        <w:t xml:space="preserve"> foresees that companies not already subject to reporting requirements, should report on how they perform due diligence under the Directive, and publish an annual statement on their website.</w:t>
      </w:r>
      <w:r w:rsidR="00C60466" w:rsidRPr="003D7F5C">
        <w:rPr>
          <w:rFonts w:ascii="Arial" w:hAnsi="Arial" w:cs="Arial"/>
          <w:sz w:val="24"/>
          <w:szCs w:val="24"/>
        </w:rPr>
        <w:t xml:space="preserve"> </w:t>
      </w:r>
    </w:p>
    <w:p w14:paraId="24337B54" w14:textId="77777777" w:rsidR="0000443F" w:rsidRDefault="0000443F" w:rsidP="003D7F5C">
      <w:pPr>
        <w:spacing w:line="360" w:lineRule="auto"/>
        <w:jc w:val="both"/>
        <w:rPr>
          <w:rFonts w:ascii="Arial" w:hAnsi="Arial" w:cs="Arial"/>
          <w:b/>
          <w:bCs/>
          <w:color w:val="000000"/>
          <w:sz w:val="24"/>
          <w:szCs w:val="24"/>
          <w:lang w:val="en-US" w:eastAsia="fr-FR"/>
        </w:rPr>
      </w:pPr>
    </w:p>
    <w:p w14:paraId="660F1610" w14:textId="77777777" w:rsidR="0094293C" w:rsidRDefault="0094293C" w:rsidP="003D7F5C">
      <w:pPr>
        <w:spacing w:line="360" w:lineRule="auto"/>
        <w:jc w:val="both"/>
        <w:rPr>
          <w:rFonts w:ascii="Arial" w:hAnsi="Arial" w:cs="Arial"/>
          <w:b/>
          <w:bCs/>
          <w:color w:val="000000"/>
          <w:sz w:val="24"/>
          <w:szCs w:val="24"/>
          <w:lang w:val="en-US" w:eastAsia="fr-FR"/>
        </w:rPr>
      </w:pPr>
    </w:p>
    <w:p w14:paraId="6BCE5EC4" w14:textId="77777777" w:rsidR="0094293C" w:rsidRDefault="0094293C" w:rsidP="003D7F5C">
      <w:pPr>
        <w:spacing w:line="360" w:lineRule="auto"/>
        <w:jc w:val="both"/>
        <w:rPr>
          <w:rFonts w:ascii="Arial" w:hAnsi="Arial" w:cs="Arial"/>
          <w:b/>
          <w:bCs/>
          <w:color w:val="000000"/>
          <w:sz w:val="24"/>
          <w:szCs w:val="24"/>
          <w:lang w:val="en-US" w:eastAsia="fr-FR"/>
        </w:rPr>
      </w:pPr>
    </w:p>
    <w:p w14:paraId="6716882D" w14:textId="77777777" w:rsidR="0094293C" w:rsidRDefault="0094293C" w:rsidP="003D7F5C">
      <w:pPr>
        <w:spacing w:line="360" w:lineRule="auto"/>
        <w:jc w:val="both"/>
        <w:rPr>
          <w:rFonts w:ascii="Arial" w:hAnsi="Arial" w:cs="Arial"/>
          <w:b/>
          <w:bCs/>
          <w:color w:val="000000"/>
          <w:sz w:val="24"/>
          <w:szCs w:val="24"/>
          <w:lang w:val="en-US" w:eastAsia="fr-FR"/>
        </w:rPr>
      </w:pPr>
    </w:p>
    <w:p w14:paraId="667313AA" w14:textId="77777777" w:rsidR="0094293C" w:rsidRDefault="0094293C" w:rsidP="003D7F5C">
      <w:pPr>
        <w:spacing w:line="360" w:lineRule="auto"/>
        <w:jc w:val="both"/>
        <w:rPr>
          <w:rFonts w:ascii="Arial" w:hAnsi="Arial" w:cs="Arial"/>
          <w:b/>
          <w:bCs/>
          <w:color w:val="000000"/>
          <w:sz w:val="24"/>
          <w:szCs w:val="24"/>
          <w:lang w:val="en-US" w:eastAsia="fr-FR"/>
        </w:rPr>
      </w:pPr>
    </w:p>
    <w:p w14:paraId="67C6617C" w14:textId="77777777" w:rsidR="0094293C" w:rsidRDefault="0094293C" w:rsidP="003D7F5C">
      <w:pPr>
        <w:spacing w:line="360" w:lineRule="auto"/>
        <w:jc w:val="both"/>
        <w:rPr>
          <w:rFonts w:ascii="Arial" w:hAnsi="Arial" w:cs="Arial"/>
          <w:b/>
          <w:bCs/>
          <w:color w:val="000000"/>
          <w:sz w:val="24"/>
          <w:szCs w:val="24"/>
          <w:lang w:val="en-US" w:eastAsia="fr-FR"/>
        </w:rPr>
      </w:pPr>
    </w:p>
    <w:sectPr w:rsidR="0094293C">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12240" w14:textId="77777777" w:rsidR="008F1070" w:rsidRDefault="008F1070" w:rsidP="00BB4456">
      <w:pPr>
        <w:spacing w:after="0" w:line="240" w:lineRule="auto"/>
      </w:pPr>
      <w:r>
        <w:separator/>
      </w:r>
    </w:p>
  </w:endnote>
  <w:endnote w:type="continuationSeparator" w:id="0">
    <w:p w14:paraId="2B9D4129" w14:textId="77777777" w:rsidR="008F1070" w:rsidRDefault="008F1070" w:rsidP="00BB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74023"/>
      <w:docPartObj>
        <w:docPartGallery w:val="Page Numbers (Bottom of Page)"/>
        <w:docPartUnique/>
      </w:docPartObj>
    </w:sdtPr>
    <w:sdtEndPr>
      <w:rPr>
        <w:noProof/>
      </w:rPr>
    </w:sdtEndPr>
    <w:sdtContent>
      <w:p w14:paraId="3107AFAF" w14:textId="282EE074" w:rsidR="00BB4456" w:rsidRDefault="00BB4456">
        <w:pPr>
          <w:pStyle w:val="Footer"/>
          <w:jc w:val="right"/>
        </w:pPr>
        <w:r>
          <w:fldChar w:fldCharType="begin"/>
        </w:r>
        <w:r>
          <w:instrText xml:space="preserve"> PAGE   \* MERGEFORMAT </w:instrText>
        </w:r>
        <w:r>
          <w:fldChar w:fldCharType="separate"/>
        </w:r>
        <w:r w:rsidR="00CC2469">
          <w:rPr>
            <w:noProof/>
          </w:rPr>
          <w:t>2</w:t>
        </w:r>
        <w:r>
          <w:rPr>
            <w:noProof/>
          </w:rPr>
          <w:fldChar w:fldCharType="end"/>
        </w:r>
      </w:p>
    </w:sdtContent>
  </w:sdt>
  <w:p w14:paraId="0EEB8CCB" w14:textId="77777777" w:rsidR="00BB4456" w:rsidRDefault="00BB4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2CB60" w14:textId="77777777" w:rsidR="008F1070" w:rsidRDefault="008F1070" w:rsidP="00BB4456">
      <w:pPr>
        <w:spacing w:after="0" w:line="240" w:lineRule="auto"/>
      </w:pPr>
      <w:r>
        <w:separator/>
      </w:r>
    </w:p>
  </w:footnote>
  <w:footnote w:type="continuationSeparator" w:id="0">
    <w:p w14:paraId="44720059" w14:textId="77777777" w:rsidR="008F1070" w:rsidRDefault="008F1070" w:rsidP="00BB4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1E6247A7"/>
    <w:multiLevelType w:val="hybridMultilevel"/>
    <w:tmpl w:val="0AC2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45815"/>
    <w:multiLevelType w:val="hybridMultilevel"/>
    <w:tmpl w:val="93BC3D32"/>
    <w:lvl w:ilvl="0" w:tplc="62C6B38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1E26B7"/>
    <w:multiLevelType w:val="hybridMultilevel"/>
    <w:tmpl w:val="1C72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1065F"/>
    <w:multiLevelType w:val="hybridMultilevel"/>
    <w:tmpl w:val="BF1C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E09B4"/>
    <w:rsid w:val="0000443F"/>
    <w:rsid w:val="000174EE"/>
    <w:rsid w:val="00033FE3"/>
    <w:rsid w:val="00040148"/>
    <w:rsid w:val="000446D7"/>
    <w:rsid w:val="00067D18"/>
    <w:rsid w:val="00081CC8"/>
    <w:rsid w:val="00101981"/>
    <w:rsid w:val="00130574"/>
    <w:rsid w:val="00134B99"/>
    <w:rsid w:val="00175F7C"/>
    <w:rsid w:val="001E6A87"/>
    <w:rsid w:val="001F237C"/>
    <w:rsid w:val="002263E1"/>
    <w:rsid w:val="00260959"/>
    <w:rsid w:val="00272798"/>
    <w:rsid w:val="002876AD"/>
    <w:rsid w:val="002901D1"/>
    <w:rsid w:val="0029510A"/>
    <w:rsid w:val="002C462D"/>
    <w:rsid w:val="002F11BB"/>
    <w:rsid w:val="002F1FE2"/>
    <w:rsid w:val="002F4067"/>
    <w:rsid w:val="002F75AB"/>
    <w:rsid w:val="003025D4"/>
    <w:rsid w:val="00304EA6"/>
    <w:rsid w:val="003225A2"/>
    <w:rsid w:val="003341A3"/>
    <w:rsid w:val="0034574F"/>
    <w:rsid w:val="00354681"/>
    <w:rsid w:val="003B7A36"/>
    <w:rsid w:val="003D7F5C"/>
    <w:rsid w:val="003F7CE1"/>
    <w:rsid w:val="00416D26"/>
    <w:rsid w:val="004210A7"/>
    <w:rsid w:val="004358FA"/>
    <w:rsid w:val="00436534"/>
    <w:rsid w:val="00453981"/>
    <w:rsid w:val="004855CF"/>
    <w:rsid w:val="004D1466"/>
    <w:rsid w:val="004E661E"/>
    <w:rsid w:val="00503B88"/>
    <w:rsid w:val="00506863"/>
    <w:rsid w:val="0051169A"/>
    <w:rsid w:val="00517779"/>
    <w:rsid w:val="00517EAC"/>
    <w:rsid w:val="005215F0"/>
    <w:rsid w:val="00533C39"/>
    <w:rsid w:val="00535909"/>
    <w:rsid w:val="00540F0D"/>
    <w:rsid w:val="0055123E"/>
    <w:rsid w:val="00551F3C"/>
    <w:rsid w:val="005A0F15"/>
    <w:rsid w:val="005A5995"/>
    <w:rsid w:val="005B00F3"/>
    <w:rsid w:val="005F7CE5"/>
    <w:rsid w:val="006007A7"/>
    <w:rsid w:val="00611E8B"/>
    <w:rsid w:val="00626E62"/>
    <w:rsid w:val="00627A2E"/>
    <w:rsid w:val="006421F5"/>
    <w:rsid w:val="00645377"/>
    <w:rsid w:val="006501BF"/>
    <w:rsid w:val="00650B74"/>
    <w:rsid w:val="00652B2F"/>
    <w:rsid w:val="006B30F8"/>
    <w:rsid w:val="006B4D71"/>
    <w:rsid w:val="006B72FF"/>
    <w:rsid w:val="006B7444"/>
    <w:rsid w:val="006D2DC9"/>
    <w:rsid w:val="006F11CC"/>
    <w:rsid w:val="0073326F"/>
    <w:rsid w:val="00736878"/>
    <w:rsid w:val="00744A1A"/>
    <w:rsid w:val="00746FC9"/>
    <w:rsid w:val="00785489"/>
    <w:rsid w:val="007A4C7B"/>
    <w:rsid w:val="007A668B"/>
    <w:rsid w:val="007B2B85"/>
    <w:rsid w:val="0080107C"/>
    <w:rsid w:val="00831388"/>
    <w:rsid w:val="008421AA"/>
    <w:rsid w:val="00851F53"/>
    <w:rsid w:val="00856F81"/>
    <w:rsid w:val="00875398"/>
    <w:rsid w:val="008B53E5"/>
    <w:rsid w:val="008C75AC"/>
    <w:rsid w:val="008C7A93"/>
    <w:rsid w:val="008D636A"/>
    <w:rsid w:val="008F1070"/>
    <w:rsid w:val="00903895"/>
    <w:rsid w:val="00903DF4"/>
    <w:rsid w:val="009158BD"/>
    <w:rsid w:val="0094293C"/>
    <w:rsid w:val="0094455A"/>
    <w:rsid w:val="009452AE"/>
    <w:rsid w:val="0095714F"/>
    <w:rsid w:val="00970182"/>
    <w:rsid w:val="00983B68"/>
    <w:rsid w:val="00984805"/>
    <w:rsid w:val="009A0D0C"/>
    <w:rsid w:val="009E1D98"/>
    <w:rsid w:val="009F0CD4"/>
    <w:rsid w:val="009F18A3"/>
    <w:rsid w:val="009F4481"/>
    <w:rsid w:val="00A11247"/>
    <w:rsid w:val="00A225AF"/>
    <w:rsid w:val="00A22777"/>
    <w:rsid w:val="00A40856"/>
    <w:rsid w:val="00A44CE9"/>
    <w:rsid w:val="00A8603A"/>
    <w:rsid w:val="00AB4B6E"/>
    <w:rsid w:val="00AB5F9E"/>
    <w:rsid w:val="00AD2D02"/>
    <w:rsid w:val="00B00E4A"/>
    <w:rsid w:val="00B0272D"/>
    <w:rsid w:val="00B12084"/>
    <w:rsid w:val="00B50CAB"/>
    <w:rsid w:val="00B66D3C"/>
    <w:rsid w:val="00B81F2E"/>
    <w:rsid w:val="00B87318"/>
    <w:rsid w:val="00BB4456"/>
    <w:rsid w:val="00BD4B2A"/>
    <w:rsid w:val="00BD776D"/>
    <w:rsid w:val="00BE258A"/>
    <w:rsid w:val="00BE560F"/>
    <w:rsid w:val="00BF2507"/>
    <w:rsid w:val="00BF310C"/>
    <w:rsid w:val="00C30F5F"/>
    <w:rsid w:val="00C46018"/>
    <w:rsid w:val="00C60466"/>
    <w:rsid w:val="00C62553"/>
    <w:rsid w:val="00C76CA3"/>
    <w:rsid w:val="00C820CB"/>
    <w:rsid w:val="00C842E4"/>
    <w:rsid w:val="00C85999"/>
    <w:rsid w:val="00CC2469"/>
    <w:rsid w:val="00CD3B4D"/>
    <w:rsid w:val="00CE7DCA"/>
    <w:rsid w:val="00D43E68"/>
    <w:rsid w:val="00D822F6"/>
    <w:rsid w:val="00DA22DC"/>
    <w:rsid w:val="00DD2680"/>
    <w:rsid w:val="00DD628D"/>
    <w:rsid w:val="00DF05C8"/>
    <w:rsid w:val="00E058AA"/>
    <w:rsid w:val="00E575A9"/>
    <w:rsid w:val="00E67BE8"/>
    <w:rsid w:val="00E86EE9"/>
    <w:rsid w:val="00E90BF0"/>
    <w:rsid w:val="00EC1CC8"/>
    <w:rsid w:val="00ED4A22"/>
    <w:rsid w:val="00EE3148"/>
    <w:rsid w:val="00F059E6"/>
    <w:rsid w:val="00F208ED"/>
    <w:rsid w:val="00F306CA"/>
    <w:rsid w:val="00F4111E"/>
    <w:rsid w:val="00F45F24"/>
    <w:rsid w:val="00F521A1"/>
    <w:rsid w:val="00F529C5"/>
    <w:rsid w:val="00F540E5"/>
    <w:rsid w:val="00F64A88"/>
    <w:rsid w:val="00F82DAE"/>
    <w:rsid w:val="00F904CD"/>
    <w:rsid w:val="00FA087B"/>
    <w:rsid w:val="00FA527A"/>
    <w:rsid w:val="00FB558B"/>
    <w:rsid w:val="00FB5590"/>
    <w:rsid w:val="00FB612E"/>
    <w:rsid w:val="00FE09B4"/>
    <w:rsid w:val="00FE0B18"/>
    <w:rsid w:val="00FE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BA16C"/>
  <w15:docId w15:val="{CE97E976-A60C-40E5-AEAE-0C8B1D92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Colorful List - Accent 11"/>
    <w:basedOn w:val="Normal"/>
    <w:uiPriority w:val="34"/>
    <w:qFormat/>
    <w:rsid w:val="00FE09B4"/>
    <w:pPr>
      <w:ind w:left="720"/>
      <w:contextualSpacing/>
    </w:pPr>
  </w:style>
  <w:style w:type="paragraph" w:styleId="NormalWeb">
    <w:name w:val="Normal (Web)"/>
    <w:basedOn w:val="Normal"/>
    <w:uiPriority w:val="99"/>
    <w:semiHidden/>
    <w:unhideWhenUsed/>
    <w:rsid w:val="00101981"/>
    <w:pPr>
      <w:spacing w:after="0" w:line="240" w:lineRule="auto"/>
    </w:pPr>
    <w:rPr>
      <w:rFonts w:ascii="Times New Roman" w:hAnsi="Times New Roman" w:cs="Times New Roman"/>
      <w:sz w:val="24"/>
      <w:szCs w:val="24"/>
      <w:lang w:eastAsia="fr-BE"/>
    </w:rPr>
  </w:style>
  <w:style w:type="character" w:styleId="Hyperlink">
    <w:name w:val="Hyperlink"/>
    <w:basedOn w:val="DefaultParagraphFont"/>
    <w:uiPriority w:val="99"/>
    <w:unhideWhenUsed/>
    <w:rsid w:val="00F904CD"/>
    <w:rPr>
      <w:color w:val="0000FF" w:themeColor="hyperlink"/>
      <w:u w:val="single"/>
    </w:rPr>
  </w:style>
  <w:style w:type="character" w:styleId="Strong">
    <w:name w:val="Strong"/>
    <w:basedOn w:val="DefaultParagraphFont"/>
    <w:uiPriority w:val="22"/>
    <w:qFormat/>
    <w:rsid w:val="00F904CD"/>
    <w:rPr>
      <w:b/>
      <w:bCs/>
    </w:rPr>
  </w:style>
  <w:style w:type="character" w:styleId="CommentReference">
    <w:name w:val="annotation reference"/>
    <w:basedOn w:val="DefaultParagraphFont"/>
    <w:uiPriority w:val="99"/>
    <w:semiHidden/>
    <w:unhideWhenUsed/>
    <w:rsid w:val="00F904CD"/>
    <w:rPr>
      <w:sz w:val="16"/>
      <w:szCs w:val="16"/>
    </w:rPr>
  </w:style>
  <w:style w:type="paragraph" w:styleId="CommentText">
    <w:name w:val="annotation text"/>
    <w:basedOn w:val="Normal"/>
    <w:link w:val="CommentTextChar"/>
    <w:uiPriority w:val="99"/>
    <w:semiHidden/>
    <w:unhideWhenUsed/>
    <w:rsid w:val="00F904C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F904CD"/>
    <w:rPr>
      <w:sz w:val="20"/>
      <w:szCs w:val="20"/>
    </w:rPr>
  </w:style>
  <w:style w:type="paragraph" w:styleId="BalloonText">
    <w:name w:val="Balloon Text"/>
    <w:basedOn w:val="Normal"/>
    <w:link w:val="BalloonTextChar"/>
    <w:uiPriority w:val="99"/>
    <w:semiHidden/>
    <w:unhideWhenUsed/>
    <w:rsid w:val="00F90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4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5F7C"/>
    <w:pPr>
      <w:spacing w:after="200"/>
    </w:pPr>
    <w:rPr>
      <w:b/>
      <w:bCs/>
    </w:rPr>
  </w:style>
  <w:style w:type="character" w:customStyle="1" w:styleId="CommentSubjectChar">
    <w:name w:val="Comment Subject Char"/>
    <w:basedOn w:val="CommentTextChar"/>
    <w:link w:val="CommentSubject"/>
    <w:uiPriority w:val="99"/>
    <w:semiHidden/>
    <w:rsid w:val="00175F7C"/>
    <w:rPr>
      <w:b/>
      <w:bCs/>
      <w:sz w:val="20"/>
      <w:szCs w:val="20"/>
    </w:rPr>
  </w:style>
  <w:style w:type="paragraph" w:styleId="Header">
    <w:name w:val="header"/>
    <w:basedOn w:val="Normal"/>
    <w:link w:val="HeaderChar"/>
    <w:uiPriority w:val="99"/>
    <w:unhideWhenUsed/>
    <w:rsid w:val="00BB4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456"/>
  </w:style>
  <w:style w:type="paragraph" w:styleId="Footer">
    <w:name w:val="footer"/>
    <w:basedOn w:val="Normal"/>
    <w:link w:val="FooterChar"/>
    <w:uiPriority w:val="99"/>
    <w:unhideWhenUsed/>
    <w:rsid w:val="00BB4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456"/>
  </w:style>
  <w:style w:type="paragraph" w:styleId="FootnoteText">
    <w:name w:val="footnote text"/>
    <w:basedOn w:val="Normal"/>
    <w:link w:val="FootnoteTextChar"/>
    <w:uiPriority w:val="99"/>
    <w:semiHidden/>
    <w:unhideWhenUsed/>
    <w:rsid w:val="009038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895"/>
    <w:rPr>
      <w:sz w:val="20"/>
      <w:szCs w:val="20"/>
    </w:rPr>
  </w:style>
  <w:style w:type="character" w:styleId="FootnoteReference">
    <w:name w:val="footnote reference"/>
    <w:basedOn w:val="DefaultParagraphFont"/>
    <w:uiPriority w:val="99"/>
    <w:semiHidden/>
    <w:unhideWhenUsed/>
    <w:rsid w:val="009038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3507">
      <w:bodyDiv w:val="1"/>
      <w:marLeft w:val="0"/>
      <w:marRight w:val="0"/>
      <w:marTop w:val="0"/>
      <w:marBottom w:val="0"/>
      <w:divBdr>
        <w:top w:val="none" w:sz="0" w:space="0" w:color="auto"/>
        <w:left w:val="none" w:sz="0" w:space="0" w:color="auto"/>
        <w:bottom w:val="none" w:sz="0" w:space="0" w:color="auto"/>
        <w:right w:val="none" w:sz="0" w:space="0" w:color="auto"/>
      </w:divBdr>
    </w:div>
    <w:div w:id="102384921">
      <w:bodyDiv w:val="1"/>
      <w:marLeft w:val="0"/>
      <w:marRight w:val="0"/>
      <w:marTop w:val="0"/>
      <w:marBottom w:val="0"/>
      <w:divBdr>
        <w:top w:val="none" w:sz="0" w:space="0" w:color="auto"/>
        <w:left w:val="none" w:sz="0" w:space="0" w:color="auto"/>
        <w:bottom w:val="none" w:sz="0" w:space="0" w:color="auto"/>
        <w:right w:val="none" w:sz="0" w:space="0" w:color="auto"/>
      </w:divBdr>
    </w:div>
    <w:div w:id="604268194">
      <w:bodyDiv w:val="1"/>
      <w:marLeft w:val="0"/>
      <w:marRight w:val="0"/>
      <w:marTop w:val="0"/>
      <w:marBottom w:val="0"/>
      <w:divBdr>
        <w:top w:val="none" w:sz="0" w:space="0" w:color="auto"/>
        <w:left w:val="none" w:sz="0" w:space="0" w:color="auto"/>
        <w:bottom w:val="none" w:sz="0" w:space="0" w:color="auto"/>
        <w:right w:val="none" w:sz="0" w:space="0" w:color="auto"/>
      </w:divBdr>
    </w:div>
    <w:div w:id="10718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52022PC00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inance.ec.europa.eu/publications/sustainable-finance-packag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A2965-CC81-4934-BE1A-E107A2A3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Salvatore (EEAS-GENEVA)</dc:creator>
  <cp:lastModifiedBy>Paula Subia</cp:lastModifiedBy>
  <cp:revision>3</cp:revision>
  <cp:lastPrinted>2019-10-15T06:19:00Z</cp:lastPrinted>
  <dcterms:created xsi:type="dcterms:W3CDTF">2022-11-18T09:27:00Z</dcterms:created>
  <dcterms:modified xsi:type="dcterms:W3CDTF">2022-11-18T09:28:00Z</dcterms:modified>
</cp:coreProperties>
</file>