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DB98" w14:textId="0F9E827D" w:rsidR="00646D22" w:rsidRDefault="00646D22"/>
    <w:p w14:paraId="7B9E45E2" w14:textId="77777777" w:rsidR="0070276E" w:rsidRDefault="0070276E" w:rsidP="0070276E">
      <w:pPr>
        <w:pStyle w:val="paragraph"/>
        <w:spacing w:before="0" w:beforeAutospacing="0" w:after="0" w:afterAutospacing="0"/>
        <w:jc w:val="center"/>
        <w:textAlignment w:val="baseline"/>
        <w:rPr>
          <w:rFonts w:ascii="Segoe UI" w:hAnsi="Segoe UI" w:cs="Segoe UI"/>
          <w:sz w:val="18"/>
          <w:szCs w:val="18"/>
        </w:rPr>
      </w:pPr>
      <w:r>
        <w:rPr>
          <w:rStyle w:val="normaltextrun"/>
          <w:rFonts w:ascii="Corbel" w:hAnsi="Corbel" w:cs="Segoe UI"/>
          <w:b/>
          <w:bCs/>
          <w:color w:val="000000"/>
          <w:sz w:val="22"/>
          <w:szCs w:val="22"/>
        </w:rPr>
        <w:t>8</w:t>
      </w:r>
      <w:r>
        <w:rPr>
          <w:rStyle w:val="normaltextrun"/>
          <w:rFonts w:ascii="Corbel" w:hAnsi="Corbel" w:cs="Segoe UI"/>
          <w:b/>
          <w:bCs/>
          <w:color w:val="000000"/>
          <w:sz w:val="17"/>
          <w:szCs w:val="17"/>
          <w:vertAlign w:val="superscript"/>
        </w:rPr>
        <w:t>th</w:t>
      </w:r>
      <w:r>
        <w:rPr>
          <w:rStyle w:val="normaltextrun"/>
          <w:rFonts w:ascii="Corbel" w:hAnsi="Corbel" w:cs="Segoe UI"/>
          <w:b/>
          <w:bCs/>
          <w:color w:val="000000"/>
          <w:sz w:val="22"/>
          <w:szCs w:val="22"/>
        </w:rPr>
        <w:t xml:space="preserve"> Session of the open-ended intergovernmental working group on transnational corporations and other business enterprises with respect to human rights</w:t>
      </w:r>
      <w:r>
        <w:rPr>
          <w:rStyle w:val="eop"/>
          <w:rFonts w:ascii="Corbel" w:hAnsi="Corbel" w:cs="Segoe UI"/>
          <w:color w:val="000000"/>
          <w:sz w:val="22"/>
          <w:szCs w:val="22"/>
        </w:rPr>
        <w:t> </w:t>
      </w:r>
    </w:p>
    <w:p w14:paraId="01EBE33F" w14:textId="77777777" w:rsidR="0070276E" w:rsidRDefault="0070276E" w:rsidP="007027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7989FA" w14:textId="77777777" w:rsidR="0070276E" w:rsidRDefault="0070276E" w:rsidP="007027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AF2E77" w14:textId="29052CBA" w:rsidR="0070276E" w:rsidRDefault="0070276E" w:rsidP="0070276E">
      <w:pPr>
        <w:pStyle w:val="paragraph"/>
        <w:spacing w:before="0" w:beforeAutospacing="0" w:after="0" w:afterAutospacing="0"/>
        <w:jc w:val="center"/>
        <w:textAlignment w:val="baseline"/>
        <w:rPr>
          <w:rStyle w:val="normaltextrun"/>
          <w:rFonts w:ascii="Calibri" w:hAnsi="Calibri" w:cs="Calibri"/>
        </w:rPr>
      </w:pPr>
      <w:r>
        <w:rPr>
          <w:rStyle w:val="normaltextrun"/>
          <w:rFonts w:ascii="Calibri" w:hAnsi="Calibri" w:cs="Calibri"/>
        </w:rPr>
        <w:t>Art. 9: Adjudicative Jurisdiction</w:t>
      </w:r>
    </w:p>
    <w:p w14:paraId="46919C02" w14:textId="14FD11A0" w:rsidR="0070276E" w:rsidRDefault="0070276E" w:rsidP="0070276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26 October 2022</w:t>
      </w:r>
    </w:p>
    <w:p w14:paraId="61965243" w14:textId="426201D7" w:rsidR="0070276E" w:rsidRDefault="0070276E" w:rsidP="0070276E">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422E7315" w14:textId="2BF30320" w:rsidR="0070276E" w:rsidRPr="00801F49" w:rsidRDefault="0070276E" w:rsidP="0070276E">
      <w:pPr>
        <w:jc w:val="right"/>
        <w:rPr>
          <w:rFonts w:ascii="Calibri" w:eastAsia="Calibri" w:hAnsi="Calibri" w:cs="Calibri"/>
          <w:i/>
          <w:iCs/>
        </w:rPr>
      </w:pPr>
      <w:r w:rsidRPr="00801F49">
        <w:rPr>
          <w:rFonts w:ascii="Calibri" w:eastAsia="Calibri" w:hAnsi="Calibri" w:cs="Calibri"/>
          <w:i/>
          <w:iCs/>
        </w:rPr>
        <w:t xml:space="preserve">Delivered by: </w:t>
      </w:r>
      <w:r>
        <w:rPr>
          <w:rFonts w:ascii="Calibri" w:eastAsia="Calibri" w:hAnsi="Calibri" w:cs="Calibri"/>
          <w:i/>
          <w:iCs/>
        </w:rPr>
        <w:t xml:space="preserve">Sandra </w:t>
      </w:r>
      <w:proofErr w:type="spellStart"/>
      <w:r>
        <w:rPr>
          <w:rFonts w:ascii="Calibri" w:eastAsia="Calibri" w:hAnsi="Calibri" w:cs="Calibri"/>
          <w:i/>
          <w:iCs/>
        </w:rPr>
        <w:t>Epal-Ratjen</w:t>
      </w:r>
      <w:proofErr w:type="spellEnd"/>
    </w:p>
    <w:p w14:paraId="0B01CA5E" w14:textId="77777777" w:rsidR="0070276E" w:rsidRPr="00801F49" w:rsidRDefault="0070276E" w:rsidP="0070276E">
      <w:pPr>
        <w:jc w:val="right"/>
        <w:rPr>
          <w:rFonts w:ascii="Calibri" w:eastAsia="Calibri" w:hAnsi="Calibri" w:cs="Calibri"/>
          <w:i/>
          <w:iCs/>
        </w:rPr>
      </w:pPr>
      <w:r w:rsidRPr="00801F49">
        <w:rPr>
          <w:rFonts w:ascii="Calibri" w:eastAsia="Calibri" w:hAnsi="Calibri" w:cs="Calibri"/>
          <w:i/>
          <w:iCs/>
        </w:rPr>
        <w:t>Check against delivery</w:t>
      </w:r>
    </w:p>
    <w:p w14:paraId="44ED6DBF" w14:textId="63980DA7" w:rsidR="0070276E" w:rsidRDefault="0070276E" w:rsidP="0070276E">
      <w:pPr>
        <w:pStyle w:val="paragraph"/>
        <w:spacing w:before="0" w:beforeAutospacing="0" w:after="0" w:afterAutospacing="0"/>
        <w:textAlignment w:val="baseline"/>
        <w:rPr>
          <w:rStyle w:val="eop"/>
          <w:rFonts w:ascii="Calibri" w:hAnsi="Calibri" w:cs="Calibri"/>
        </w:rPr>
      </w:pPr>
    </w:p>
    <w:p w14:paraId="5B50B4A1" w14:textId="77777777" w:rsidR="0070276E" w:rsidRDefault="0070276E" w:rsidP="0070276E">
      <w:pPr>
        <w:pStyle w:val="paragraph"/>
        <w:spacing w:before="0" w:beforeAutospacing="0" w:after="0" w:afterAutospacing="0"/>
        <w:textAlignment w:val="baseline"/>
        <w:rPr>
          <w:rFonts w:ascii="Segoe UI" w:hAnsi="Segoe UI" w:cs="Segoe UI"/>
          <w:sz w:val="18"/>
          <w:szCs w:val="18"/>
        </w:rPr>
      </w:pPr>
    </w:p>
    <w:p w14:paraId="5EDEB5AC" w14:textId="77777777" w:rsidR="0070276E" w:rsidRDefault="0070276E" w:rsidP="007027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With your permission, I am coming back on article 8 to express support for article 8bis as proposed by Namibia and supported by other States.</w:t>
      </w:r>
      <w:r>
        <w:rPr>
          <w:rStyle w:val="eop"/>
          <w:rFonts w:ascii="Calibri" w:hAnsi="Calibri" w:cs="Calibri"/>
        </w:rPr>
        <w:t> </w:t>
      </w:r>
    </w:p>
    <w:p w14:paraId="20EC5F74" w14:textId="77777777" w:rsidR="0070276E" w:rsidRDefault="0070276E" w:rsidP="007027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716A20F" w14:textId="0FC5A2AE" w:rsidR="0070276E" w:rsidRDefault="0070276E" w:rsidP="007027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O</w:t>
      </w:r>
      <w:r>
        <w:rPr>
          <w:rStyle w:val="normaltextrun"/>
          <w:rFonts w:ascii="Calibri" w:hAnsi="Calibri" w:cs="Calibri"/>
        </w:rPr>
        <w:t>n article 9</w:t>
      </w:r>
      <w:r>
        <w:rPr>
          <w:rStyle w:val="normaltextrun"/>
          <w:rFonts w:ascii="Calibri" w:hAnsi="Calibri" w:cs="Calibri"/>
        </w:rPr>
        <w:t>,</w:t>
      </w:r>
      <w:r>
        <w:rPr>
          <w:rStyle w:val="normaltextrun"/>
          <w:rFonts w:ascii="Calibri" w:hAnsi="Calibri" w:cs="Calibri"/>
        </w:rPr>
        <w:t xml:space="preserve"> </w:t>
      </w:r>
      <w:r>
        <w:rPr>
          <w:rStyle w:val="normaltextrun"/>
          <w:rFonts w:ascii="Calibri" w:hAnsi="Calibri" w:cs="Calibri"/>
        </w:rPr>
        <w:t>w</w:t>
      </w:r>
      <w:r>
        <w:rPr>
          <w:rStyle w:val="normaltextrun"/>
          <w:rFonts w:ascii="Calibri" w:hAnsi="Calibri" w:cs="Calibri"/>
        </w:rPr>
        <w:t xml:space="preserve">e generally support </w:t>
      </w:r>
      <w:r>
        <w:rPr>
          <w:rStyle w:val="normaltextrun"/>
          <w:rFonts w:ascii="Calibri" w:hAnsi="Calibri" w:cs="Calibri"/>
        </w:rPr>
        <w:t>it</w:t>
      </w:r>
      <w:r>
        <w:rPr>
          <w:rStyle w:val="normaltextrun"/>
          <w:rFonts w:ascii="Calibri" w:hAnsi="Calibri" w:cs="Calibri"/>
        </w:rPr>
        <w:t xml:space="preserve"> as it has been proposed in the third revised draft LBI. </w:t>
      </w:r>
      <w:r>
        <w:rPr>
          <w:rStyle w:val="eop"/>
          <w:rFonts w:ascii="Calibri" w:hAnsi="Calibri" w:cs="Calibri"/>
        </w:rPr>
        <w:t> </w:t>
      </w:r>
    </w:p>
    <w:p w14:paraId="2A53E6C7" w14:textId="77777777" w:rsidR="0070276E" w:rsidRDefault="0070276E" w:rsidP="007027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FC92526" w14:textId="77777777" w:rsidR="0070276E" w:rsidRDefault="0070276E" w:rsidP="007027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We support suggestions made by States on the third draft to say both abuses and violations in this article.</w:t>
      </w:r>
      <w:r>
        <w:rPr>
          <w:rStyle w:val="eop"/>
          <w:rFonts w:ascii="Calibri" w:hAnsi="Calibri" w:cs="Calibri"/>
        </w:rPr>
        <w:t> </w:t>
      </w:r>
    </w:p>
    <w:p w14:paraId="12A3203D" w14:textId="77777777" w:rsidR="0070276E" w:rsidRDefault="0070276E" w:rsidP="007027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7187A56" w14:textId="75075144" w:rsidR="0070276E" w:rsidRDefault="0070276E" w:rsidP="007027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We also support the maintenance of the reference to </w:t>
      </w:r>
      <w:r>
        <w:rPr>
          <w:rStyle w:val="normaltextrun"/>
          <w:rFonts w:ascii="Calibri" w:hAnsi="Calibri" w:cs="Calibri"/>
        </w:rPr>
        <w:t>f</w:t>
      </w:r>
      <w:r>
        <w:rPr>
          <w:rStyle w:val="normaltextrun"/>
          <w:rFonts w:ascii="Calibri" w:hAnsi="Calibri" w:cs="Calibri"/>
        </w:rPr>
        <w:t xml:space="preserve">orum non </w:t>
      </w:r>
      <w:proofErr w:type="spellStart"/>
      <w:r>
        <w:rPr>
          <w:rStyle w:val="normaltextrun"/>
          <w:rFonts w:ascii="Calibri" w:hAnsi="Calibri" w:cs="Calibri"/>
        </w:rPr>
        <w:t>conveniens</w:t>
      </w:r>
      <w:proofErr w:type="spellEnd"/>
      <w:r>
        <w:rPr>
          <w:rStyle w:val="normaltextrun"/>
          <w:rFonts w:ascii="Calibri" w:hAnsi="Calibri" w:cs="Calibri"/>
        </w:rPr>
        <w:t xml:space="preserve"> as one of the doctrines that should not be imposed as a legal obstacle to initiate proceedings, as it is in article 9.3 of the third draft and as supported by several States.</w:t>
      </w:r>
      <w:r>
        <w:rPr>
          <w:rStyle w:val="eop"/>
          <w:rFonts w:ascii="Calibri" w:hAnsi="Calibri" w:cs="Calibri"/>
        </w:rPr>
        <w:t> </w:t>
      </w:r>
    </w:p>
    <w:p w14:paraId="2119F53C" w14:textId="77777777" w:rsidR="0070276E" w:rsidRDefault="0070276E" w:rsidP="007027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BE1B6EA" w14:textId="34C58F85" w:rsidR="0070276E" w:rsidRDefault="0070276E" w:rsidP="007027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We hear the point made by some States that this is not a concept or doctrine that is being used in all legal systems. However, as it is mentioned in article 9.3, it is only one of the obstacles covered (the word including is used in article 9.3 of the third draft), and so not excluding others. In turn, since in our experience, this doctrine is a very real obstacle to legitimate attempts by victims to access remedies in an appropriate jurisdiction and de facto leading to denial of justice, we think it is important to list it explicitly. </w:t>
      </w:r>
      <w:r>
        <w:rPr>
          <w:rStyle w:val="eop"/>
          <w:rFonts w:ascii="Calibri" w:hAnsi="Calibri" w:cs="Calibri"/>
        </w:rPr>
        <w:t> </w:t>
      </w:r>
    </w:p>
    <w:p w14:paraId="1D333116" w14:textId="77777777" w:rsidR="0070276E" w:rsidRDefault="0070276E" w:rsidP="007027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FEED90E" w14:textId="3CA8D417" w:rsidR="0070276E" w:rsidRDefault="0070276E" w:rsidP="007027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Another point that is slightly more general but should have specific implications in the future drafts is an issue we hear from many victims of business abuses and misconduct: </w:t>
      </w:r>
      <w:r>
        <w:rPr>
          <w:rStyle w:val="normaltextrun"/>
          <w:rFonts w:ascii="Calibri" w:hAnsi="Calibri" w:cs="Calibri"/>
        </w:rPr>
        <w:t>m</w:t>
      </w:r>
      <w:r>
        <w:rPr>
          <w:rStyle w:val="normaltextrun"/>
          <w:rFonts w:ascii="Calibri" w:hAnsi="Calibri" w:cs="Calibri"/>
        </w:rPr>
        <w:t xml:space="preserve">any of them and their lawyers highlight that they need to have access to information including </w:t>
      </w:r>
      <w:proofErr w:type="gramStart"/>
      <w:r>
        <w:rPr>
          <w:rStyle w:val="normaltextrun"/>
          <w:rFonts w:ascii="Calibri" w:hAnsi="Calibri" w:cs="Calibri"/>
        </w:rPr>
        <w:t>in regard to</w:t>
      </w:r>
      <w:proofErr w:type="gramEnd"/>
      <w:r>
        <w:rPr>
          <w:rStyle w:val="normaltextrun"/>
          <w:rFonts w:ascii="Calibri" w:hAnsi="Calibri" w:cs="Calibri"/>
        </w:rPr>
        <w:t xml:space="preserve"> where a company is domiciled, and the location of their assets. Corporate disclosure rules should facilitate information for communities they work with. We thus encourage States to keep strong language about access to information for the proceedings themselves (related to evidence, etc</w:t>
      </w:r>
      <w:r>
        <w:rPr>
          <w:rStyle w:val="normaltextrun"/>
          <w:rFonts w:ascii="Calibri" w:hAnsi="Calibri" w:cs="Calibri"/>
        </w:rPr>
        <w:t>.</w:t>
      </w:r>
      <w:r>
        <w:rPr>
          <w:rStyle w:val="normaltextrun"/>
          <w:rFonts w:ascii="Calibri" w:hAnsi="Calibri" w:cs="Calibri"/>
        </w:rPr>
        <w:t>) as in article 7 of the LBI but also to consider access to information as a prerequisite to make decisions on jurisdiction to bring a claim.</w:t>
      </w:r>
      <w:r>
        <w:rPr>
          <w:rStyle w:val="eop"/>
          <w:rFonts w:ascii="Calibri" w:hAnsi="Calibri" w:cs="Calibri"/>
        </w:rPr>
        <w:t> </w:t>
      </w:r>
    </w:p>
    <w:p w14:paraId="4F00B240" w14:textId="77777777" w:rsidR="0070276E" w:rsidRDefault="0070276E"/>
    <w:sectPr w:rsidR="007027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B113" w14:textId="77777777" w:rsidR="00995AD9" w:rsidRDefault="00995AD9" w:rsidP="0070276E">
      <w:r>
        <w:separator/>
      </w:r>
    </w:p>
  </w:endnote>
  <w:endnote w:type="continuationSeparator" w:id="0">
    <w:p w14:paraId="733AE8BA" w14:textId="77777777" w:rsidR="00995AD9" w:rsidRDefault="00995AD9" w:rsidP="0070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5249" w14:textId="77777777" w:rsidR="00995AD9" w:rsidRDefault="00995AD9" w:rsidP="0070276E">
      <w:r>
        <w:separator/>
      </w:r>
    </w:p>
  </w:footnote>
  <w:footnote w:type="continuationSeparator" w:id="0">
    <w:p w14:paraId="40FD5E3F" w14:textId="77777777" w:rsidR="00995AD9" w:rsidRDefault="00995AD9" w:rsidP="0070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C98B" w14:textId="68CE6D71" w:rsidR="0070276E" w:rsidRDefault="0070276E">
    <w:pPr>
      <w:pStyle w:val="Header"/>
    </w:pPr>
    <w:r>
      <w:rPr>
        <w:noProof/>
      </w:rPr>
      <w:drawing>
        <wp:inline distT="0" distB="0" distL="0" distR="0" wp14:anchorId="524966C2" wp14:editId="203FA18E">
          <wp:extent cx="5943600" cy="94424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944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6E"/>
    <w:rsid w:val="002E4583"/>
    <w:rsid w:val="00646D22"/>
    <w:rsid w:val="0070276E"/>
    <w:rsid w:val="0094751E"/>
    <w:rsid w:val="00995AD9"/>
    <w:rsid w:val="00F5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36945"/>
  <w15:chartTrackingRefBased/>
  <w15:docId w15:val="{BA502E02-5D22-3D4E-90A7-58E200DC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276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0276E"/>
  </w:style>
  <w:style w:type="character" w:customStyle="1" w:styleId="eop">
    <w:name w:val="eop"/>
    <w:basedOn w:val="DefaultParagraphFont"/>
    <w:rsid w:val="0070276E"/>
  </w:style>
  <w:style w:type="paragraph" w:styleId="Header">
    <w:name w:val="header"/>
    <w:basedOn w:val="Normal"/>
    <w:link w:val="HeaderChar"/>
    <w:uiPriority w:val="99"/>
    <w:unhideWhenUsed/>
    <w:rsid w:val="0070276E"/>
    <w:pPr>
      <w:tabs>
        <w:tab w:val="center" w:pos="4680"/>
        <w:tab w:val="right" w:pos="9360"/>
      </w:tabs>
    </w:pPr>
  </w:style>
  <w:style w:type="character" w:customStyle="1" w:styleId="HeaderChar">
    <w:name w:val="Header Char"/>
    <w:basedOn w:val="DefaultParagraphFont"/>
    <w:link w:val="Header"/>
    <w:uiPriority w:val="99"/>
    <w:rsid w:val="0070276E"/>
  </w:style>
  <w:style w:type="paragraph" w:styleId="Footer">
    <w:name w:val="footer"/>
    <w:basedOn w:val="Normal"/>
    <w:link w:val="FooterChar"/>
    <w:uiPriority w:val="99"/>
    <w:unhideWhenUsed/>
    <w:rsid w:val="0070276E"/>
    <w:pPr>
      <w:tabs>
        <w:tab w:val="center" w:pos="4680"/>
        <w:tab w:val="right" w:pos="9360"/>
      </w:tabs>
    </w:pPr>
  </w:style>
  <w:style w:type="character" w:customStyle="1" w:styleId="FooterChar">
    <w:name w:val="Footer Char"/>
    <w:basedOn w:val="DefaultParagraphFont"/>
    <w:link w:val="Footer"/>
    <w:uiPriority w:val="99"/>
    <w:rsid w:val="00702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40899">
      <w:bodyDiv w:val="1"/>
      <w:marLeft w:val="0"/>
      <w:marRight w:val="0"/>
      <w:marTop w:val="0"/>
      <w:marBottom w:val="0"/>
      <w:divBdr>
        <w:top w:val="none" w:sz="0" w:space="0" w:color="auto"/>
        <w:left w:val="none" w:sz="0" w:space="0" w:color="auto"/>
        <w:bottom w:val="none" w:sz="0" w:space="0" w:color="auto"/>
        <w:right w:val="none" w:sz="0" w:space="0" w:color="auto"/>
      </w:divBdr>
      <w:divsChild>
        <w:div w:id="1484617274">
          <w:marLeft w:val="0"/>
          <w:marRight w:val="0"/>
          <w:marTop w:val="0"/>
          <w:marBottom w:val="0"/>
          <w:divBdr>
            <w:top w:val="none" w:sz="0" w:space="0" w:color="auto"/>
            <w:left w:val="none" w:sz="0" w:space="0" w:color="auto"/>
            <w:bottom w:val="none" w:sz="0" w:space="0" w:color="auto"/>
            <w:right w:val="none" w:sz="0" w:space="0" w:color="auto"/>
          </w:divBdr>
        </w:div>
        <w:div w:id="1144465197">
          <w:marLeft w:val="0"/>
          <w:marRight w:val="0"/>
          <w:marTop w:val="0"/>
          <w:marBottom w:val="0"/>
          <w:divBdr>
            <w:top w:val="none" w:sz="0" w:space="0" w:color="auto"/>
            <w:left w:val="none" w:sz="0" w:space="0" w:color="auto"/>
            <w:bottom w:val="none" w:sz="0" w:space="0" w:color="auto"/>
            <w:right w:val="none" w:sz="0" w:space="0" w:color="auto"/>
          </w:divBdr>
        </w:div>
        <w:div w:id="2084909954">
          <w:marLeft w:val="0"/>
          <w:marRight w:val="0"/>
          <w:marTop w:val="0"/>
          <w:marBottom w:val="0"/>
          <w:divBdr>
            <w:top w:val="none" w:sz="0" w:space="0" w:color="auto"/>
            <w:left w:val="none" w:sz="0" w:space="0" w:color="auto"/>
            <w:bottom w:val="none" w:sz="0" w:space="0" w:color="auto"/>
            <w:right w:val="none" w:sz="0" w:space="0" w:color="auto"/>
          </w:divBdr>
        </w:div>
        <w:div w:id="576133815">
          <w:marLeft w:val="0"/>
          <w:marRight w:val="0"/>
          <w:marTop w:val="0"/>
          <w:marBottom w:val="0"/>
          <w:divBdr>
            <w:top w:val="none" w:sz="0" w:space="0" w:color="auto"/>
            <w:left w:val="none" w:sz="0" w:space="0" w:color="auto"/>
            <w:bottom w:val="none" w:sz="0" w:space="0" w:color="auto"/>
            <w:right w:val="none" w:sz="0" w:space="0" w:color="auto"/>
          </w:divBdr>
        </w:div>
        <w:div w:id="1530877305">
          <w:marLeft w:val="0"/>
          <w:marRight w:val="0"/>
          <w:marTop w:val="0"/>
          <w:marBottom w:val="0"/>
          <w:divBdr>
            <w:top w:val="none" w:sz="0" w:space="0" w:color="auto"/>
            <w:left w:val="none" w:sz="0" w:space="0" w:color="auto"/>
            <w:bottom w:val="none" w:sz="0" w:space="0" w:color="auto"/>
            <w:right w:val="none" w:sz="0" w:space="0" w:color="auto"/>
          </w:divBdr>
        </w:div>
        <w:div w:id="581330975">
          <w:marLeft w:val="0"/>
          <w:marRight w:val="0"/>
          <w:marTop w:val="0"/>
          <w:marBottom w:val="0"/>
          <w:divBdr>
            <w:top w:val="none" w:sz="0" w:space="0" w:color="auto"/>
            <w:left w:val="none" w:sz="0" w:space="0" w:color="auto"/>
            <w:bottom w:val="none" w:sz="0" w:space="0" w:color="auto"/>
            <w:right w:val="none" w:sz="0" w:space="0" w:color="auto"/>
          </w:divBdr>
        </w:div>
        <w:div w:id="484473402">
          <w:marLeft w:val="0"/>
          <w:marRight w:val="0"/>
          <w:marTop w:val="0"/>
          <w:marBottom w:val="0"/>
          <w:divBdr>
            <w:top w:val="none" w:sz="0" w:space="0" w:color="auto"/>
            <w:left w:val="none" w:sz="0" w:space="0" w:color="auto"/>
            <w:bottom w:val="none" w:sz="0" w:space="0" w:color="auto"/>
            <w:right w:val="none" w:sz="0" w:space="0" w:color="auto"/>
          </w:divBdr>
        </w:div>
        <w:div w:id="796752264">
          <w:marLeft w:val="0"/>
          <w:marRight w:val="0"/>
          <w:marTop w:val="0"/>
          <w:marBottom w:val="0"/>
          <w:divBdr>
            <w:top w:val="none" w:sz="0" w:space="0" w:color="auto"/>
            <w:left w:val="none" w:sz="0" w:space="0" w:color="auto"/>
            <w:bottom w:val="none" w:sz="0" w:space="0" w:color="auto"/>
            <w:right w:val="none" w:sz="0" w:space="0" w:color="auto"/>
          </w:divBdr>
        </w:div>
        <w:div w:id="312607718">
          <w:marLeft w:val="0"/>
          <w:marRight w:val="0"/>
          <w:marTop w:val="0"/>
          <w:marBottom w:val="0"/>
          <w:divBdr>
            <w:top w:val="none" w:sz="0" w:space="0" w:color="auto"/>
            <w:left w:val="none" w:sz="0" w:space="0" w:color="auto"/>
            <w:bottom w:val="none" w:sz="0" w:space="0" w:color="auto"/>
            <w:right w:val="none" w:sz="0" w:space="0" w:color="auto"/>
          </w:divBdr>
        </w:div>
        <w:div w:id="395590698">
          <w:marLeft w:val="0"/>
          <w:marRight w:val="0"/>
          <w:marTop w:val="0"/>
          <w:marBottom w:val="0"/>
          <w:divBdr>
            <w:top w:val="none" w:sz="0" w:space="0" w:color="auto"/>
            <w:left w:val="none" w:sz="0" w:space="0" w:color="auto"/>
            <w:bottom w:val="none" w:sz="0" w:space="0" w:color="auto"/>
            <w:right w:val="none" w:sz="0" w:space="0" w:color="auto"/>
          </w:divBdr>
        </w:div>
        <w:div w:id="593591816">
          <w:marLeft w:val="0"/>
          <w:marRight w:val="0"/>
          <w:marTop w:val="0"/>
          <w:marBottom w:val="0"/>
          <w:divBdr>
            <w:top w:val="none" w:sz="0" w:space="0" w:color="auto"/>
            <w:left w:val="none" w:sz="0" w:space="0" w:color="auto"/>
            <w:bottom w:val="none" w:sz="0" w:space="0" w:color="auto"/>
            <w:right w:val="none" w:sz="0" w:space="0" w:color="auto"/>
          </w:divBdr>
        </w:div>
        <w:div w:id="449936828">
          <w:marLeft w:val="0"/>
          <w:marRight w:val="0"/>
          <w:marTop w:val="0"/>
          <w:marBottom w:val="0"/>
          <w:divBdr>
            <w:top w:val="none" w:sz="0" w:space="0" w:color="auto"/>
            <w:left w:val="none" w:sz="0" w:space="0" w:color="auto"/>
            <w:bottom w:val="none" w:sz="0" w:space="0" w:color="auto"/>
            <w:right w:val="none" w:sz="0" w:space="0" w:color="auto"/>
          </w:divBdr>
        </w:div>
        <w:div w:id="1137262865">
          <w:marLeft w:val="0"/>
          <w:marRight w:val="0"/>
          <w:marTop w:val="0"/>
          <w:marBottom w:val="0"/>
          <w:divBdr>
            <w:top w:val="none" w:sz="0" w:space="0" w:color="auto"/>
            <w:left w:val="none" w:sz="0" w:space="0" w:color="auto"/>
            <w:bottom w:val="none" w:sz="0" w:space="0" w:color="auto"/>
            <w:right w:val="none" w:sz="0" w:space="0" w:color="auto"/>
          </w:divBdr>
        </w:div>
        <w:div w:id="839851138">
          <w:marLeft w:val="0"/>
          <w:marRight w:val="0"/>
          <w:marTop w:val="0"/>
          <w:marBottom w:val="0"/>
          <w:divBdr>
            <w:top w:val="none" w:sz="0" w:space="0" w:color="auto"/>
            <w:left w:val="none" w:sz="0" w:space="0" w:color="auto"/>
            <w:bottom w:val="none" w:sz="0" w:space="0" w:color="auto"/>
            <w:right w:val="none" w:sz="0" w:space="0" w:color="auto"/>
          </w:divBdr>
        </w:div>
        <w:div w:id="636959908">
          <w:marLeft w:val="0"/>
          <w:marRight w:val="0"/>
          <w:marTop w:val="0"/>
          <w:marBottom w:val="0"/>
          <w:divBdr>
            <w:top w:val="none" w:sz="0" w:space="0" w:color="auto"/>
            <w:left w:val="none" w:sz="0" w:space="0" w:color="auto"/>
            <w:bottom w:val="none" w:sz="0" w:space="0" w:color="auto"/>
            <w:right w:val="none" w:sz="0" w:space="0" w:color="auto"/>
          </w:divBdr>
        </w:div>
        <w:div w:id="172505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ECA8E-7432-4C91-91B8-4077EC4FC559}"/>
</file>

<file path=customXml/itemProps2.xml><?xml version="1.0" encoding="utf-8"?>
<ds:datastoreItem xmlns:ds="http://schemas.openxmlformats.org/officeDocument/2006/customXml" ds:itemID="{7F967F7C-26FE-4143-9CD3-4402B9A14330}"/>
</file>

<file path=customXml/itemProps3.xml><?xml version="1.0" encoding="utf-8"?>
<ds:datastoreItem xmlns:ds="http://schemas.openxmlformats.org/officeDocument/2006/customXml" ds:itemID="{ACCF3D04-BF65-4A11-B026-F6D1EF71F3D4}"/>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 Farah</dc:creator>
  <cp:keywords/>
  <dc:description/>
  <cp:lastModifiedBy>Marya Farah</cp:lastModifiedBy>
  <cp:revision>1</cp:revision>
  <dcterms:created xsi:type="dcterms:W3CDTF">2022-10-26T09:49:00Z</dcterms:created>
  <dcterms:modified xsi:type="dcterms:W3CDTF">2022-10-26T09:58:00Z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