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22" w:rsidRDefault="00556368">
      <w:pPr>
        <w:pStyle w:val="BodyText"/>
        <w:spacing w:before="240" w:after="0" w:line="331" w:lineRule="auto"/>
        <w:jc w:val="both"/>
        <w:rPr>
          <w:rFonts w:ascii="Times New Roman" w:hAnsi="Times New Roman"/>
        </w:rPr>
      </w:pPr>
      <w:bookmarkStart w:id="0" w:name="_GoBack"/>
      <w:bookmarkEnd w:id="0"/>
      <w:r>
        <w:rPr>
          <w:rFonts w:ascii="Times New Roman" w:hAnsi="Times New Roman"/>
          <w:b/>
          <w:bCs/>
          <w:color w:val="000000"/>
          <w:lang w:val="es-ES"/>
        </w:rPr>
        <w:t xml:space="preserve">OEIGWG – 8th </w:t>
      </w:r>
      <w:proofErr w:type="spellStart"/>
      <w:r>
        <w:rPr>
          <w:rFonts w:ascii="Times New Roman" w:hAnsi="Times New Roman"/>
          <w:b/>
          <w:bCs/>
          <w:color w:val="000000"/>
          <w:lang w:val="es-ES"/>
        </w:rPr>
        <w:t>session</w:t>
      </w:r>
      <w:proofErr w:type="spellEnd"/>
      <w:r>
        <w:rPr>
          <w:rFonts w:ascii="Times New Roman" w:hAnsi="Times New Roman"/>
          <w:b/>
          <w:bCs/>
          <w:color w:val="000000"/>
          <w:lang w:val="es-ES"/>
        </w:rPr>
        <w:t xml:space="preserve"> / Declaración oral / </w:t>
      </w:r>
      <w:proofErr w:type="spellStart"/>
      <w:r>
        <w:rPr>
          <w:rFonts w:ascii="Times New Roman" w:hAnsi="Times New Roman"/>
          <w:b/>
          <w:bCs/>
          <w:color w:val="000000"/>
          <w:lang w:val="es-ES"/>
        </w:rPr>
        <w:t>Article</w:t>
      </w:r>
      <w:proofErr w:type="spellEnd"/>
      <w:r>
        <w:rPr>
          <w:rFonts w:ascii="Times New Roman" w:hAnsi="Times New Roman"/>
          <w:b/>
          <w:bCs/>
          <w:color w:val="000000"/>
          <w:lang w:val="es-ES"/>
        </w:rPr>
        <w:t xml:space="preserve"> 13</w:t>
      </w:r>
    </w:p>
    <w:p w:rsidR="00D04622" w:rsidRDefault="00556368">
      <w:pPr>
        <w:pStyle w:val="BodyText"/>
        <w:spacing w:before="240" w:after="0" w:line="331" w:lineRule="auto"/>
        <w:jc w:val="both"/>
        <w:rPr>
          <w:rFonts w:ascii="Times New Roman" w:hAnsi="Times New Roman"/>
        </w:rPr>
      </w:pPr>
      <w:r>
        <w:rPr>
          <w:rFonts w:ascii="Times New Roman" w:hAnsi="Times New Roman"/>
          <w:b/>
          <w:bCs/>
          <w:color w:val="000000"/>
          <w:lang w:val="es-ES"/>
        </w:rPr>
        <w:t xml:space="preserve">Speaker: Antonio Salvador / </w:t>
      </w:r>
      <w:proofErr w:type="spellStart"/>
      <w:r>
        <w:rPr>
          <w:rFonts w:ascii="Times New Roman" w:hAnsi="Times New Roman"/>
          <w:b/>
          <w:bCs/>
          <w:color w:val="000000"/>
          <w:lang w:val="es-ES"/>
        </w:rPr>
        <w:t>Joint</w:t>
      </w:r>
      <w:proofErr w:type="spellEnd"/>
      <w:r>
        <w:rPr>
          <w:rFonts w:ascii="Times New Roman" w:hAnsi="Times New Roman"/>
          <w:b/>
          <w:bCs/>
          <w:color w:val="000000"/>
          <w:lang w:val="es-ES"/>
        </w:rPr>
        <w:t xml:space="preserve"> </w:t>
      </w:r>
      <w:proofErr w:type="spellStart"/>
      <w:r>
        <w:rPr>
          <w:rFonts w:ascii="Times New Roman" w:hAnsi="Times New Roman"/>
          <w:b/>
          <w:bCs/>
          <w:color w:val="000000"/>
          <w:lang w:val="es-ES"/>
        </w:rPr>
        <w:t>statement</w:t>
      </w:r>
      <w:proofErr w:type="spellEnd"/>
      <w:r>
        <w:rPr>
          <w:rFonts w:ascii="Times New Roman" w:hAnsi="Times New Roman"/>
          <w:b/>
          <w:bCs/>
          <w:color w:val="000000"/>
          <w:lang w:val="es-ES"/>
        </w:rPr>
        <w:t xml:space="preserve">: Centre </w:t>
      </w:r>
      <w:proofErr w:type="spellStart"/>
      <w:r>
        <w:rPr>
          <w:rFonts w:ascii="Times New Roman" w:hAnsi="Times New Roman"/>
          <w:b/>
          <w:bCs/>
          <w:color w:val="000000"/>
          <w:lang w:val="es-ES"/>
        </w:rPr>
        <w:t>Europe</w:t>
      </w:r>
      <w:proofErr w:type="spellEnd"/>
      <w:r>
        <w:rPr>
          <w:rFonts w:ascii="Times New Roman" w:hAnsi="Times New Roman"/>
          <w:b/>
          <w:bCs/>
          <w:color w:val="000000"/>
          <w:lang w:val="es-ES"/>
        </w:rPr>
        <w:t xml:space="preserve"> – </w:t>
      </w:r>
      <w:proofErr w:type="spellStart"/>
      <w:r>
        <w:rPr>
          <w:rFonts w:ascii="Times New Roman" w:hAnsi="Times New Roman"/>
          <w:b/>
          <w:bCs/>
          <w:color w:val="000000"/>
          <w:lang w:val="es-ES"/>
        </w:rPr>
        <w:t>Tiers</w:t>
      </w:r>
      <w:proofErr w:type="spellEnd"/>
      <w:r>
        <w:rPr>
          <w:rFonts w:ascii="Times New Roman" w:hAnsi="Times New Roman"/>
          <w:b/>
          <w:bCs/>
          <w:color w:val="000000"/>
          <w:lang w:val="es-ES"/>
        </w:rPr>
        <w:t xml:space="preserve"> monde and </w:t>
      </w:r>
      <w:proofErr w:type="spellStart"/>
      <w:r>
        <w:rPr>
          <w:rFonts w:ascii="Times New Roman" w:hAnsi="Times New Roman"/>
          <w:b/>
          <w:bCs/>
          <w:color w:val="000000"/>
          <w:lang w:val="es-ES"/>
        </w:rPr>
        <w:t>Corporate</w:t>
      </w:r>
      <w:proofErr w:type="spellEnd"/>
      <w:r>
        <w:rPr>
          <w:rFonts w:ascii="Times New Roman" w:hAnsi="Times New Roman"/>
          <w:b/>
          <w:bCs/>
          <w:color w:val="000000"/>
          <w:lang w:val="es-ES"/>
        </w:rPr>
        <w:t xml:space="preserve"> </w:t>
      </w:r>
      <w:proofErr w:type="spellStart"/>
      <w:r>
        <w:rPr>
          <w:rFonts w:ascii="Times New Roman" w:hAnsi="Times New Roman"/>
          <w:b/>
          <w:bCs/>
          <w:color w:val="000000"/>
          <w:lang w:val="es-ES"/>
        </w:rPr>
        <w:t>Accoutability</w:t>
      </w:r>
      <w:proofErr w:type="spellEnd"/>
      <w:r>
        <w:rPr>
          <w:rFonts w:ascii="Times New Roman" w:hAnsi="Times New Roman"/>
          <w:b/>
          <w:bCs/>
          <w:color w:val="000000"/>
          <w:lang w:val="es-ES"/>
        </w:rPr>
        <w:t xml:space="preserve"> International</w:t>
      </w:r>
    </w:p>
    <w:p w:rsidR="00D04622" w:rsidRDefault="00D04622">
      <w:pPr>
        <w:spacing w:before="240" w:line="331" w:lineRule="auto"/>
        <w:jc w:val="both"/>
        <w:rPr>
          <w:rFonts w:ascii="Times New Roman" w:hAnsi="Times New Roman"/>
        </w:rPr>
      </w:pPr>
      <w:bookmarkStart w:id="1" w:name="docs-internal-guid-9db7aa49-7fff-9f9a-77"/>
      <w:bookmarkEnd w:id="1"/>
    </w:p>
    <w:p w:rsidR="00D04622" w:rsidRDefault="00556368">
      <w:pPr>
        <w:pStyle w:val="BodyText"/>
        <w:spacing w:after="0" w:line="331" w:lineRule="auto"/>
        <w:jc w:val="both"/>
        <w:rPr>
          <w:rFonts w:ascii="Times New Roman" w:hAnsi="Times New Roman"/>
          <w:color w:val="000000"/>
        </w:rPr>
      </w:pPr>
      <w:r>
        <w:rPr>
          <w:rFonts w:ascii="Times New Roman" w:hAnsi="Times New Roman"/>
          <w:color w:val="000000"/>
        </w:rPr>
        <w:t>Thank you, Mr. Chair</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rPr>
      </w:pPr>
      <w:r>
        <w:rPr>
          <w:rFonts w:ascii="Times New Roman" w:hAnsi="Times New Roman"/>
          <w:color w:val="000000"/>
        </w:rPr>
        <w:t xml:space="preserve">My name Antonio </w:t>
      </w:r>
      <w:proofErr w:type="gramStart"/>
      <w:r>
        <w:rPr>
          <w:rFonts w:ascii="Times New Roman" w:hAnsi="Times New Roman"/>
          <w:color w:val="000000"/>
        </w:rPr>
        <w:t>Salvador,  as</w:t>
      </w:r>
      <w:proofErr w:type="gramEnd"/>
      <w:r>
        <w:rPr>
          <w:rFonts w:ascii="Times New Roman" w:hAnsi="Times New Roman"/>
          <w:color w:val="000000"/>
        </w:rPr>
        <w:t xml:space="preserve"> member of the Asian Task Force on</w:t>
      </w:r>
      <w:r>
        <w:rPr>
          <w:rFonts w:ascii="Times New Roman" w:hAnsi="Times New Roman"/>
          <w:color w:val="000000"/>
        </w:rPr>
        <w:t xml:space="preserve"> the LBI, Trade Justice </w:t>
      </w:r>
      <w:proofErr w:type="spellStart"/>
      <w:r>
        <w:rPr>
          <w:rFonts w:ascii="Times New Roman" w:hAnsi="Times New Roman"/>
          <w:color w:val="000000"/>
        </w:rPr>
        <w:t>Pilipinas</w:t>
      </w:r>
      <w:proofErr w:type="spellEnd"/>
      <w:r>
        <w:rPr>
          <w:rFonts w:ascii="Times New Roman" w:hAnsi="Times New Roman"/>
          <w:color w:val="000000"/>
        </w:rPr>
        <w:t xml:space="preserve">, Third World Network, and SENTRO </w:t>
      </w:r>
      <w:proofErr w:type="spellStart"/>
      <w:r>
        <w:rPr>
          <w:rFonts w:ascii="Times New Roman" w:hAnsi="Times New Roman"/>
          <w:color w:val="000000"/>
        </w:rPr>
        <w:t>Labor</w:t>
      </w:r>
      <w:proofErr w:type="spellEnd"/>
      <w:r>
        <w:rPr>
          <w:rFonts w:ascii="Times New Roman" w:hAnsi="Times New Roman"/>
          <w:color w:val="000000"/>
        </w:rPr>
        <w:t xml:space="preserve"> Union, and I speak on behalf  of  Centre Europe – Tiers monde (CETIM).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240" w:line="331" w:lineRule="auto"/>
        <w:rPr>
          <w:rFonts w:ascii="Times New Roman" w:hAnsi="Times New Roman"/>
          <w:color w:val="000000"/>
        </w:rPr>
      </w:pPr>
      <w:r>
        <w:rPr>
          <w:rFonts w:ascii="Times New Roman" w:hAnsi="Times New Roman"/>
          <w:color w:val="000000"/>
        </w:rPr>
        <w:t xml:space="preserve">We respectfully express our support for the language proposed by Palestine in Art. 13.2., which provides for </w:t>
      </w:r>
      <w:r>
        <w:rPr>
          <w:rFonts w:ascii="Times New Roman" w:hAnsi="Times New Roman"/>
          <w:color w:val="000000"/>
        </w:rPr>
        <w:t>a non-exhaustive list of measures for international cooperation.  </w:t>
      </w:r>
    </w:p>
    <w:p w:rsidR="00D04622" w:rsidRDefault="00556368">
      <w:pPr>
        <w:pStyle w:val="BodyText"/>
        <w:spacing w:after="240" w:line="331" w:lineRule="auto"/>
        <w:rPr>
          <w:rFonts w:ascii="Times New Roman" w:hAnsi="Times New Roman"/>
        </w:rPr>
      </w:pPr>
      <w:r>
        <w:rPr>
          <w:rFonts w:ascii="Times New Roman" w:hAnsi="Times New Roman"/>
          <w:color w:val="000000"/>
        </w:rPr>
        <w:t xml:space="preserve">The letter and spirit of </w:t>
      </w:r>
      <w:r>
        <w:rPr>
          <w:rFonts w:ascii="Times New Roman" w:hAnsi="Times New Roman"/>
          <w:b/>
          <w:color w:val="000000"/>
          <w:u w:val="single"/>
        </w:rPr>
        <w:t xml:space="preserve">Art. 13 </w:t>
      </w:r>
      <w:r>
        <w:rPr>
          <w:rFonts w:ascii="Times New Roman" w:hAnsi="Times New Roman"/>
          <w:color w:val="000000"/>
        </w:rPr>
        <w:t xml:space="preserve">are obviously motivated and inspired by the need to give access to justice to victims of human rights abuses, </w:t>
      </w:r>
      <w:proofErr w:type="spellStart"/>
      <w:r>
        <w:rPr>
          <w:rFonts w:ascii="Times New Roman" w:hAnsi="Times New Roman"/>
          <w:color w:val="000000"/>
        </w:rPr>
        <w:t>labor</w:t>
      </w:r>
      <w:proofErr w:type="spellEnd"/>
      <w:r>
        <w:rPr>
          <w:rFonts w:ascii="Times New Roman" w:hAnsi="Times New Roman"/>
          <w:color w:val="000000"/>
        </w:rPr>
        <w:t xml:space="preserve"> rights violations, and environmental deg</w:t>
      </w:r>
      <w:r>
        <w:rPr>
          <w:rFonts w:ascii="Times New Roman" w:hAnsi="Times New Roman"/>
          <w:color w:val="000000"/>
        </w:rPr>
        <w:t>radation perpetrated by TNCs – not DIRECTLY – BUT through their GLOBAL VALUE CHAINS, which are working as mere agents or representatives of these TNCs. Thus, the workers of these subcontractors should be treated as employees of the TNCs. </w:t>
      </w:r>
    </w:p>
    <w:p w:rsidR="00D04622" w:rsidRDefault="00556368">
      <w:pPr>
        <w:pStyle w:val="BodyText"/>
        <w:spacing w:after="240" w:line="331" w:lineRule="auto"/>
        <w:rPr>
          <w:rFonts w:ascii="Times New Roman" w:hAnsi="Times New Roman"/>
        </w:rPr>
      </w:pPr>
      <w:r>
        <w:rPr>
          <w:rFonts w:ascii="Times New Roman" w:hAnsi="Times New Roman"/>
          <w:b/>
          <w:color w:val="000000"/>
          <w:u w:val="single"/>
        </w:rPr>
        <w:t>As regards the IL</w:t>
      </w:r>
      <w:r>
        <w:rPr>
          <w:rFonts w:ascii="Times New Roman" w:hAnsi="Times New Roman"/>
          <w:b/>
          <w:color w:val="000000"/>
          <w:u w:val="single"/>
        </w:rPr>
        <w:t xml:space="preserve">O Conventions and national </w:t>
      </w:r>
      <w:proofErr w:type="spellStart"/>
      <w:r>
        <w:rPr>
          <w:rFonts w:ascii="Times New Roman" w:hAnsi="Times New Roman"/>
          <w:b/>
          <w:color w:val="000000"/>
          <w:u w:val="single"/>
        </w:rPr>
        <w:t>labor</w:t>
      </w:r>
      <w:proofErr w:type="spellEnd"/>
      <w:r>
        <w:rPr>
          <w:rFonts w:ascii="Times New Roman" w:hAnsi="Times New Roman"/>
          <w:b/>
          <w:color w:val="000000"/>
          <w:u w:val="single"/>
        </w:rPr>
        <w:t xml:space="preserve"> laws, the </w:t>
      </w:r>
      <w:r>
        <w:rPr>
          <w:rFonts w:ascii="Times New Roman" w:hAnsi="Times New Roman"/>
          <w:color w:val="000000"/>
        </w:rPr>
        <w:t>TNC should be responsible to the workers who make its products, regardless of the characterization of the contract between the TNC and the subcontractor, which is nothing more than the nominal employer of the work</w:t>
      </w:r>
      <w:r>
        <w:rPr>
          <w:rFonts w:ascii="Times New Roman" w:hAnsi="Times New Roman"/>
          <w:color w:val="000000"/>
        </w:rPr>
        <w:t>ers.</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xml:space="preserve">Art 13, and the entire proposed treaty, is of paramount importance considering the challenges not only in the legal systems but also in the rule of law and peace and order in many developing </w:t>
      </w:r>
      <w:proofErr w:type="gramStart"/>
      <w:r>
        <w:rPr>
          <w:rFonts w:ascii="Times New Roman" w:hAnsi="Times New Roman"/>
          <w:color w:val="000000"/>
        </w:rPr>
        <w:t>countries  which</w:t>
      </w:r>
      <w:proofErr w:type="gramEnd"/>
      <w:r>
        <w:rPr>
          <w:rFonts w:ascii="Times New Roman" w:hAnsi="Times New Roman"/>
          <w:color w:val="000000"/>
        </w:rPr>
        <w:t xml:space="preserve"> host the factories that make the products f</w:t>
      </w:r>
      <w:r>
        <w:rPr>
          <w:rFonts w:ascii="Times New Roman" w:hAnsi="Times New Roman"/>
          <w:color w:val="000000"/>
        </w:rPr>
        <w:t>or TNCs.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You can get killed for trying to exercise your rights under the ILO Conventions, even as working as a contractual worker for a subcontractor of a TNC will never allow you to live in dignity. The lives of Environmental activists are constantly u</w:t>
      </w:r>
      <w:r>
        <w:rPr>
          <w:rFonts w:ascii="Times New Roman" w:hAnsi="Times New Roman"/>
          <w:color w:val="000000"/>
        </w:rPr>
        <w:t xml:space="preserve">nder </w:t>
      </w:r>
      <w:proofErr w:type="gramStart"/>
      <w:r>
        <w:rPr>
          <w:rFonts w:ascii="Times New Roman" w:hAnsi="Times New Roman"/>
          <w:color w:val="000000"/>
        </w:rPr>
        <w:t>threat,</w:t>
      </w:r>
      <w:proofErr w:type="gramEnd"/>
      <w:r>
        <w:rPr>
          <w:rFonts w:ascii="Times New Roman" w:hAnsi="Times New Roman"/>
          <w:color w:val="000000"/>
        </w:rPr>
        <w:t xml:space="preserve"> many have been killed.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This article would hopefully head-off the need for additional protocols that we had heard a couple of times in these negotiations.  It would hopefully ALSO address the supposed differences in legal systems being foist</w:t>
      </w:r>
      <w:r>
        <w:rPr>
          <w:rFonts w:ascii="Times New Roman" w:hAnsi="Times New Roman"/>
          <w:color w:val="000000"/>
        </w:rPr>
        <w:t>ed continuously as an excuse to prevent progress in the negotiations and make possible the full redress of grievances.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proofErr w:type="gramStart"/>
      <w:r>
        <w:rPr>
          <w:rFonts w:ascii="Times New Roman" w:hAnsi="Times New Roman"/>
          <w:color w:val="000000"/>
        </w:rPr>
        <w:lastRenderedPageBreak/>
        <w:t>Moreover,  Art</w:t>
      </w:r>
      <w:proofErr w:type="gramEnd"/>
      <w:r>
        <w:rPr>
          <w:rFonts w:ascii="Times New Roman" w:hAnsi="Times New Roman"/>
          <w:color w:val="000000"/>
        </w:rPr>
        <w:t xml:space="preserve"> 13 would hopefully contribute to addressing the issue of  alleged legal uncertainty, even as we are confident of the </w:t>
      </w:r>
      <w:r>
        <w:rPr>
          <w:rFonts w:ascii="Times New Roman" w:hAnsi="Times New Roman"/>
          <w:color w:val="000000"/>
        </w:rPr>
        <w:t>will and the ability of many states to address such uncertainties in the course of the negotiations.</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proofErr w:type="gramStart"/>
      <w:r>
        <w:rPr>
          <w:rFonts w:ascii="Times New Roman" w:hAnsi="Times New Roman"/>
          <w:color w:val="000000"/>
        </w:rPr>
        <w:t>We  cannot</w:t>
      </w:r>
      <w:proofErr w:type="gramEnd"/>
      <w:r>
        <w:rPr>
          <w:rFonts w:ascii="Times New Roman" w:hAnsi="Times New Roman"/>
          <w:color w:val="000000"/>
        </w:rPr>
        <w:t xml:space="preserve"> but feel frustrated by interventions motivated by the DESIRE to protect those who benefit most from subcontracting arrangements, those who shi</w:t>
      </w:r>
      <w:r>
        <w:rPr>
          <w:rFonts w:ascii="Times New Roman" w:hAnsi="Times New Roman"/>
          <w:color w:val="000000"/>
        </w:rPr>
        <w:t>eld themselves by transferring to smaller companies in the developing countries the risks of doing business, even though as  owners of the intangible property, they are the ones who get the largest portion of the profits.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Cooperation in terms of interpr</w:t>
      </w:r>
      <w:r>
        <w:rPr>
          <w:rFonts w:ascii="Times New Roman" w:hAnsi="Times New Roman"/>
          <w:color w:val="000000"/>
        </w:rPr>
        <w:t xml:space="preserve">eting both substantive laws and procedural rules is needed in order to avoid misunderstanding as regards legal </w:t>
      </w:r>
      <w:proofErr w:type="gramStart"/>
      <w:r>
        <w:rPr>
          <w:rFonts w:ascii="Times New Roman" w:hAnsi="Times New Roman"/>
          <w:color w:val="000000"/>
        </w:rPr>
        <w:t>language,  and</w:t>
      </w:r>
      <w:proofErr w:type="gramEnd"/>
      <w:r>
        <w:rPr>
          <w:rFonts w:ascii="Times New Roman" w:hAnsi="Times New Roman"/>
          <w:color w:val="000000"/>
        </w:rPr>
        <w:t xml:space="preserve"> prevent that the treaty and other laws be used to shield TNCs from the just claims to which communities, women workers, farmers, f</w:t>
      </w:r>
      <w:r>
        <w:rPr>
          <w:rFonts w:ascii="Times New Roman" w:hAnsi="Times New Roman"/>
          <w:color w:val="000000"/>
        </w:rPr>
        <w:t>ishers, indigenous peoples are rightfully entitled.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Thank you Mr. Chair. </w:t>
      </w:r>
    </w:p>
    <w:p w:rsidR="00D04622" w:rsidRDefault="00556368">
      <w:pPr>
        <w:pStyle w:val="BodyText"/>
        <w:spacing w:after="0" w:line="331" w:lineRule="auto"/>
        <w:rPr>
          <w:rFonts w:ascii="Times New Roman" w:hAnsi="Times New Roman"/>
          <w:color w:val="000000"/>
        </w:rPr>
      </w:pPr>
      <w:r>
        <w:rPr>
          <w:rFonts w:ascii="Times New Roman" w:hAnsi="Times New Roman"/>
          <w:color w:val="000000"/>
        </w:rPr>
        <w:t> </w:t>
      </w:r>
    </w:p>
    <w:p w:rsidR="00D04622" w:rsidRDefault="00556368">
      <w:pPr>
        <w:pStyle w:val="BodyText"/>
        <w:spacing w:after="240" w:line="331" w:lineRule="auto"/>
        <w:rPr>
          <w:rFonts w:ascii="Times New Roman" w:hAnsi="Times New Roman"/>
          <w:color w:val="000000"/>
        </w:rPr>
      </w:pPr>
      <w:r>
        <w:rPr>
          <w:rFonts w:ascii="Times New Roman" w:hAnsi="Times New Roman"/>
          <w:color w:val="000000"/>
        </w:rPr>
        <w:t> </w:t>
      </w:r>
    </w:p>
    <w:p w:rsidR="00D04622" w:rsidRDefault="00556368">
      <w:pPr>
        <w:pStyle w:val="BodyText"/>
        <w:rPr>
          <w:rFonts w:ascii="Times New Roman" w:hAnsi="Times New Roman"/>
        </w:rPr>
      </w:pPr>
      <w:r>
        <w:rPr>
          <w:rFonts w:ascii="Times New Roman" w:hAnsi="Times New Roman"/>
        </w:rPr>
        <w:br/>
      </w:r>
      <w:r>
        <w:rPr>
          <w:rFonts w:ascii="Times New Roman" w:hAnsi="Times New Roman"/>
        </w:rPr>
        <w:br/>
      </w:r>
    </w:p>
    <w:sectPr w:rsidR="00D0462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22"/>
    <w:rsid w:val="00556368"/>
    <w:rsid w:val="00D046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5F1E2-4C87-408F-AC33-C12C821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fr-CH"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9794A"/>
    <w:rPr>
      <w:rFonts w:ascii="Times New Roman" w:hAnsi="Times New Roman" w:cs="Mangal"/>
      <w:sz w:val="18"/>
      <w:szCs w:val="16"/>
    </w:rPr>
  </w:style>
  <w:style w:type="character" w:styleId="CommentReference">
    <w:name w:val="annotation reference"/>
    <w:basedOn w:val="DefaultParagraphFont"/>
    <w:uiPriority w:val="99"/>
    <w:semiHidden/>
    <w:unhideWhenUsed/>
    <w:qFormat/>
    <w:rsid w:val="00C323A3"/>
    <w:rPr>
      <w:sz w:val="16"/>
      <w:szCs w:val="16"/>
    </w:rPr>
  </w:style>
  <w:style w:type="character" w:customStyle="1" w:styleId="CommentTextChar">
    <w:name w:val="Comment Text Char"/>
    <w:basedOn w:val="DefaultParagraphFont"/>
    <w:link w:val="CommentText"/>
    <w:uiPriority w:val="99"/>
    <w:qFormat/>
    <w:rsid w:val="00C323A3"/>
    <w:rPr>
      <w:rFonts w:cs="Mangal"/>
      <w:sz w:val="20"/>
      <w:szCs w:val="18"/>
    </w:rPr>
  </w:style>
  <w:style w:type="character" w:customStyle="1" w:styleId="CommentSubjectChar">
    <w:name w:val="Comment Subject Char"/>
    <w:basedOn w:val="CommentTextChar"/>
    <w:link w:val="CommentSubject"/>
    <w:uiPriority w:val="99"/>
    <w:semiHidden/>
    <w:qFormat/>
    <w:rsid w:val="00C323A3"/>
    <w:rPr>
      <w:rFonts w:cs="Mangal"/>
      <w:b/>
      <w:bCs/>
      <w:sz w:val="20"/>
      <w:szCs w:val="18"/>
    </w:rPr>
  </w:style>
  <w:style w:type="character" w:customStyle="1" w:styleId="Numrotationdelignes">
    <w:name w:val="Numérotation de lignes"/>
  </w:style>
  <w:style w:type="character" w:customStyle="1" w:styleId="DocumentMapChar">
    <w:name w:val="Document Map Char"/>
    <w:basedOn w:val="DefaultParagraphFont"/>
    <w:link w:val="DocumentMap"/>
    <w:uiPriority w:val="99"/>
    <w:semiHidden/>
    <w:qFormat/>
    <w:rsid w:val="00530233"/>
    <w:rPr>
      <w:rFonts w:ascii="Times New Roman" w:hAnsi="Times New Roman" w:cs="Mangal"/>
      <w:szCs w:val="21"/>
      <w:lang w:val="en-GB"/>
    </w:rPr>
  </w:style>
  <w:style w:type="character" w:customStyle="1" w:styleId="Accentuation">
    <w:name w:val="Accentuation"/>
    <w:qFormat/>
    <w:rPr>
      <w:i/>
      <w:iCs/>
    </w:rPr>
  </w:style>
  <w:style w:type="paragraph" w:customStyle="1" w:styleId="Titre">
    <w:name w:val="Titre"/>
    <w:basedOn w:val="Standard1"/>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1"/>
    <w:qFormat/>
    <w:pPr>
      <w:suppressLineNumbers/>
      <w:spacing w:before="120" w:after="120"/>
    </w:pPr>
    <w:rPr>
      <w:i/>
      <w:iCs/>
    </w:rPr>
  </w:style>
  <w:style w:type="paragraph" w:customStyle="1" w:styleId="Index">
    <w:name w:val="Index"/>
    <w:basedOn w:val="Standard1"/>
    <w:qFormat/>
    <w:pPr>
      <w:suppressLineNumbers/>
    </w:pPr>
  </w:style>
  <w:style w:type="paragraph" w:customStyle="1" w:styleId="Standard1">
    <w:name w:val="Standard1"/>
    <w:qFormat/>
    <w:pPr>
      <w:textAlignment w:val="baseline"/>
    </w:pPr>
  </w:style>
  <w:style w:type="paragraph" w:customStyle="1" w:styleId="Textbody">
    <w:name w:val="Text body"/>
    <w:basedOn w:val="Standard1"/>
    <w:qFormat/>
    <w:pPr>
      <w:spacing w:after="140" w:line="276" w:lineRule="auto"/>
    </w:pPr>
  </w:style>
  <w:style w:type="paragraph" w:styleId="ListParagraph">
    <w:name w:val="List Paragraph"/>
    <w:basedOn w:val="Normal"/>
    <w:uiPriority w:val="34"/>
    <w:qFormat/>
    <w:rsid w:val="008E7279"/>
    <w:pPr>
      <w:ind w:left="720"/>
      <w:contextualSpacing/>
    </w:pPr>
    <w:rPr>
      <w:rFonts w:cs="Mangal"/>
      <w:szCs w:val="21"/>
    </w:rPr>
  </w:style>
  <w:style w:type="paragraph" w:styleId="Revision">
    <w:name w:val="Revision"/>
    <w:uiPriority w:val="99"/>
    <w:semiHidden/>
    <w:qFormat/>
    <w:rsid w:val="00FB2052"/>
    <w:pPr>
      <w:suppressAutoHyphens w:val="0"/>
    </w:pPr>
    <w:rPr>
      <w:rFonts w:cs="Mangal"/>
      <w:szCs w:val="21"/>
    </w:rPr>
  </w:style>
  <w:style w:type="paragraph" w:styleId="BalloonText">
    <w:name w:val="Balloon Text"/>
    <w:basedOn w:val="Normal"/>
    <w:link w:val="BalloonTextChar"/>
    <w:uiPriority w:val="99"/>
    <w:semiHidden/>
    <w:unhideWhenUsed/>
    <w:qFormat/>
    <w:rsid w:val="0099794A"/>
    <w:rPr>
      <w:rFonts w:ascii="Times New Roman" w:hAnsi="Times New Roman" w:cs="Mangal"/>
      <w:sz w:val="18"/>
      <w:szCs w:val="16"/>
    </w:rPr>
  </w:style>
  <w:style w:type="paragraph" w:styleId="CommentText">
    <w:name w:val="annotation text"/>
    <w:basedOn w:val="Normal"/>
    <w:link w:val="CommentTextChar"/>
    <w:uiPriority w:val="99"/>
    <w:unhideWhenUsed/>
    <w:qFormat/>
    <w:rsid w:val="00C323A3"/>
    <w:rPr>
      <w:rFonts w:cs="Mangal"/>
      <w:sz w:val="20"/>
      <w:szCs w:val="18"/>
    </w:rPr>
  </w:style>
  <w:style w:type="paragraph" w:styleId="CommentSubject">
    <w:name w:val="annotation subject"/>
    <w:basedOn w:val="CommentText"/>
    <w:next w:val="CommentText"/>
    <w:link w:val="CommentSubjectChar"/>
    <w:uiPriority w:val="99"/>
    <w:semiHidden/>
    <w:unhideWhenUsed/>
    <w:qFormat/>
    <w:rsid w:val="00C323A3"/>
    <w:rPr>
      <w:b/>
      <w:bCs/>
    </w:rPr>
  </w:style>
  <w:style w:type="paragraph" w:styleId="DocumentMap">
    <w:name w:val="Document Map"/>
    <w:basedOn w:val="Normal"/>
    <w:link w:val="DocumentMapChar"/>
    <w:uiPriority w:val="99"/>
    <w:semiHidden/>
    <w:unhideWhenUsed/>
    <w:qFormat/>
    <w:rsid w:val="00530233"/>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Rodrigues de Senna</dc:creator>
  <dc:description/>
  <cp:lastModifiedBy>Paula Subia</cp:lastModifiedBy>
  <cp:revision>2</cp:revision>
  <dcterms:created xsi:type="dcterms:W3CDTF">2022-11-25T10:49:00Z</dcterms:created>
  <dcterms:modified xsi:type="dcterms:W3CDTF">2022-11-25T10:49:00Z</dcterms:modified>
  <dc:language>fr-CH</dc:language>
</cp:coreProperties>
</file>